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B6E31">
      <w:pPr>
        <w:pStyle w:val="2"/>
        <w:bidi w:val="0"/>
        <w:rPr>
          <w:rFonts w:hint="eastAsia"/>
        </w:rPr>
      </w:pPr>
      <w:bookmarkStart w:id="0" w:name="_Toc15396597"/>
      <w:bookmarkStart w:id="1" w:name="_Toc15378441"/>
      <w:bookmarkStart w:id="2" w:name="_Toc15306267"/>
      <w:bookmarkStart w:id="3" w:name="_Toc15377425"/>
      <w:bookmarkStart w:id="4" w:name="_Toc15396475"/>
      <w:bookmarkStart w:id="5" w:name="_Toc15377193"/>
    </w:p>
    <w:p w14:paraId="5D82F18E">
      <w:pPr>
        <w:pStyle w:val="2"/>
        <w:bidi w:val="0"/>
        <w:jc w:val="center"/>
        <w:rPr>
          <w:rFonts w:hint="eastAsia"/>
        </w:rPr>
      </w:pPr>
      <w:r>
        <w:rPr>
          <w:rFonts w:hint="eastAsia"/>
        </w:rPr>
        <w:t>2024年度四川省乐山市市中区人力资源服务中心单位决算</w:t>
      </w:r>
    </w:p>
    <w:p w14:paraId="51E7BB51">
      <w:pPr>
        <w:pStyle w:val="2"/>
        <w:bidi w:val="0"/>
        <w:jc w:val="center"/>
        <w:sectPr>
          <w:headerReference r:id="rId4" w:type="first"/>
          <w:footerReference r:id="rId6" w:type="first"/>
          <w:headerReference r:id="rId3" w:type="default"/>
          <w:footerReference r:id="rId5" w:type="default"/>
          <w:pgSz w:w="11906" w:h="16838"/>
          <w:pgMar w:top="1440" w:right="1800" w:bottom="1440" w:left="1800" w:header="851" w:footer="992" w:gutter="0"/>
          <w:pgNumType w:fmt="numberInDash" w:start="1"/>
          <w:cols w:space="425" w:num="1"/>
          <w:titlePg/>
          <w:docGrid w:type="lines" w:linePitch="312" w:charSpace="0"/>
        </w:sectPr>
      </w:pPr>
      <w:r>
        <w:rPr>
          <w:rFonts w:hint="eastAsia"/>
        </w:rPr>
        <w:t>（单位公开）</w:t>
      </w:r>
    </w:p>
    <w:p w14:paraId="332BC6E4">
      <w:pPr>
        <w:pStyle w:val="5"/>
        <w:jc w:val="both"/>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14:paraId="254C56AA">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38B819A5">
      <w:pPr>
        <w:widowControl/>
        <w:jc w:val="center"/>
        <w:rPr>
          <w:rFonts w:ascii="Times New Roman" w:hAnsi="Times New Roman" w:eastAsia="黑体" w:cstheme="minorBidi"/>
          <w:color w:val="auto"/>
          <w:sz w:val="28"/>
          <w:szCs w:val="28"/>
          <w:highlight w:val="none"/>
        </w:rPr>
      </w:pPr>
    </w:p>
    <w:p w14:paraId="27E97F59">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29</w:t>
      </w:r>
      <w:r>
        <w:rPr>
          <w:rFonts w:hint="eastAsia" w:ascii="Times New Roman" w:hAnsi="Times New Roman" w:eastAsia="仿宋_GB2312" w:cs="仿宋_GB2312"/>
          <w:color w:val="auto"/>
          <w:sz w:val="32"/>
          <w:szCs w:val="32"/>
          <w:highlight w:val="none"/>
        </w:rPr>
        <w:t>日</w:t>
      </w:r>
    </w:p>
    <w:sdt>
      <w:sdtPr>
        <w:rPr>
          <w:rFonts w:ascii="宋体" w:hAnsi="宋体" w:eastAsia="宋体" w:cs="Times New Roman"/>
          <w:kern w:val="2"/>
          <w:sz w:val="21"/>
          <w:szCs w:val="24"/>
          <w:highlight w:val="none"/>
          <w:lang w:val="en-US" w:eastAsia="zh-CN" w:bidi="ar-SA"/>
        </w:rPr>
        <w:id w:val="147480374"/>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1A6E3086">
          <w:pPr>
            <w:spacing w:before="0" w:beforeLines="0" w:after="0" w:afterLines="0" w:line="240" w:lineRule="auto"/>
            <w:ind w:left="0" w:leftChars="0" w:right="0" w:rightChars="0" w:firstLine="0" w:firstLineChars="0"/>
            <w:jc w:val="center"/>
            <w:rPr>
              <w:highlight w:val="none"/>
            </w:rPr>
          </w:pPr>
          <w:r>
            <w:rPr>
              <w:rFonts w:ascii="宋体" w:hAnsi="宋体" w:eastAsia="宋体"/>
              <w:sz w:val="21"/>
              <w:highlight w:val="none"/>
            </w:rPr>
            <w:t>目录</w:t>
          </w:r>
        </w:p>
        <w:p w14:paraId="0430DD51">
          <w:pPr>
            <w:pStyle w:val="14"/>
            <w:tabs>
              <w:tab w:val="right" w:leader="dot" w:pos="8306"/>
              <w:tab w:val="clear" w:pos="8296"/>
            </w:tabs>
            <w:ind w:left="0" w:leftChars="0" w:firstLine="0" w:firstLineChars="0"/>
            <w:rPr>
              <w:highlight w:val="none"/>
            </w:rPr>
          </w:pPr>
          <w:r>
            <w:rPr>
              <w:rFonts w:hint="eastAsia" w:ascii="黑体" w:hAnsi="黑体" w:eastAsia="黑体" w:cs="黑体"/>
              <w:bCs w:val="0"/>
              <w:sz w:val="32"/>
              <w:szCs w:val="32"/>
              <w:highlight w:val="none"/>
            </w:rPr>
            <w:fldChar w:fldCharType="begin"/>
          </w:r>
          <w:r>
            <w:rPr>
              <w:rFonts w:hint="eastAsia" w:ascii="黑体" w:hAnsi="黑体" w:eastAsia="黑体" w:cs="黑体"/>
              <w:bCs w:val="0"/>
              <w:sz w:val="32"/>
              <w:szCs w:val="32"/>
              <w:highlight w:val="none"/>
            </w:rPr>
            <w:instrText xml:space="preserve">TOC \o "1-2" \h \u </w:instrText>
          </w:r>
          <w:r>
            <w:rPr>
              <w:rFonts w:hint="eastAsia" w:ascii="黑体" w:hAnsi="黑体" w:eastAsia="黑体" w:cs="黑体"/>
              <w:bCs w:val="0"/>
              <w:sz w:val="32"/>
              <w:szCs w:val="32"/>
              <w:highlight w:val="none"/>
            </w:rPr>
            <w:fldChar w:fldCharType="separate"/>
          </w:r>
          <w:r>
            <w:rPr>
              <w:rFonts w:hint="eastAsia" w:ascii="黑体" w:hAnsi="黑体" w:eastAsia="黑体" w:cs="黑体"/>
              <w:bCs w:val="0"/>
              <w:sz w:val="32"/>
              <w:szCs w:val="32"/>
              <w:highlight w:val="none"/>
            </w:rPr>
            <w:fldChar w:fldCharType="begin"/>
          </w:r>
          <w:r>
            <w:rPr>
              <w:rFonts w:hint="eastAsia" w:ascii="黑体" w:hAnsi="黑体" w:eastAsia="黑体" w:cs="黑体"/>
              <w:bCs w:val="0"/>
              <w:sz w:val="32"/>
              <w:szCs w:val="32"/>
              <w:highlight w:val="none"/>
            </w:rPr>
            <w:instrText xml:space="preserve"> HYPERLINK \l _Toc24815 </w:instrText>
          </w:r>
          <w:r>
            <w:rPr>
              <w:rFonts w:hint="eastAsia" w:ascii="黑体" w:hAnsi="黑体" w:eastAsia="黑体" w:cs="黑体"/>
              <w:bCs w:val="0"/>
              <w:sz w:val="32"/>
              <w:szCs w:val="32"/>
              <w:highlight w:val="none"/>
            </w:rPr>
            <w:fldChar w:fldCharType="separate"/>
          </w:r>
          <w:r>
            <w:rPr>
              <w:rFonts w:hint="eastAsia" w:ascii="黑体" w:hAnsi="黑体" w:eastAsia="黑体" w:cs="黑体"/>
              <w:bCs w:val="0"/>
              <w:sz w:val="32"/>
              <w:szCs w:val="32"/>
              <w:highlight w:val="none"/>
            </w:rPr>
            <w:t>第一</w:t>
          </w:r>
          <w:r>
            <w:rPr>
              <w:rFonts w:hint="eastAsia" w:ascii="黑体" w:hAnsi="黑体" w:eastAsia="黑体" w:cs="黑体"/>
              <w:sz w:val="32"/>
              <w:szCs w:val="32"/>
              <w:highlight w:val="none"/>
            </w:rPr>
            <w:t>部分</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 xml:space="preserve"> </w:t>
          </w:r>
          <w:r>
            <w:rPr>
              <w:rFonts w:hint="eastAsia" w:ascii="黑体" w:hAnsi="黑体" w:eastAsia="黑体" w:cs="黑体"/>
              <w:bCs w:val="0"/>
              <w:sz w:val="32"/>
              <w:szCs w:val="32"/>
              <w:highlight w:val="none"/>
              <w:lang w:val="en-US" w:eastAsia="zh-CN"/>
            </w:rPr>
            <w:t>单位</w:t>
          </w:r>
          <w:r>
            <w:rPr>
              <w:rFonts w:hint="eastAsia" w:ascii="黑体" w:hAnsi="黑体" w:eastAsia="黑体" w:cs="黑体"/>
              <w:bCs w:val="0"/>
              <w:sz w:val="32"/>
              <w:szCs w:val="32"/>
              <w:highlight w:val="none"/>
            </w:rPr>
            <w:t>概况</w:t>
          </w:r>
          <w:r>
            <w:rPr>
              <w:highlight w:val="none"/>
            </w:rPr>
            <w:tab/>
          </w:r>
          <w:bookmarkStart w:id="91" w:name="_GoBack"/>
          <w:bookmarkEnd w:id="91"/>
          <w:r>
            <w:rPr>
              <w:highlight w:val="none"/>
            </w:rPr>
            <w:fldChar w:fldCharType="begin"/>
          </w:r>
          <w:r>
            <w:rPr>
              <w:highlight w:val="none"/>
            </w:rPr>
            <w:instrText xml:space="preserve"> PAGEREF _Toc24815 \h </w:instrText>
          </w:r>
          <w:r>
            <w:rPr>
              <w:highlight w:val="none"/>
            </w:rPr>
            <w:fldChar w:fldCharType="separate"/>
          </w:r>
          <w:r>
            <w:rPr>
              <w:highlight w:val="none"/>
            </w:rPr>
            <w:t>- 3 -</w:t>
          </w:r>
          <w:r>
            <w:rPr>
              <w:highlight w:val="none"/>
            </w:rPr>
            <w:fldChar w:fldCharType="end"/>
          </w:r>
          <w:r>
            <w:rPr>
              <w:rFonts w:ascii="Times New Roman" w:hAnsi="Times New Roman"/>
              <w:color w:val="auto"/>
              <w:highlight w:val="none"/>
            </w:rPr>
            <w:fldChar w:fldCharType="end"/>
          </w:r>
        </w:p>
        <w:p w14:paraId="4E9A0558">
          <w:pPr>
            <w:pStyle w:val="14"/>
            <w:tabs>
              <w:tab w:val="right" w:leader="dot" w:pos="8306"/>
              <w:tab w:val="clear" w:pos="8296"/>
            </w:tabs>
            <w:rPr>
              <w:rFonts w:hint="eastAsia" w:ascii="Times New Roman" w:hAnsi="Times New Roman" w:eastAsia="仿宋_GB2312" w:cs="仿宋_GB2312"/>
              <w:szCs w:val="32"/>
              <w:highlight w:val="none"/>
            </w:rPr>
          </w:pP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HYPERLINK \l _Toc14852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 w:val="32"/>
              <w:szCs w:val="32"/>
              <w:highlight w:val="none"/>
            </w:rPr>
            <w:t>一、</w:t>
          </w:r>
          <w:r>
            <w:rPr>
              <w:rFonts w:hint="eastAsia" w:eastAsia="仿宋_GB2312" w:cs="仿宋_GB2312"/>
              <w:sz w:val="32"/>
              <w:szCs w:val="32"/>
              <w:highlight w:val="none"/>
              <w:lang w:val="en-US" w:eastAsia="zh-CN"/>
            </w:rPr>
            <w:t>主要</w:t>
          </w:r>
          <w:r>
            <w:rPr>
              <w:rFonts w:hint="eastAsia" w:ascii="Times New Roman" w:hAnsi="Times New Roman" w:eastAsia="仿宋_GB2312" w:cs="仿宋_GB2312"/>
              <w:sz w:val="32"/>
              <w:szCs w:val="32"/>
              <w:highlight w:val="none"/>
              <w:lang w:eastAsia="zh-CN"/>
            </w:rPr>
            <w:t>职责</w:t>
          </w:r>
          <w:r>
            <w:rPr>
              <w:rFonts w:hint="eastAsia" w:ascii="Times New Roman" w:hAnsi="Times New Roman" w:eastAsia="仿宋_GB2312" w:cs="仿宋_GB2312"/>
              <w:szCs w:val="32"/>
              <w:highlight w:val="none"/>
            </w:rPr>
            <w:tab/>
          </w: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PAGEREF _Toc14852 \h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Cs w:val="32"/>
              <w:highlight w:val="none"/>
            </w:rPr>
            <w:t>- 3 -</w:t>
          </w:r>
          <w:r>
            <w:rPr>
              <w:rFonts w:hint="eastAsia" w:ascii="Times New Roman" w:hAnsi="Times New Roman" w:eastAsia="仿宋_GB2312" w:cs="仿宋_GB2312"/>
              <w:szCs w:val="32"/>
              <w:highlight w:val="none"/>
            </w:rPr>
            <w:fldChar w:fldCharType="end"/>
          </w:r>
          <w:r>
            <w:rPr>
              <w:rFonts w:hint="eastAsia" w:ascii="Times New Roman" w:hAnsi="Times New Roman" w:eastAsia="仿宋_GB2312" w:cs="仿宋_GB2312"/>
              <w:szCs w:val="32"/>
              <w:highlight w:val="none"/>
            </w:rPr>
            <w:fldChar w:fldCharType="end"/>
          </w:r>
        </w:p>
        <w:p w14:paraId="071091B6">
          <w:pPr>
            <w:pStyle w:val="14"/>
            <w:tabs>
              <w:tab w:val="right" w:leader="dot" w:pos="8306"/>
              <w:tab w:val="clear" w:pos="8296"/>
            </w:tabs>
            <w:rPr>
              <w:highlight w:val="none"/>
            </w:rPr>
          </w:pP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HYPERLINK \l _Toc4067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 w:val="32"/>
              <w:szCs w:val="32"/>
              <w:highlight w:val="none"/>
              <w:lang w:eastAsia="zh-CN"/>
            </w:rPr>
            <w:t>二、机构设置</w:t>
          </w:r>
          <w:r>
            <w:rPr>
              <w:rFonts w:hint="eastAsia" w:ascii="Times New Roman" w:hAnsi="Times New Roman" w:eastAsia="仿宋_GB2312" w:cs="仿宋_GB2312"/>
              <w:szCs w:val="32"/>
              <w:highlight w:val="none"/>
            </w:rPr>
            <w:tab/>
          </w: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PAGEREF _Toc14852 \h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Cs w:val="32"/>
              <w:highlight w:val="none"/>
            </w:rPr>
            <w:t>- 3 -</w:t>
          </w:r>
          <w:r>
            <w:rPr>
              <w:rFonts w:hint="eastAsia" w:ascii="Times New Roman" w:hAnsi="Times New Roman" w:eastAsia="仿宋_GB2312" w:cs="仿宋_GB2312"/>
              <w:szCs w:val="32"/>
              <w:highlight w:val="none"/>
            </w:rPr>
            <w:fldChar w:fldCharType="end"/>
          </w:r>
          <w:r>
            <w:rPr>
              <w:rFonts w:hint="eastAsia" w:ascii="Times New Roman" w:hAnsi="Times New Roman" w:eastAsia="仿宋_GB2312" w:cs="仿宋_GB2312"/>
              <w:szCs w:val="32"/>
              <w:highlight w:val="none"/>
            </w:rPr>
            <w:fldChar w:fldCharType="end"/>
          </w:r>
        </w:p>
        <w:p w14:paraId="488020CB">
          <w:pPr>
            <w:pStyle w:val="14"/>
            <w:tabs>
              <w:tab w:val="right" w:leader="dot" w:pos="8306"/>
              <w:tab w:val="clear" w:pos="8296"/>
            </w:tabs>
            <w:ind w:left="0" w:leftChars="0" w:firstLine="0" w:firstLineChars="0"/>
            <w:rPr>
              <w:highlight w:val="none"/>
            </w:rPr>
          </w:pPr>
          <w:r>
            <w:rPr>
              <w:rFonts w:hint="eastAsia" w:ascii="黑体" w:hAnsi="黑体" w:eastAsia="黑体" w:cs="黑体"/>
              <w:bCs w:val="0"/>
              <w:sz w:val="32"/>
              <w:szCs w:val="32"/>
              <w:highlight w:val="none"/>
            </w:rPr>
            <w:fldChar w:fldCharType="begin"/>
          </w:r>
          <w:r>
            <w:rPr>
              <w:rFonts w:hint="eastAsia" w:ascii="黑体" w:hAnsi="黑体" w:eastAsia="黑体" w:cs="黑体"/>
              <w:bCs w:val="0"/>
              <w:sz w:val="32"/>
              <w:szCs w:val="32"/>
              <w:highlight w:val="none"/>
            </w:rPr>
            <w:instrText xml:space="preserve"> HYPERLINK \l _Toc32671 </w:instrText>
          </w:r>
          <w:r>
            <w:rPr>
              <w:rFonts w:hint="eastAsia" w:ascii="黑体" w:hAnsi="黑体" w:eastAsia="黑体" w:cs="黑体"/>
              <w:bCs w:val="0"/>
              <w:sz w:val="32"/>
              <w:szCs w:val="32"/>
              <w:highlight w:val="none"/>
            </w:rPr>
            <w:fldChar w:fldCharType="separate"/>
          </w:r>
          <w:r>
            <w:rPr>
              <w:rFonts w:hint="eastAsia" w:ascii="黑体" w:hAnsi="黑体" w:eastAsia="黑体" w:cs="黑体"/>
              <w:bCs w:val="0"/>
              <w:sz w:val="32"/>
              <w:szCs w:val="32"/>
              <w:highlight w:val="none"/>
            </w:rPr>
            <w:t>第二部分</w:t>
          </w:r>
          <w:r>
            <w:rPr>
              <w:rFonts w:hint="eastAsia" w:ascii="黑体" w:hAnsi="黑体" w:eastAsia="黑体" w:cs="黑体"/>
              <w:bCs w:val="0"/>
              <w:sz w:val="32"/>
              <w:szCs w:val="32"/>
              <w:highlight w:val="none"/>
              <w:lang w:val="en-US" w:eastAsia="zh-CN"/>
            </w:rPr>
            <w:t xml:space="preserve"> </w:t>
          </w:r>
          <w:r>
            <w:rPr>
              <w:rFonts w:hint="eastAsia" w:ascii="黑体" w:hAnsi="黑体" w:eastAsia="黑体" w:cs="黑体"/>
              <w:bCs w:val="0"/>
              <w:sz w:val="32"/>
              <w:szCs w:val="32"/>
              <w:highlight w:val="none"/>
            </w:rPr>
            <w:t xml:space="preserve"> </w:t>
          </w:r>
          <w:r>
            <w:rPr>
              <w:rFonts w:hint="eastAsia" w:ascii="黑体" w:hAnsi="黑体" w:eastAsia="黑体" w:cs="黑体"/>
              <w:bCs w:val="0"/>
              <w:sz w:val="32"/>
              <w:szCs w:val="32"/>
              <w:highlight w:val="none"/>
              <w:lang w:val="en-US" w:eastAsia="zh-CN"/>
            </w:rPr>
            <w:t>2024年度单位</w:t>
          </w:r>
          <w:r>
            <w:rPr>
              <w:rFonts w:hint="eastAsia" w:ascii="黑体" w:hAnsi="黑体" w:eastAsia="黑体" w:cs="黑体"/>
              <w:bCs w:val="0"/>
              <w:sz w:val="32"/>
              <w:szCs w:val="32"/>
              <w:highlight w:val="none"/>
            </w:rPr>
            <w:t>决算情况说明</w:t>
          </w:r>
          <w:r>
            <w:rPr>
              <w:highlight w:val="none"/>
            </w:rPr>
            <w:tab/>
          </w:r>
          <w:r>
            <w:rPr>
              <w:highlight w:val="none"/>
            </w:rPr>
            <w:fldChar w:fldCharType="begin"/>
          </w:r>
          <w:r>
            <w:rPr>
              <w:highlight w:val="none"/>
            </w:rPr>
            <w:instrText xml:space="preserve"> PAGEREF _Toc32671 \h </w:instrText>
          </w:r>
          <w:r>
            <w:rPr>
              <w:highlight w:val="none"/>
            </w:rPr>
            <w:fldChar w:fldCharType="separate"/>
          </w:r>
          <w:r>
            <w:rPr>
              <w:highlight w:val="none"/>
            </w:rPr>
            <w:t>- 4 -</w:t>
          </w:r>
          <w:r>
            <w:rPr>
              <w:highlight w:val="none"/>
            </w:rPr>
            <w:fldChar w:fldCharType="end"/>
          </w:r>
          <w:r>
            <w:rPr>
              <w:rFonts w:ascii="Times New Roman" w:hAnsi="Times New Roman"/>
              <w:color w:val="auto"/>
              <w:highlight w:val="none"/>
            </w:rPr>
            <w:fldChar w:fldCharType="end"/>
          </w:r>
        </w:p>
        <w:p w14:paraId="1BC6D496">
          <w:pPr>
            <w:pStyle w:val="14"/>
            <w:tabs>
              <w:tab w:val="right" w:leader="dot" w:pos="8306"/>
              <w:tab w:val="clear" w:pos="8296"/>
            </w:tabs>
            <w:rPr>
              <w:rFonts w:hint="eastAsia" w:ascii="Times New Roman" w:hAnsi="Times New Roman" w:eastAsia="仿宋_GB2312" w:cs="仿宋_GB2312"/>
              <w:szCs w:val="32"/>
              <w:highlight w:val="none"/>
            </w:rPr>
          </w:pP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HYPERLINK \l _Toc24148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 w:val="32"/>
              <w:szCs w:val="32"/>
              <w:highlight w:val="none"/>
              <w:lang w:eastAsia="zh-CN"/>
            </w:rPr>
            <w:t>一、收入支出决算总体情况说明</w:t>
          </w:r>
          <w:r>
            <w:rPr>
              <w:rFonts w:hint="eastAsia" w:ascii="Times New Roman" w:hAnsi="Times New Roman" w:eastAsia="仿宋_GB2312" w:cs="仿宋_GB2312"/>
              <w:szCs w:val="32"/>
              <w:highlight w:val="none"/>
            </w:rPr>
            <w:tab/>
          </w: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PAGEREF _Toc24148 \h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Cs w:val="32"/>
              <w:highlight w:val="none"/>
            </w:rPr>
            <w:t>- 4 -</w:t>
          </w:r>
          <w:r>
            <w:rPr>
              <w:rFonts w:hint="eastAsia" w:ascii="Times New Roman" w:hAnsi="Times New Roman" w:eastAsia="仿宋_GB2312" w:cs="仿宋_GB2312"/>
              <w:szCs w:val="32"/>
              <w:highlight w:val="none"/>
            </w:rPr>
            <w:fldChar w:fldCharType="end"/>
          </w:r>
          <w:r>
            <w:rPr>
              <w:rFonts w:hint="eastAsia" w:ascii="Times New Roman" w:hAnsi="Times New Roman" w:eastAsia="仿宋_GB2312" w:cs="仿宋_GB2312"/>
              <w:szCs w:val="32"/>
              <w:highlight w:val="none"/>
            </w:rPr>
            <w:fldChar w:fldCharType="end"/>
          </w:r>
        </w:p>
        <w:p w14:paraId="5B30693D">
          <w:pPr>
            <w:pStyle w:val="14"/>
            <w:tabs>
              <w:tab w:val="right" w:leader="dot" w:pos="8306"/>
              <w:tab w:val="clear" w:pos="8296"/>
            </w:tabs>
            <w:rPr>
              <w:rFonts w:hint="eastAsia" w:ascii="Times New Roman" w:hAnsi="Times New Roman" w:eastAsia="仿宋_GB2312" w:cs="仿宋_GB2312"/>
              <w:szCs w:val="32"/>
              <w:highlight w:val="none"/>
            </w:rPr>
          </w:pP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HYPERLINK \l _Toc29354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 w:val="32"/>
              <w:szCs w:val="32"/>
              <w:highlight w:val="none"/>
              <w:lang w:eastAsia="zh-CN"/>
            </w:rPr>
            <w:t>二、收入决算情况说明</w:t>
          </w:r>
          <w:r>
            <w:rPr>
              <w:rFonts w:hint="eastAsia" w:ascii="Times New Roman" w:hAnsi="Times New Roman" w:eastAsia="仿宋_GB2312" w:cs="仿宋_GB2312"/>
              <w:szCs w:val="32"/>
              <w:highlight w:val="none"/>
            </w:rPr>
            <w:tab/>
          </w: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PAGEREF _Toc29354 \h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Cs w:val="32"/>
              <w:highlight w:val="none"/>
            </w:rPr>
            <w:t>- 4 -</w:t>
          </w:r>
          <w:r>
            <w:rPr>
              <w:rFonts w:hint="eastAsia" w:ascii="Times New Roman" w:hAnsi="Times New Roman" w:eastAsia="仿宋_GB2312" w:cs="仿宋_GB2312"/>
              <w:szCs w:val="32"/>
              <w:highlight w:val="none"/>
            </w:rPr>
            <w:fldChar w:fldCharType="end"/>
          </w:r>
          <w:r>
            <w:rPr>
              <w:rFonts w:hint="eastAsia" w:ascii="Times New Roman" w:hAnsi="Times New Roman" w:eastAsia="仿宋_GB2312" w:cs="仿宋_GB2312"/>
              <w:szCs w:val="32"/>
              <w:highlight w:val="none"/>
            </w:rPr>
            <w:fldChar w:fldCharType="end"/>
          </w:r>
        </w:p>
        <w:p w14:paraId="0FAD596F">
          <w:pPr>
            <w:pStyle w:val="14"/>
            <w:tabs>
              <w:tab w:val="right" w:leader="dot" w:pos="8306"/>
              <w:tab w:val="clear" w:pos="8296"/>
            </w:tabs>
            <w:rPr>
              <w:rFonts w:hint="eastAsia" w:ascii="Times New Roman" w:hAnsi="Times New Roman" w:eastAsia="仿宋_GB2312" w:cs="仿宋_GB2312"/>
              <w:szCs w:val="32"/>
              <w:highlight w:val="none"/>
            </w:rPr>
          </w:pP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HYPERLINK \l _Toc13750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 w:val="32"/>
              <w:szCs w:val="32"/>
              <w:highlight w:val="none"/>
              <w:lang w:eastAsia="zh-CN"/>
            </w:rPr>
            <w:t>三、支出决算情况说明</w:t>
          </w:r>
          <w:r>
            <w:rPr>
              <w:rFonts w:hint="eastAsia" w:ascii="Times New Roman" w:hAnsi="Times New Roman" w:eastAsia="仿宋_GB2312" w:cs="仿宋_GB2312"/>
              <w:szCs w:val="32"/>
              <w:highlight w:val="none"/>
            </w:rPr>
            <w:tab/>
          </w: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PAGEREF _Toc13750 \h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Cs w:val="32"/>
              <w:highlight w:val="none"/>
            </w:rPr>
            <w:t>- 5 -</w:t>
          </w:r>
          <w:r>
            <w:rPr>
              <w:rFonts w:hint="eastAsia" w:ascii="Times New Roman" w:hAnsi="Times New Roman" w:eastAsia="仿宋_GB2312" w:cs="仿宋_GB2312"/>
              <w:szCs w:val="32"/>
              <w:highlight w:val="none"/>
            </w:rPr>
            <w:fldChar w:fldCharType="end"/>
          </w:r>
          <w:r>
            <w:rPr>
              <w:rFonts w:hint="eastAsia" w:ascii="Times New Roman" w:hAnsi="Times New Roman" w:eastAsia="仿宋_GB2312" w:cs="仿宋_GB2312"/>
              <w:szCs w:val="32"/>
              <w:highlight w:val="none"/>
            </w:rPr>
            <w:fldChar w:fldCharType="end"/>
          </w:r>
        </w:p>
        <w:p w14:paraId="154C7810">
          <w:pPr>
            <w:pStyle w:val="14"/>
            <w:tabs>
              <w:tab w:val="right" w:leader="dot" w:pos="8306"/>
              <w:tab w:val="clear" w:pos="8296"/>
            </w:tabs>
            <w:rPr>
              <w:rFonts w:hint="eastAsia" w:ascii="Times New Roman" w:hAnsi="Times New Roman" w:eastAsia="仿宋_GB2312" w:cs="仿宋_GB2312"/>
              <w:szCs w:val="32"/>
              <w:highlight w:val="none"/>
            </w:rPr>
          </w:pP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HYPERLINK \l _Toc30742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 w:val="32"/>
              <w:szCs w:val="32"/>
              <w:highlight w:val="none"/>
              <w:lang w:eastAsia="zh-CN"/>
            </w:rPr>
            <w:t>四、财政拨款收入支出决算总体情况说明</w:t>
          </w:r>
          <w:r>
            <w:rPr>
              <w:rFonts w:hint="eastAsia" w:ascii="Times New Roman" w:hAnsi="Times New Roman" w:eastAsia="仿宋_GB2312" w:cs="仿宋_GB2312"/>
              <w:szCs w:val="32"/>
              <w:highlight w:val="none"/>
            </w:rPr>
            <w:tab/>
          </w: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PAGEREF _Toc30742 \h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Cs w:val="32"/>
              <w:highlight w:val="none"/>
            </w:rPr>
            <w:t>- 6 -</w:t>
          </w:r>
          <w:r>
            <w:rPr>
              <w:rFonts w:hint="eastAsia" w:ascii="Times New Roman" w:hAnsi="Times New Roman" w:eastAsia="仿宋_GB2312" w:cs="仿宋_GB2312"/>
              <w:szCs w:val="32"/>
              <w:highlight w:val="none"/>
            </w:rPr>
            <w:fldChar w:fldCharType="end"/>
          </w:r>
          <w:r>
            <w:rPr>
              <w:rFonts w:hint="eastAsia" w:ascii="Times New Roman" w:hAnsi="Times New Roman" w:eastAsia="仿宋_GB2312" w:cs="仿宋_GB2312"/>
              <w:szCs w:val="32"/>
              <w:highlight w:val="none"/>
            </w:rPr>
            <w:fldChar w:fldCharType="end"/>
          </w:r>
        </w:p>
        <w:p w14:paraId="16B265BB">
          <w:pPr>
            <w:pStyle w:val="14"/>
            <w:tabs>
              <w:tab w:val="right" w:leader="dot" w:pos="8306"/>
              <w:tab w:val="clear" w:pos="8296"/>
            </w:tabs>
            <w:rPr>
              <w:rFonts w:hint="eastAsia" w:ascii="Times New Roman" w:hAnsi="Times New Roman" w:eastAsia="仿宋_GB2312" w:cs="仿宋_GB2312"/>
              <w:szCs w:val="32"/>
              <w:highlight w:val="none"/>
            </w:rPr>
          </w:pP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HYPERLINK \l _Toc11104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 w:val="32"/>
              <w:szCs w:val="32"/>
              <w:highlight w:val="none"/>
              <w:lang w:eastAsia="zh-CN"/>
            </w:rPr>
            <w:t>五、一般公共预算财政拨款支出决算情况说明</w:t>
          </w:r>
          <w:r>
            <w:rPr>
              <w:rFonts w:hint="eastAsia" w:ascii="Times New Roman" w:hAnsi="Times New Roman" w:eastAsia="仿宋_GB2312" w:cs="仿宋_GB2312"/>
              <w:szCs w:val="32"/>
              <w:highlight w:val="none"/>
            </w:rPr>
            <w:tab/>
          </w: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PAGEREF _Toc11104 \h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Cs w:val="32"/>
              <w:highlight w:val="none"/>
            </w:rPr>
            <w:t>- 6 -</w:t>
          </w:r>
          <w:r>
            <w:rPr>
              <w:rFonts w:hint="eastAsia" w:ascii="Times New Roman" w:hAnsi="Times New Roman" w:eastAsia="仿宋_GB2312" w:cs="仿宋_GB2312"/>
              <w:szCs w:val="32"/>
              <w:highlight w:val="none"/>
            </w:rPr>
            <w:fldChar w:fldCharType="end"/>
          </w:r>
          <w:r>
            <w:rPr>
              <w:rFonts w:hint="eastAsia" w:ascii="Times New Roman" w:hAnsi="Times New Roman" w:eastAsia="仿宋_GB2312" w:cs="仿宋_GB2312"/>
              <w:szCs w:val="32"/>
              <w:highlight w:val="none"/>
            </w:rPr>
            <w:fldChar w:fldCharType="end"/>
          </w:r>
        </w:p>
        <w:p w14:paraId="0E4E8C4E">
          <w:pPr>
            <w:pStyle w:val="14"/>
            <w:tabs>
              <w:tab w:val="right" w:leader="dot" w:pos="8306"/>
              <w:tab w:val="clear" w:pos="8296"/>
            </w:tabs>
            <w:rPr>
              <w:rFonts w:hint="eastAsia" w:ascii="Times New Roman" w:hAnsi="Times New Roman" w:eastAsia="仿宋_GB2312" w:cs="仿宋_GB2312"/>
              <w:szCs w:val="32"/>
              <w:highlight w:val="none"/>
            </w:rPr>
          </w:pP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HYPERLINK \l _Toc2936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 w:val="32"/>
              <w:szCs w:val="32"/>
              <w:highlight w:val="none"/>
              <w:lang w:eastAsia="zh-CN"/>
            </w:rPr>
            <w:t>六、一般公共预算财政拨款基本支出决算情况说明</w:t>
          </w:r>
          <w:r>
            <w:rPr>
              <w:rFonts w:hint="eastAsia" w:ascii="Times New Roman" w:hAnsi="Times New Roman" w:eastAsia="仿宋_GB2312" w:cs="仿宋_GB2312"/>
              <w:szCs w:val="32"/>
              <w:highlight w:val="none"/>
            </w:rPr>
            <w:tab/>
          </w: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PAGEREF _Toc2936 \h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Cs w:val="32"/>
              <w:highlight w:val="none"/>
            </w:rPr>
            <w:t>- 9 -</w:t>
          </w:r>
          <w:r>
            <w:rPr>
              <w:rFonts w:hint="eastAsia" w:ascii="Times New Roman" w:hAnsi="Times New Roman" w:eastAsia="仿宋_GB2312" w:cs="仿宋_GB2312"/>
              <w:szCs w:val="32"/>
              <w:highlight w:val="none"/>
            </w:rPr>
            <w:fldChar w:fldCharType="end"/>
          </w:r>
          <w:r>
            <w:rPr>
              <w:rFonts w:hint="eastAsia" w:ascii="Times New Roman" w:hAnsi="Times New Roman" w:eastAsia="仿宋_GB2312" w:cs="仿宋_GB2312"/>
              <w:szCs w:val="32"/>
              <w:highlight w:val="none"/>
            </w:rPr>
            <w:fldChar w:fldCharType="end"/>
          </w:r>
        </w:p>
        <w:p w14:paraId="5D96DBAA">
          <w:pPr>
            <w:pStyle w:val="14"/>
            <w:tabs>
              <w:tab w:val="right" w:leader="dot" w:pos="8306"/>
              <w:tab w:val="clear" w:pos="8296"/>
            </w:tabs>
            <w:rPr>
              <w:rFonts w:hint="eastAsia" w:ascii="Times New Roman" w:hAnsi="Times New Roman" w:eastAsia="仿宋_GB2312" w:cs="仿宋_GB2312"/>
              <w:szCs w:val="32"/>
              <w:highlight w:val="none"/>
            </w:rPr>
          </w:pP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HYPERLINK \l _Toc443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 w:val="32"/>
              <w:szCs w:val="32"/>
              <w:highlight w:val="none"/>
              <w:lang w:eastAsia="zh-CN"/>
            </w:rPr>
            <w:t>七、财政拨款“三公”经费支出决算情况说明</w:t>
          </w:r>
          <w:r>
            <w:rPr>
              <w:rFonts w:hint="eastAsia" w:ascii="Times New Roman" w:hAnsi="Times New Roman" w:eastAsia="仿宋_GB2312" w:cs="仿宋_GB2312"/>
              <w:szCs w:val="32"/>
              <w:highlight w:val="none"/>
            </w:rPr>
            <w:tab/>
          </w: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PAGEREF _Toc443 \h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Cs w:val="32"/>
              <w:highlight w:val="none"/>
            </w:rPr>
            <w:t>- 9 -</w:t>
          </w:r>
          <w:r>
            <w:rPr>
              <w:rFonts w:hint="eastAsia" w:ascii="Times New Roman" w:hAnsi="Times New Roman" w:eastAsia="仿宋_GB2312" w:cs="仿宋_GB2312"/>
              <w:szCs w:val="32"/>
              <w:highlight w:val="none"/>
            </w:rPr>
            <w:fldChar w:fldCharType="end"/>
          </w:r>
          <w:r>
            <w:rPr>
              <w:rFonts w:hint="eastAsia" w:ascii="Times New Roman" w:hAnsi="Times New Roman" w:eastAsia="仿宋_GB2312" w:cs="仿宋_GB2312"/>
              <w:szCs w:val="32"/>
              <w:highlight w:val="none"/>
            </w:rPr>
            <w:fldChar w:fldCharType="end"/>
          </w:r>
        </w:p>
        <w:p w14:paraId="4157F3D1">
          <w:pPr>
            <w:pStyle w:val="14"/>
            <w:tabs>
              <w:tab w:val="right" w:leader="dot" w:pos="8306"/>
              <w:tab w:val="clear" w:pos="8296"/>
            </w:tabs>
            <w:rPr>
              <w:rFonts w:hint="eastAsia" w:ascii="Times New Roman" w:hAnsi="Times New Roman" w:eastAsia="仿宋_GB2312" w:cs="仿宋_GB2312"/>
              <w:szCs w:val="32"/>
              <w:highlight w:val="none"/>
            </w:rPr>
          </w:pP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HYPERLINK \l _Toc3579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 w:val="32"/>
              <w:szCs w:val="32"/>
              <w:highlight w:val="none"/>
              <w:lang w:eastAsia="zh-CN"/>
            </w:rPr>
            <w:t>八、政府性基金预算支出决算情况说明</w:t>
          </w:r>
          <w:r>
            <w:rPr>
              <w:rFonts w:hint="eastAsia" w:ascii="Times New Roman" w:hAnsi="Times New Roman" w:eastAsia="仿宋_GB2312" w:cs="仿宋_GB2312"/>
              <w:szCs w:val="32"/>
              <w:highlight w:val="none"/>
            </w:rPr>
            <w:tab/>
          </w: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PAGEREF _Toc3579 \h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Cs w:val="32"/>
              <w:highlight w:val="none"/>
            </w:rPr>
            <w:t>- 11 -</w:t>
          </w:r>
          <w:r>
            <w:rPr>
              <w:rFonts w:hint="eastAsia" w:ascii="Times New Roman" w:hAnsi="Times New Roman" w:eastAsia="仿宋_GB2312" w:cs="仿宋_GB2312"/>
              <w:szCs w:val="32"/>
              <w:highlight w:val="none"/>
            </w:rPr>
            <w:fldChar w:fldCharType="end"/>
          </w:r>
          <w:r>
            <w:rPr>
              <w:rFonts w:hint="eastAsia" w:ascii="Times New Roman" w:hAnsi="Times New Roman" w:eastAsia="仿宋_GB2312" w:cs="仿宋_GB2312"/>
              <w:szCs w:val="32"/>
              <w:highlight w:val="none"/>
            </w:rPr>
            <w:fldChar w:fldCharType="end"/>
          </w:r>
        </w:p>
        <w:p w14:paraId="00CA655F">
          <w:pPr>
            <w:pStyle w:val="14"/>
            <w:tabs>
              <w:tab w:val="right" w:leader="dot" w:pos="8306"/>
              <w:tab w:val="clear" w:pos="8296"/>
            </w:tabs>
            <w:rPr>
              <w:rFonts w:hint="eastAsia" w:ascii="Times New Roman" w:hAnsi="Times New Roman" w:eastAsia="仿宋_GB2312" w:cs="仿宋_GB2312"/>
              <w:szCs w:val="32"/>
              <w:highlight w:val="none"/>
            </w:rPr>
          </w:pP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HYPERLINK \l _Toc17425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 w:val="32"/>
              <w:szCs w:val="32"/>
              <w:highlight w:val="none"/>
              <w:lang w:eastAsia="zh-CN"/>
            </w:rPr>
            <w:t>九、国有资本经营预算支出决算情况说明</w:t>
          </w:r>
          <w:r>
            <w:rPr>
              <w:rFonts w:hint="eastAsia" w:ascii="Times New Roman" w:hAnsi="Times New Roman" w:eastAsia="仿宋_GB2312" w:cs="仿宋_GB2312"/>
              <w:szCs w:val="32"/>
              <w:highlight w:val="none"/>
            </w:rPr>
            <w:tab/>
          </w: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PAGEREF _Toc17425 \h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Cs w:val="32"/>
              <w:highlight w:val="none"/>
            </w:rPr>
            <w:t>- 11 -</w:t>
          </w:r>
          <w:r>
            <w:rPr>
              <w:rFonts w:hint="eastAsia" w:ascii="Times New Roman" w:hAnsi="Times New Roman" w:eastAsia="仿宋_GB2312" w:cs="仿宋_GB2312"/>
              <w:szCs w:val="32"/>
              <w:highlight w:val="none"/>
            </w:rPr>
            <w:fldChar w:fldCharType="end"/>
          </w:r>
          <w:r>
            <w:rPr>
              <w:rFonts w:hint="eastAsia" w:ascii="Times New Roman" w:hAnsi="Times New Roman" w:eastAsia="仿宋_GB2312" w:cs="仿宋_GB2312"/>
              <w:szCs w:val="32"/>
              <w:highlight w:val="none"/>
            </w:rPr>
            <w:fldChar w:fldCharType="end"/>
          </w:r>
        </w:p>
        <w:p w14:paraId="68966689">
          <w:pPr>
            <w:pStyle w:val="14"/>
            <w:tabs>
              <w:tab w:val="right" w:leader="dot" w:pos="8306"/>
              <w:tab w:val="clear" w:pos="8296"/>
            </w:tabs>
            <w:rPr>
              <w:highlight w:val="none"/>
            </w:rPr>
          </w:pP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HYPERLINK \l _Toc22912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 w:val="32"/>
              <w:szCs w:val="32"/>
              <w:highlight w:val="none"/>
              <w:lang w:eastAsia="zh-CN"/>
            </w:rPr>
            <w:t>十、其他重要事项的情况说明</w:t>
          </w:r>
          <w:r>
            <w:rPr>
              <w:rFonts w:hint="eastAsia" w:ascii="Times New Roman" w:hAnsi="Times New Roman" w:eastAsia="仿宋_GB2312" w:cs="仿宋_GB2312"/>
              <w:szCs w:val="32"/>
              <w:highlight w:val="none"/>
            </w:rPr>
            <w:tab/>
          </w: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PAGEREF _Toc22912 \h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Cs w:val="32"/>
              <w:highlight w:val="none"/>
            </w:rPr>
            <w:t>- 11 -</w:t>
          </w:r>
          <w:r>
            <w:rPr>
              <w:rFonts w:hint="eastAsia" w:ascii="Times New Roman" w:hAnsi="Times New Roman" w:eastAsia="仿宋_GB2312" w:cs="仿宋_GB2312"/>
              <w:szCs w:val="32"/>
              <w:highlight w:val="none"/>
            </w:rPr>
            <w:fldChar w:fldCharType="end"/>
          </w:r>
          <w:r>
            <w:rPr>
              <w:rFonts w:hint="eastAsia" w:ascii="Times New Roman" w:hAnsi="Times New Roman" w:eastAsia="仿宋_GB2312" w:cs="仿宋_GB2312"/>
              <w:szCs w:val="32"/>
              <w:highlight w:val="none"/>
            </w:rPr>
            <w:fldChar w:fldCharType="end"/>
          </w:r>
        </w:p>
        <w:p w14:paraId="3536C973">
          <w:pPr>
            <w:pStyle w:val="14"/>
            <w:tabs>
              <w:tab w:val="right" w:leader="dot" w:pos="8306"/>
              <w:tab w:val="clear" w:pos="8296"/>
            </w:tabs>
            <w:ind w:left="0" w:leftChars="0" w:firstLine="0" w:firstLineChars="0"/>
            <w:rPr>
              <w:highlight w:val="none"/>
            </w:rPr>
          </w:pPr>
          <w:r>
            <w:rPr>
              <w:rFonts w:hint="eastAsia" w:ascii="黑体" w:hAnsi="黑体" w:eastAsia="黑体" w:cs="黑体"/>
              <w:bCs w:val="0"/>
              <w:sz w:val="32"/>
              <w:szCs w:val="32"/>
              <w:highlight w:val="none"/>
            </w:rPr>
            <w:fldChar w:fldCharType="begin"/>
          </w:r>
          <w:r>
            <w:rPr>
              <w:rFonts w:hint="eastAsia" w:ascii="黑体" w:hAnsi="黑体" w:eastAsia="黑体" w:cs="黑体"/>
              <w:bCs w:val="0"/>
              <w:sz w:val="32"/>
              <w:szCs w:val="32"/>
              <w:highlight w:val="none"/>
            </w:rPr>
            <w:instrText xml:space="preserve"> HYPERLINK \l _Toc22922 </w:instrText>
          </w:r>
          <w:r>
            <w:rPr>
              <w:rFonts w:hint="eastAsia" w:ascii="黑体" w:hAnsi="黑体" w:eastAsia="黑体" w:cs="黑体"/>
              <w:bCs w:val="0"/>
              <w:sz w:val="32"/>
              <w:szCs w:val="32"/>
              <w:highlight w:val="none"/>
            </w:rPr>
            <w:fldChar w:fldCharType="separate"/>
          </w:r>
          <w:r>
            <w:rPr>
              <w:rFonts w:hint="eastAsia" w:ascii="黑体" w:hAnsi="黑体" w:eastAsia="黑体" w:cs="黑体"/>
              <w:bCs w:val="0"/>
              <w:sz w:val="32"/>
              <w:szCs w:val="32"/>
              <w:highlight w:val="none"/>
            </w:rPr>
            <w:t>第</w:t>
          </w:r>
          <w:r>
            <w:rPr>
              <w:rFonts w:hint="eastAsia" w:ascii="黑体" w:hAnsi="黑体" w:eastAsia="黑体" w:cs="黑体"/>
              <w:bCs w:val="0"/>
              <w:sz w:val="32"/>
              <w:szCs w:val="32"/>
              <w:highlight w:val="none"/>
              <w:lang w:eastAsia="zh-CN"/>
            </w:rPr>
            <w:t>三</w:t>
          </w:r>
          <w:r>
            <w:rPr>
              <w:rFonts w:hint="eastAsia" w:ascii="黑体" w:hAnsi="黑体" w:eastAsia="黑体" w:cs="黑体"/>
              <w:bCs w:val="0"/>
              <w:sz w:val="32"/>
              <w:szCs w:val="32"/>
              <w:highlight w:val="none"/>
            </w:rPr>
            <w:t>部分</w:t>
          </w:r>
          <w:r>
            <w:rPr>
              <w:rFonts w:hint="eastAsia" w:ascii="黑体" w:hAnsi="黑体" w:eastAsia="黑体" w:cs="黑体"/>
              <w:bCs w:val="0"/>
              <w:sz w:val="32"/>
              <w:szCs w:val="32"/>
              <w:highlight w:val="none"/>
              <w:lang w:val="en-US" w:eastAsia="zh-CN"/>
            </w:rPr>
            <w:t xml:space="preserve">  </w:t>
          </w:r>
          <w:r>
            <w:rPr>
              <w:rFonts w:hint="eastAsia" w:ascii="黑体" w:hAnsi="黑体" w:eastAsia="黑体" w:cs="黑体"/>
              <w:bCs w:val="0"/>
              <w:sz w:val="32"/>
              <w:szCs w:val="32"/>
              <w:highlight w:val="none"/>
            </w:rPr>
            <w:t>名词解释</w:t>
          </w:r>
          <w:r>
            <w:rPr>
              <w:highlight w:val="none"/>
            </w:rPr>
            <w:tab/>
          </w:r>
          <w:r>
            <w:rPr>
              <w:highlight w:val="none"/>
            </w:rPr>
            <w:fldChar w:fldCharType="begin"/>
          </w:r>
          <w:r>
            <w:rPr>
              <w:highlight w:val="none"/>
            </w:rPr>
            <w:instrText xml:space="preserve"> PAGEREF _Toc22922 \h </w:instrText>
          </w:r>
          <w:r>
            <w:rPr>
              <w:highlight w:val="none"/>
            </w:rPr>
            <w:fldChar w:fldCharType="separate"/>
          </w:r>
          <w:r>
            <w:rPr>
              <w:highlight w:val="none"/>
            </w:rPr>
            <w:t>- 13 -</w:t>
          </w:r>
          <w:r>
            <w:rPr>
              <w:highlight w:val="none"/>
            </w:rPr>
            <w:fldChar w:fldCharType="end"/>
          </w:r>
          <w:r>
            <w:rPr>
              <w:rFonts w:ascii="Times New Roman" w:hAnsi="Times New Roman"/>
              <w:color w:val="auto"/>
              <w:highlight w:val="none"/>
            </w:rPr>
            <w:fldChar w:fldCharType="end"/>
          </w:r>
        </w:p>
        <w:p w14:paraId="0664B87A">
          <w:pPr>
            <w:pStyle w:val="14"/>
            <w:tabs>
              <w:tab w:val="right" w:leader="dot" w:pos="8306"/>
              <w:tab w:val="clear" w:pos="8296"/>
            </w:tabs>
            <w:ind w:left="0" w:leftChars="0" w:firstLine="0" w:firstLineChars="0"/>
            <w:rPr>
              <w:highlight w:val="none"/>
            </w:rPr>
          </w:pPr>
          <w:r>
            <w:rPr>
              <w:rFonts w:hint="eastAsia" w:ascii="黑体" w:hAnsi="黑体" w:eastAsia="黑体" w:cs="黑体"/>
              <w:bCs w:val="0"/>
              <w:sz w:val="32"/>
              <w:szCs w:val="32"/>
              <w:highlight w:val="none"/>
            </w:rPr>
            <w:fldChar w:fldCharType="begin"/>
          </w:r>
          <w:r>
            <w:rPr>
              <w:rFonts w:hint="eastAsia" w:ascii="黑体" w:hAnsi="黑体" w:eastAsia="黑体" w:cs="黑体"/>
              <w:bCs w:val="0"/>
              <w:sz w:val="32"/>
              <w:szCs w:val="32"/>
              <w:highlight w:val="none"/>
            </w:rPr>
            <w:instrText xml:space="preserve"> HYPERLINK \l _Toc8728 </w:instrText>
          </w:r>
          <w:r>
            <w:rPr>
              <w:rFonts w:hint="eastAsia" w:ascii="黑体" w:hAnsi="黑体" w:eastAsia="黑体" w:cs="黑体"/>
              <w:bCs w:val="0"/>
              <w:sz w:val="32"/>
              <w:szCs w:val="32"/>
              <w:highlight w:val="none"/>
            </w:rPr>
            <w:fldChar w:fldCharType="separate"/>
          </w:r>
          <w:r>
            <w:rPr>
              <w:rFonts w:hint="eastAsia" w:ascii="黑体" w:hAnsi="黑体" w:eastAsia="黑体" w:cs="黑体"/>
              <w:bCs w:val="0"/>
              <w:sz w:val="32"/>
              <w:szCs w:val="32"/>
              <w:highlight w:val="none"/>
            </w:rPr>
            <w:t>第四部分</w:t>
          </w:r>
          <w:r>
            <w:rPr>
              <w:rFonts w:hint="eastAsia" w:ascii="黑体" w:hAnsi="黑体" w:eastAsia="黑体" w:cs="黑体"/>
              <w:bCs w:val="0"/>
              <w:sz w:val="32"/>
              <w:szCs w:val="32"/>
              <w:highlight w:val="none"/>
              <w:lang w:val="en-US" w:eastAsia="zh-CN"/>
            </w:rPr>
            <w:t xml:space="preserve"> </w:t>
          </w:r>
          <w:r>
            <w:rPr>
              <w:rFonts w:hint="eastAsia" w:ascii="黑体" w:hAnsi="黑体" w:eastAsia="黑体" w:cs="黑体"/>
              <w:bCs w:val="0"/>
              <w:sz w:val="32"/>
              <w:szCs w:val="32"/>
              <w:highlight w:val="none"/>
            </w:rPr>
            <w:t xml:space="preserve"> 附件</w:t>
          </w:r>
          <w:r>
            <w:rPr>
              <w:highlight w:val="none"/>
            </w:rPr>
            <w:tab/>
          </w:r>
          <w:r>
            <w:rPr>
              <w:highlight w:val="none"/>
            </w:rPr>
            <w:fldChar w:fldCharType="begin"/>
          </w:r>
          <w:r>
            <w:rPr>
              <w:highlight w:val="none"/>
            </w:rPr>
            <w:instrText xml:space="preserve"> PAGEREF _Toc8728 \h </w:instrText>
          </w:r>
          <w:r>
            <w:rPr>
              <w:highlight w:val="none"/>
            </w:rPr>
            <w:fldChar w:fldCharType="separate"/>
          </w:r>
          <w:r>
            <w:rPr>
              <w:highlight w:val="none"/>
            </w:rPr>
            <w:t>- 16 -</w:t>
          </w:r>
          <w:r>
            <w:rPr>
              <w:highlight w:val="none"/>
            </w:rPr>
            <w:fldChar w:fldCharType="end"/>
          </w:r>
          <w:r>
            <w:rPr>
              <w:rFonts w:ascii="Times New Roman" w:hAnsi="Times New Roman"/>
              <w:color w:val="auto"/>
              <w:highlight w:val="none"/>
            </w:rPr>
            <w:fldChar w:fldCharType="end"/>
          </w:r>
        </w:p>
        <w:p w14:paraId="6E92AB58">
          <w:pPr>
            <w:pStyle w:val="14"/>
            <w:tabs>
              <w:tab w:val="right" w:leader="dot" w:pos="8306"/>
              <w:tab w:val="clear" w:pos="8296"/>
            </w:tabs>
            <w:ind w:left="0" w:leftChars="0" w:firstLine="0" w:firstLineChars="0"/>
            <w:rPr>
              <w:highlight w:val="none"/>
            </w:rPr>
          </w:pPr>
          <w:r>
            <w:rPr>
              <w:rFonts w:hint="eastAsia" w:ascii="黑体" w:hAnsi="黑体" w:eastAsia="黑体" w:cs="黑体"/>
              <w:bCs w:val="0"/>
              <w:sz w:val="32"/>
              <w:szCs w:val="32"/>
              <w:highlight w:val="none"/>
            </w:rPr>
            <w:fldChar w:fldCharType="begin"/>
          </w:r>
          <w:r>
            <w:rPr>
              <w:rFonts w:hint="eastAsia" w:ascii="黑体" w:hAnsi="黑体" w:eastAsia="黑体" w:cs="黑体"/>
              <w:bCs w:val="0"/>
              <w:sz w:val="32"/>
              <w:szCs w:val="32"/>
              <w:highlight w:val="none"/>
            </w:rPr>
            <w:instrText xml:space="preserve"> HYPERLINK \l _Toc4442 </w:instrText>
          </w:r>
          <w:r>
            <w:rPr>
              <w:rFonts w:hint="eastAsia" w:ascii="黑体" w:hAnsi="黑体" w:eastAsia="黑体" w:cs="黑体"/>
              <w:bCs w:val="0"/>
              <w:sz w:val="32"/>
              <w:szCs w:val="32"/>
              <w:highlight w:val="none"/>
            </w:rPr>
            <w:fldChar w:fldCharType="separate"/>
          </w:r>
          <w:r>
            <w:rPr>
              <w:rFonts w:hint="eastAsia" w:ascii="黑体" w:hAnsi="黑体" w:eastAsia="黑体" w:cs="黑体"/>
              <w:bCs w:val="0"/>
              <w:sz w:val="32"/>
              <w:szCs w:val="32"/>
              <w:highlight w:val="none"/>
            </w:rPr>
            <w:t>第五部分 附表</w:t>
          </w:r>
          <w:r>
            <w:rPr>
              <w:highlight w:val="none"/>
            </w:rPr>
            <w:tab/>
          </w:r>
          <w:r>
            <w:rPr>
              <w:highlight w:val="none"/>
            </w:rPr>
            <w:fldChar w:fldCharType="begin"/>
          </w:r>
          <w:r>
            <w:rPr>
              <w:highlight w:val="none"/>
            </w:rPr>
            <w:instrText xml:space="preserve"> PAGEREF _Toc4442 \h </w:instrText>
          </w:r>
          <w:r>
            <w:rPr>
              <w:highlight w:val="none"/>
            </w:rPr>
            <w:fldChar w:fldCharType="separate"/>
          </w:r>
          <w:r>
            <w:rPr>
              <w:highlight w:val="none"/>
            </w:rPr>
            <w:t>- 19 -</w:t>
          </w:r>
          <w:r>
            <w:rPr>
              <w:highlight w:val="none"/>
            </w:rPr>
            <w:fldChar w:fldCharType="end"/>
          </w:r>
          <w:r>
            <w:rPr>
              <w:rFonts w:ascii="Times New Roman" w:hAnsi="Times New Roman"/>
              <w:color w:val="auto"/>
              <w:highlight w:val="none"/>
            </w:rPr>
            <w:fldChar w:fldCharType="end"/>
          </w:r>
        </w:p>
        <w:p w14:paraId="6CF73288">
          <w:pPr>
            <w:pStyle w:val="14"/>
            <w:tabs>
              <w:tab w:val="right" w:leader="dot" w:pos="8306"/>
              <w:tab w:val="clear" w:pos="8296"/>
            </w:tabs>
            <w:rPr>
              <w:highlight w:val="none"/>
            </w:rPr>
          </w:pPr>
          <w:r>
            <w:rPr>
              <w:rFonts w:ascii="Times New Roman" w:hAnsi="Times New Roman"/>
              <w:color w:val="auto"/>
              <w:highlight w:val="none"/>
            </w:rPr>
            <w:fldChar w:fldCharType="begin"/>
          </w:r>
          <w:r>
            <w:rPr>
              <w:rFonts w:ascii="Times New Roman" w:hAnsi="Times New Roman"/>
              <w:highlight w:val="none"/>
            </w:rPr>
            <w:instrText xml:space="preserve"> HYPERLINK \l _Toc16386 </w:instrText>
          </w:r>
          <w:r>
            <w:rPr>
              <w:rFonts w:ascii="Times New Roman" w:hAnsi="Times New Roman"/>
              <w:highlight w:val="none"/>
            </w:rPr>
            <w:fldChar w:fldCharType="separate"/>
          </w:r>
          <w:r>
            <w:rPr>
              <w:rFonts w:hint="eastAsia" w:ascii="Times New Roman" w:hAnsi="Times New Roman" w:eastAsia="仿宋_GB2312" w:cs="仿宋_GB2312"/>
              <w:sz w:val="32"/>
              <w:szCs w:val="32"/>
              <w:highlight w:val="none"/>
              <w:lang w:eastAsia="zh-CN"/>
            </w:rPr>
            <w:t>一、收入支出决算总表</w:t>
          </w:r>
          <w:r>
            <w:rPr>
              <w:highlight w:val="none"/>
            </w:rPr>
            <w:tab/>
          </w:r>
          <w:r>
            <w:rPr>
              <w:highlight w:val="none"/>
            </w:rPr>
            <w:fldChar w:fldCharType="begin"/>
          </w:r>
          <w:r>
            <w:rPr>
              <w:highlight w:val="none"/>
            </w:rPr>
            <w:instrText xml:space="preserve"> PAGEREF _Toc16386 \h </w:instrText>
          </w:r>
          <w:r>
            <w:rPr>
              <w:highlight w:val="none"/>
            </w:rPr>
            <w:fldChar w:fldCharType="separate"/>
          </w:r>
          <w:r>
            <w:rPr>
              <w:highlight w:val="none"/>
            </w:rPr>
            <w:t>- 19 -</w:t>
          </w:r>
          <w:r>
            <w:rPr>
              <w:highlight w:val="none"/>
            </w:rPr>
            <w:fldChar w:fldCharType="end"/>
          </w:r>
          <w:r>
            <w:rPr>
              <w:rFonts w:ascii="Times New Roman" w:hAnsi="Times New Roman"/>
              <w:color w:val="auto"/>
              <w:highlight w:val="none"/>
            </w:rPr>
            <w:fldChar w:fldCharType="end"/>
          </w:r>
        </w:p>
        <w:p w14:paraId="08F2AD5A">
          <w:pPr>
            <w:pStyle w:val="14"/>
            <w:tabs>
              <w:tab w:val="right" w:leader="dot" w:pos="8306"/>
              <w:tab w:val="clear" w:pos="8296"/>
            </w:tabs>
            <w:rPr>
              <w:highlight w:val="none"/>
            </w:rPr>
          </w:pPr>
          <w:r>
            <w:rPr>
              <w:rFonts w:ascii="Times New Roman" w:hAnsi="Times New Roman"/>
              <w:color w:val="auto"/>
              <w:highlight w:val="none"/>
            </w:rPr>
            <w:fldChar w:fldCharType="begin"/>
          </w:r>
          <w:r>
            <w:rPr>
              <w:rFonts w:ascii="Times New Roman" w:hAnsi="Times New Roman"/>
              <w:highlight w:val="none"/>
            </w:rPr>
            <w:instrText xml:space="preserve"> HYPERLINK \l _Toc31029 </w:instrText>
          </w:r>
          <w:r>
            <w:rPr>
              <w:rFonts w:ascii="Times New Roman" w:hAnsi="Times New Roman"/>
              <w:highlight w:val="none"/>
            </w:rPr>
            <w:fldChar w:fldCharType="separate"/>
          </w:r>
          <w:r>
            <w:rPr>
              <w:rFonts w:hint="eastAsia" w:ascii="Times New Roman" w:hAnsi="Times New Roman" w:eastAsia="仿宋_GB2312" w:cs="仿宋_GB2312"/>
              <w:sz w:val="32"/>
              <w:szCs w:val="32"/>
              <w:highlight w:val="none"/>
              <w:lang w:eastAsia="zh-CN"/>
            </w:rPr>
            <w:t>二、收入决算表</w:t>
          </w:r>
          <w:r>
            <w:rPr>
              <w:highlight w:val="none"/>
            </w:rPr>
            <w:tab/>
          </w:r>
          <w:r>
            <w:rPr>
              <w:highlight w:val="none"/>
            </w:rPr>
            <w:fldChar w:fldCharType="begin"/>
          </w:r>
          <w:r>
            <w:rPr>
              <w:highlight w:val="none"/>
            </w:rPr>
            <w:instrText xml:space="preserve"> PAGEREF _Toc31029 \h </w:instrText>
          </w:r>
          <w:r>
            <w:rPr>
              <w:highlight w:val="none"/>
            </w:rPr>
            <w:fldChar w:fldCharType="separate"/>
          </w:r>
          <w:r>
            <w:rPr>
              <w:highlight w:val="none"/>
            </w:rPr>
            <w:t>- 19 -</w:t>
          </w:r>
          <w:r>
            <w:rPr>
              <w:highlight w:val="none"/>
            </w:rPr>
            <w:fldChar w:fldCharType="end"/>
          </w:r>
          <w:r>
            <w:rPr>
              <w:rFonts w:ascii="Times New Roman" w:hAnsi="Times New Roman"/>
              <w:color w:val="auto"/>
              <w:highlight w:val="none"/>
            </w:rPr>
            <w:fldChar w:fldCharType="end"/>
          </w:r>
        </w:p>
        <w:p w14:paraId="353A6960">
          <w:pPr>
            <w:pStyle w:val="14"/>
            <w:tabs>
              <w:tab w:val="right" w:leader="dot" w:pos="8306"/>
              <w:tab w:val="clear" w:pos="8296"/>
            </w:tabs>
            <w:rPr>
              <w:highlight w:val="none"/>
            </w:rPr>
          </w:pPr>
          <w:r>
            <w:rPr>
              <w:rFonts w:ascii="Times New Roman" w:hAnsi="Times New Roman"/>
              <w:color w:val="auto"/>
              <w:highlight w:val="none"/>
            </w:rPr>
            <w:fldChar w:fldCharType="begin"/>
          </w:r>
          <w:r>
            <w:rPr>
              <w:rFonts w:ascii="Times New Roman" w:hAnsi="Times New Roman"/>
              <w:highlight w:val="none"/>
            </w:rPr>
            <w:instrText xml:space="preserve"> HYPERLINK \l _Toc3784 </w:instrText>
          </w:r>
          <w:r>
            <w:rPr>
              <w:rFonts w:ascii="Times New Roman" w:hAnsi="Times New Roman"/>
              <w:highlight w:val="none"/>
            </w:rPr>
            <w:fldChar w:fldCharType="separate"/>
          </w:r>
          <w:r>
            <w:rPr>
              <w:rFonts w:hint="eastAsia" w:ascii="Times New Roman" w:hAnsi="Times New Roman" w:eastAsia="仿宋_GB2312" w:cs="仿宋_GB2312"/>
              <w:sz w:val="32"/>
              <w:szCs w:val="32"/>
              <w:highlight w:val="none"/>
              <w:lang w:eastAsia="zh-CN"/>
            </w:rPr>
            <w:t>三、支出决算表</w:t>
          </w:r>
          <w:r>
            <w:rPr>
              <w:highlight w:val="none"/>
            </w:rPr>
            <w:tab/>
          </w:r>
          <w:r>
            <w:rPr>
              <w:highlight w:val="none"/>
            </w:rPr>
            <w:fldChar w:fldCharType="begin"/>
          </w:r>
          <w:r>
            <w:rPr>
              <w:highlight w:val="none"/>
            </w:rPr>
            <w:instrText xml:space="preserve"> PAGEREF _Toc3784 \h </w:instrText>
          </w:r>
          <w:r>
            <w:rPr>
              <w:highlight w:val="none"/>
            </w:rPr>
            <w:fldChar w:fldCharType="separate"/>
          </w:r>
          <w:r>
            <w:rPr>
              <w:highlight w:val="none"/>
            </w:rPr>
            <w:t>- 19 -</w:t>
          </w:r>
          <w:r>
            <w:rPr>
              <w:highlight w:val="none"/>
            </w:rPr>
            <w:fldChar w:fldCharType="end"/>
          </w:r>
          <w:r>
            <w:rPr>
              <w:rFonts w:ascii="Times New Roman" w:hAnsi="Times New Roman"/>
              <w:color w:val="auto"/>
              <w:highlight w:val="none"/>
            </w:rPr>
            <w:fldChar w:fldCharType="end"/>
          </w:r>
        </w:p>
        <w:p w14:paraId="19B61F1D">
          <w:pPr>
            <w:pStyle w:val="14"/>
            <w:tabs>
              <w:tab w:val="right" w:leader="dot" w:pos="8306"/>
              <w:tab w:val="clear" w:pos="8296"/>
            </w:tabs>
            <w:rPr>
              <w:highlight w:val="none"/>
            </w:rPr>
          </w:pPr>
          <w:r>
            <w:rPr>
              <w:rFonts w:ascii="Times New Roman" w:hAnsi="Times New Roman"/>
              <w:color w:val="auto"/>
              <w:highlight w:val="none"/>
            </w:rPr>
            <w:fldChar w:fldCharType="begin"/>
          </w:r>
          <w:r>
            <w:rPr>
              <w:rFonts w:ascii="Times New Roman" w:hAnsi="Times New Roman"/>
              <w:highlight w:val="none"/>
            </w:rPr>
            <w:instrText xml:space="preserve"> HYPERLINK \l _Toc6270 </w:instrText>
          </w:r>
          <w:r>
            <w:rPr>
              <w:rFonts w:ascii="Times New Roman" w:hAnsi="Times New Roman"/>
              <w:highlight w:val="none"/>
            </w:rPr>
            <w:fldChar w:fldCharType="separate"/>
          </w:r>
          <w:r>
            <w:rPr>
              <w:rFonts w:hint="eastAsia" w:ascii="Times New Roman" w:hAnsi="Times New Roman" w:eastAsia="仿宋_GB2312" w:cs="仿宋_GB2312"/>
              <w:sz w:val="32"/>
              <w:szCs w:val="32"/>
              <w:highlight w:val="none"/>
              <w:lang w:eastAsia="zh-CN"/>
            </w:rPr>
            <w:t>四、财政拨款收入支出决算总表</w:t>
          </w:r>
          <w:r>
            <w:rPr>
              <w:highlight w:val="none"/>
            </w:rPr>
            <w:tab/>
          </w:r>
          <w:r>
            <w:rPr>
              <w:highlight w:val="none"/>
            </w:rPr>
            <w:fldChar w:fldCharType="begin"/>
          </w:r>
          <w:r>
            <w:rPr>
              <w:highlight w:val="none"/>
            </w:rPr>
            <w:instrText xml:space="preserve"> PAGEREF _Toc6270 \h </w:instrText>
          </w:r>
          <w:r>
            <w:rPr>
              <w:highlight w:val="none"/>
            </w:rPr>
            <w:fldChar w:fldCharType="separate"/>
          </w:r>
          <w:r>
            <w:rPr>
              <w:highlight w:val="none"/>
            </w:rPr>
            <w:t>- 19 -</w:t>
          </w:r>
          <w:r>
            <w:rPr>
              <w:highlight w:val="none"/>
            </w:rPr>
            <w:fldChar w:fldCharType="end"/>
          </w:r>
          <w:r>
            <w:rPr>
              <w:rFonts w:ascii="Times New Roman" w:hAnsi="Times New Roman"/>
              <w:color w:val="auto"/>
              <w:highlight w:val="none"/>
            </w:rPr>
            <w:fldChar w:fldCharType="end"/>
          </w:r>
        </w:p>
        <w:p w14:paraId="52520FC6">
          <w:pPr>
            <w:pStyle w:val="14"/>
            <w:tabs>
              <w:tab w:val="right" w:leader="dot" w:pos="8306"/>
              <w:tab w:val="clear" w:pos="8296"/>
            </w:tabs>
            <w:rPr>
              <w:highlight w:val="none"/>
            </w:rPr>
          </w:pPr>
          <w:r>
            <w:rPr>
              <w:rFonts w:ascii="Times New Roman" w:hAnsi="Times New Roman"/>
              <w:color w:val="auto"/>
              <w:highlight w:val="none"/>
            </w:rPr>
            <w:fldChar w:fldCharType="begin"/>
          </w:r>
          <w:r>
            <w:rPr>
              <w:rFonts w:ascii="Times New Roman" w:hAnsi="Times New Roman"/>
              <w:highlight w:val="none"/>
            </w:rPr>
            <w:instrText xml:space="preserve"> HYPERLINK \l _Toc12861 </w:instrText>
          </w:r>
          <w:r>
            <w:rPr>
              <w:rFonts w:ascii="Times New Roman" w:hAnsi="Times New Roman"/>
              <w:highlight w:val="none"/>
            </w:rPr>
            <w:fldChar w:fldCharType="separate"/>
          </w:r>
          <w:r>
            <w:rPr>
              <w:rFonts w:hint="eastAsia" w:ascii="Times New Roman" w:hAnsi="Times New Roman" w:eastAsia="仿宋_GB2312" w:cs="仿宋_GB2312"/>
              <w:sz w:val="32"/>
              <w:szCs w:val="32"/>
              <w:highlight w:val="none"/>
              <w:lang w:eastAsia="zh-CN"/>
            </w:rPr>
            <w:t>五、财政拨款支出决算明细表</w:t>
          </w:r>
          <w:r>
            <w:rPr>
              <w:highlight w:val="none"/>
            </w:rPr>
            <w:tab/>
          </w:r>
          <w:r>
            <w:rPr>
              <w:highlight w:val="none"/>
            </w:rPr>
            <w:fldChar w:fldCharType="begin"/>
          </w:r>
          <w:r>
            <w:rPr>
              <w:highlight w:val="none"/>
            </w:rPr>
            <w:instrText xml:space="preserve"> PAGEREF _Toc12861 \h </w:instrText>
          </w:r>
          <w:r>
            <w:rPr>
              <w:highlight w:val="none"/>
            </w:rPr>
            <w:fldChar w:fldCharType="separate"/>
          </w:r>
          <w:r>
            <w:rPr>
              <w:highlight w:val="none"/>
            </w:rPr>
            <w:t>- 19 -</w:t>
          </w:r>
          <w:r>
            <w:rPr>
              <w:highlight w:val="none"/>
            </w:rPr>
            <w:fldChar w:fldCharType="end"/>
          </w:r>
          <w:r>
            <w:rPr>
              <w:rFonts w:ascii="Times New Roman" w:hAnsi="Times New Roman"/>
              <w:color w:val="auto"/>
              <w:highlight w:val="none"/>
            </w:rPr>
            <w:fldChar w:fldCharType="end"/>
          </w:r>
        </w:p>
        <w:p w14:paraId="7A38550D">
          <w:pPr>
            <w:pStyle w:val="14"/>
            <w:tabs>
              <w:tab w:val="right" w:leader="dot" w:pos="8306"/>
              <w:tab w:val="clear" w:pos="8296"/>
            </w:tabs>
            <w:rPr>
              <w:highlight w:val="none"/>
            </w:rPr>
          </w:pPr>
          <w:r>
            <w:rPr>
              <w:rFonts w:ascii="Times New Roman" w:hAnsi="Times New Roman"/>
              <w:color w:val="auto"/>
              <w:highlight w:val="none"/>
            </w:rPr>
            <w:fldChar w:fldCharType="begin"/>
          </w:r>
          <w:r>
            <w:rPr>
              <w:rFonts w:ascii="Times New Roman" w:hAnsi="Times New Roman"/>
              <w:highlight w:val="none"/>
            </w:rPr>
            <w:instrText xml:space="preserve"> HYPERLINK \l _Toc15821 </w:instrText>
          </w:r>
          <w:r>
            <w:rPr>
              <w:rFonts w:ascii="Times New Roman" w:hAnsi="Times New Roman"/>
              <w:highlight w:val="none"/>
            </w:rPr>
            <w:fldChar w:fldCharType="separate"/>
          </w:r>
          <w:r>
            <w:rPr>
              <w:rFonts w:hint="eastAsia" w:ascii="Times New Roman" w:hAnsi="Times New Roman" w:eastAsia="仿宋_GB2312" w:cs="仿宋_GB2312"/>
              <w:sz w:val="32"/>
              <w:szCs w:val="32"/>
              <w:highlight w:val="none"/>
              <w:lang w:eastAsia="zh-CN"/>
            </w:rPr>
            <w:t>六、一般公共预算财政拨款支出决算表</w:t>
          </w:r>
          <w:r>
            <w:rPr>
              <w:highlight w:val="none"/>
            </w:rPr>
            <w:tab/>
          </w:r>
          <w:r>
            <w:rPr>
              <w:highlight w:val="none"/>
            </w:rPr>
            <w:fldChar w:fldCharType="begin"/>
          </w:r>
          <w:r>
            <w:rPr>
              <w:highlight w:val="none"/>
            </w:rPr>
            <w:instrText xml:space="preserve"> PAGEREF _Toc15821 \h </w:instrText>
          </w:r>
          <w:r>
            <w:rPr>
              <w:highlight w:val="none"/>
            </w:rPr>
            <w:fldChar w:fldCharType="separate"/>
          </w:r>
          <w:r>
            <w:rPr>
              <w:highlight w:val="none"/>
            </w:rPr>
            <w:t>- 19 -</w:t>
          </w:r>
          <w:r>
            <w:rPr>
              <w:highlight w:val="none"/>
            </w:rPr>
            <w:fldChar w:fldCharType="end"/>
          </w:r>
          <w:r>
            <w:rPr>
              <w:rFonts w:ascii="Times New Roman" w:hAnsi="Times New Roman"/>
              <w:color w:val="auto"/>
              <w:highlight w:val="none"/>
            </w:rPr>
            <w:fldChar w:fldCharType="end"/>
          </w:r>
        </w:p>
        <w:p w14:paraId="6F7D301B">
          <w:pPr>
            <w:pStyle w:val="14"/>
            <w:tabs>
              <w:tab w:val="right" w:leader="dot" w:pos="8306"/>
              <w:tab w:val="clear" w:pos="8296"/>
            </w:tabs>
            <w:rPr>
              <w:highlight w:val="none"/>
            </w:rPr>
          </w:pPr>
          <w:r>
            <w:rPr>
              <w:rFonts w:ascii="Times New Roman" w:hAnsi="Times New Roman"/>
              <w:color w:val="auto"/>
              <w:highlight w:val="none"/>
            </w:rPr>
            <w:fldChar w:fldCharType="begin"/>
          </w:r>
          <w:r>
            <w:rPr>
              <w:rFonts w:ascii="Times New Roman" w:hAnsi="Times New Roman"/>
              <w:highlight w:val="none"/>
            </w:rPr>
            <w:instrText xml:space="preserve"> HYPERLINK \l _Toc22628 </w:instrText>
          </w:r>
          <w:r>
            <w:rPr>
              <w:rFonts w:ascii="Times New Roman" w:hAnsi="Times New Roman"/>
              <w:highlight w:val="none"/>
            </w:rPr>
            <w:fldChar w:fldCharType="separate"/>
          </w:r>
          <w:r>
            <w:rPr>
              <w:rFonts w:hint="eastAsia" w:ascii="Times New Roman" w:hAnsi="Times New Roman" w:eastAsia="仿宋_GB2312" w:cs="仿宋_GB2312"/>
              <w:sz w:val="32"/>
              <w:szCs w:val="32"/>
              <w:highlight w:val="none"/>
              <w:lang w:eastAsia="zh-CN"/>
            </w:rPr>
            <w:t>七、一般公共预算财政拨款支出决算明细表</w:t>
          </w:r>
          <w:r>
            <w:rPr>
              <w:highlight w:val="none"/>
            </w:rPr>
            <w:tab/>
          </w:r>
          <w:r>
            <w:rPr>
              <w:highlight w:val="none"/>
            </w:rPr>
            <w:fldChar w:fldCharType="begin"/>
          </w:r>
          <w:r>
            <w:rPr>
              <w:highlight w:val="none"/>
            </w:rPr>
            <w:instrText xml:space="preserve"> PAGEREF _Toc22628 \h </w:instrText>
          </w:r>
          <w:r>
            <w:rPr>
              <w:highlight w:val="none"/>
            </w:rPr>
            <w:fldChar w:fldCharType="separate"/>
          </w:r>
          <w:r>
            <w:rPr>
              <w:highlight w:val="none"/>
            </w:rPr>
            <w:t>- 19 -</w:t>
          </w:r>
          <w:r>
            <w:rPr>
              <w:highlight w:val="none"/>
            </w:rPr>
            <w:fldChar w:fldCharType="end"/>
          </w:r>
          <w:r>
            <w:rPr>
              <w:rFonts w:ascii="Times New Roman" w:hAnsi="Times New Roman"/>
              <w:color w:val="auto"/>
              <w:highlight w:val="none"/>
            </w:rPr>
            <w:fldChar w:fldCharType="end"/>
          </w:r>
        </w:p>
        <w:p w14:paraId="25C7C4A4">
          <w:pPr>
            <w:pStyle w:val="14"/>
            <w:tabs>
              <w:tab w:val="right" w:leader="dot" w:pos="8306"/>
              <w:tab w:val="clear" w:pos="8296"/>
            </w:tabs>
            <w:rPr>
              <w:highlight w:val="none"/>
            </w:rPr>
          </w:pPr>
          <w:r>
            <w:rPr>
              <w:rFonts w:ascii="Times New Roman" w:hAnsi="Times New Roman"/>
              <w:color w:val="auto"/>
              <w:highlight w:val="none"/>
            </w:rPr>
            <w:fldChar w:fldCharType="begin"/>
          </w:r>
          <w:r>
            <w:rPr>
              <w:rFonts w:ascii="Times New Roman" w:hAnsi="Times New Roman"/>
              <w:highlight w:val="none"/>
            </w:rPr>
            <w:instrText xml:space="preserve"> HYPERLINK \l _Toc14781 </w:instrText>
          </w:r>
          <w:r>
            <w:rPr>
              <w:rFonts w:ascii="Times New Roman" w:hAnsi="Times New Roman"/>
              <w:highlight w:val="none"/>
            </w:rPr>
            <w:fldChar w:fldCharType="separate"/>
          </w:r>
          <w:r>
            <w:rPr>
              <w:rFonts w:hint="eastAsia" w:ascii="Times New Roman" w:hAnsi="Times New Roman" w:eastAsia="仿宋_GB2312" w:cs="仿宋_GB2312"/>
              <w:sz w:val="32"/>
              <w:szCs w:val="32"/>
              <w:highlight w:val="none"/>
              <w:lang w:eastAsia="zh-CN"/>
            </w:rPr>
            <w:t>八、一般公共预算财政拨款基本支出决算表</w:t>
          </w:r>
          <w:r>
            <w:rPr>
              <w:highlight w:val="none"/>
            </w:rPr>
            <w:tab/>
          </w:r>
          <w:r>
            <w:rPr>
              <w:highlight w:val="none"/>
            </w:rPr>
            <w:fldChar w:fldCharType="begin"/>
          </w:r>
          <w:r>
            <w:rPr>
              <w:highlight w:val="none"/>
            </w:rPr>
            <w:instrText xml:space="preserve"> PAGEREF _Toc14781 \h </w:instrText>
          </w:r>
          <w:r>
            <w:rPr>
              <w:highlight w:val="none"/>
            </w:rPr>
            <w:fldChar w:fldCharType="separate"/>
          </w:r>
          <w:r>
            <w:rPr>
              <w:highlight w:val="none"/>
            </w:rPr>
            <w:t>- 19 -</w:t>
          </w:r>
          <w:r>
            <w:rPr>
              <w:highlight w:val="none"/>
            </w:rPr>
            <w:fldChar w:fldCharType="end"/>
          </w:r>
          <w:r>
            <w:rPr>
              <w:rFonts w:ascii="Times New Roman" w:hAnsi="Times New Roman"/>
              <w:color w:val="auto"/>
              <w:highlight w:val="none"/>
            </w:rPr>
            <w:fldChar w:fldCharType="end"/>
          </w:r>
        </w:p>
        <w:p w14:paraId="253B5C30">
          <w:pPr>
            <w:pStyle w:val="14"/>
            <w:tabs>
              <w:tab w:val="right" w:leader="dot" w:pos="8306"/>
              <w:tab w:val="clear" w:pos="8296"/>
            </w:tabs>
            <w:rPr>
              <w:highlight w:val="none"/>
            </w:rPr>
          </w:pPr>
          <w:r>
            <w:rPr>
              <w:rFonts w:ascii="Times New Roman" w:hAnsi="Times New Roman"/>
              <w:color w:val="auto"/>
              <w:highlight w:val="none"/>
            </w:rPr>
            <w:fldChar w:fldCharType="begin"/>
          </w:r>
          <w:r>
            <w:rPr>
              <w:rFonts w:ascii="Times New Roman" w:hAnsi="Times New Roman"/>
              <w:highlight w:val="none"/>
            </w:rPr>
            <w:instrText xml:space="preserve"> HYPERLINK \l _Toc1925 </w:instrText>
          </w:r>
          <w:r>
            <w:rPr>
              <w:rFonts w:ascii="Times New Roman" w:hAnsi="Times New Roman"/>
              <w:highlight w:val="none"/>
            </w:rPr>
            <w:fldChar w:fldCharType="separate"/>
          </w:r>
          <w:r>
            <w:rPr>
              <w:rFonts w:hint="eastAsia" w:ascii="Times New Roman" w:hAnsi="Times New Roman" w:eastAsia="仿宋_GB2312" w:cs="仿宋_GB2312"/>
              <w:sz w:val="32"/>
              <w:szCs w:val="32"/>
              <w:highlight w:val="none"/>
              <w:lang w:eastAsia="zh-CN"/>
            </w:rPr>
            <w:t>九、一般公共预算财政拨款项目支出决算表</w:t>
          </w:r>
          <w:r>
            <w:rPr>
              <w:highlight w:val="none"/>
            </w:rPr>
            <w:tab/>
          </w:r>
          <w:r>
            <w:rPr>
              <w:highlight w:val="none"/>
            </w:rPr>
            <w:fldChar w:fldCharType="begin"/>
          </w:r>
          <w:r>
            <w:rPr>
              <w:highlight w:val="none"/>
            </w:rPr>
            <w:instrText xml:space="preserve"> PAGEREF _Toc1925 \h </w:instrText>
          </w:r>
          <w:r>
            <w:rPr>
              <w:highlight w:val="none"/>
            </w:rPr>
            <w:fldChar w:fldCharType="separate"/>
          </w:r>
          <w:r>
            <w:rPr>
              <w:highlight w:val="none"/>
            </w:rPr>
            <w:t>- 19 -</w:t>
          </w:r>
          <w:r>
            <w:rPr>
              <w:highlight w:val="none"/>
            </w:rPr>
            <w:fldChar w:fldCharType="end"/>
          </w:r>
          <w:r>
            <w:rPr>
              <w:rFonts w:ascii="Times New Roman" w:hAnsi="Times New Roman"/>
              <w:color w:val="auto"/>
              <w:highlight w:val="none"/>
            </w:rPr>
            <w:fldChar w:fldCharType="end"/>
          </w:r>
        </w:p>
        <w:p w14:paraId="0ED52FE4">
          <w:pPr>
            <w:pStyle w:val="14"/>
            <w:tabs>
              <w:tab w:val="right" w:leader="dot" w:pos="8306"/>
              <w:tab w:val="clear" w:pos="8296"/>
            </w:tabs>
            <w:rPr>
              <w:highlight w:val="none"/>
            </w:rPr>
          </w:pPr>
          <w:r>
            <w:rPr>
              <w:rFonts w:ascii="Times New Roman" w:hAnsi="Times New Roman"/>
              <w:color w:val="auto"/>
              <w:highlight w:val="none"/>
            </w:rPr>
            <w:fldChar w:fldCharType="begin"/>
          </w:r>
          <w:r>
            <w:rPr>
              <w:rFonts w:ascii="Times New Roman" w:hAnsi="Times New Roman"/>
              <w:highlight w:val="none"/>
            </w:rPr>
            <w:instrText xml:space="preserve"> HYPERLINK \l _Toc31015 </w:instrText>
          </w:r>
          <w:r>
            <w:rPr>
              <w:rFonts w:ascii="Times New Roman" w:hAnsi="Times New Roman"/>
              <w:highlight w:val="none"/>
            </w:rPr>
            <w:fldChar w:fldCharType="separate"/>
          </w:r>
          <w:r>
            <w:rPr>
              <w:rFonts w:hint="eastAsia" w:ascii="Times New Roman" w:hAnsi="Times New Roman" w:eastAsia="仿宋_GB2312" w:cs="仿宋_GB2312"/>
              <w:sz w:val="32"/>
              <w:szCs w:val="32"/>
              <w:highlight w:val="none"/>
              <w:lang w:eastAsia="zh-CN"/>
            </w:rPr>
            <w:t>十、政府性基金预算财政拨款收入支出决算表</w:t>
          </w:r>
          <w:r>
            <w:rPr>
              <w:highlight w:val="none"/>
            </w:rPr>
            <w:tab/>
          </w:r>
          <w:r>
            <w:rPr>
              <w:highlight w:val="none"/>
            </w:rPr>
            <w:fldChar w:fldCharType="begin"/>
          </w:r>
          <w:r>
            <w:rPr>
              <w:highlight w:val="none"/>
            </w:rPr>
            <w:instrText xml:space="preserve"> PAGEREF _Toc31015 \h </w:instrText>
          </w:r>
          <w:r>
            <w:rPr>
              <w:highlight w:val="none"/>
            </w:rPr>
            <w:fldChar w:fldCharType="separate"/>
          </w:r>
          <w:r>
            <w:rPr>
              <w:highlight w:val="none"/>
            </w:rPr>
            <w:t>- 19 -</w:t>
          </w:r>
          <w:r>
            <w:rPr>
              <w:highlight w:val="none"/>
            </w:rPr>
            <w:fldChar w:fldCharType="end"/>
          </w:r>
          <w:r>
            <w:rPr>
              <w:rFonts w:ascii="Times New Roman" w:hAnsi="Times New Roman"/>
              <w:color w:val="auto"/>
              <w:highlight w:val="none"/>
            </w:rPr>
            <w:fldChar w:fldCharType="end"/>
          </w:r>
        </w:p>
        <w:p w14:paraId="06F927C3">
          <w:pPr>
            <w:pStyle w:val="14"/>
            <w:tabs>
              <w:tab w:val="right" w:leader="dot" w:pos="8306"/>
              <w:tab w:val="clear" w:pos="8296"/>
            </w:tabs>
            <w:rPr>
              <w:highlight w:val="none"/>
            </w:rPr>
          </w:pPr>
          <w:r>
            <w:rPr>
              <w:rFonts w:ascii="Times New Roman" w:hAnsi="Times New Roman"/>
              <w:color w:val="auto"/>
              <w:highlight w:val="none"/>
            </w:rPr>
            <w:fldChar w:fldCharType="begin"/>
          </w:r>
          <w:r>
            <w:rPr>
              <w:rFonts w:ascii="Times New Roman" w:hAnsi="Times New Roman"/>
              <w:highlight w:val="none"/>
            </w:rPr>
            <w:instrText xml:space="preserve"> HYPERLINK \l _Toc16895 </w:instrText>
          </w:r>
          <w:r>
            <w:rPr>
              <w:rFonts w:ascii="Times New Roman" w:hAnsi="Times New Roman"/>
              <w:highlight w:val="none"/>
            </w:rPr>
            <w:fldChar w:fldCharType="separate"/>
          </w:r>
          <w:r>
            <w:rPr>
              <w:rFonts w:hint="eastAsia" w:ascii="Times New Roman" w:hAnsi="Times New Roman" w:eastAsia="仿宋_GB2312" w:cs="仿宋_GB2312"/>
              <w:sz w:val="32"/>
              <w:szCs w:val="32"/>
              <w:highlight w:val="none"/>
              <w:lang w:eastAsia="zh-CN"/>
            </w:rPr>
            <w:t>十一、国有资本经营预算财政拨款收入支出决算表</w:t>
          </w:r>
          <w:r>
            <w:rPr>
              <w:highlight w:val="none"/>
            </w:rPr>
            <w:tab/>
          </w:r>
          <w:r>
            <w:rPr>
              <w:highlight w:val="none"/>
            </w:rPr>
            <w:fldChar w:fldCharType="begin"/>
          </w:r>
          <w:r>
            <w:rPr>
              <w:highlight w:val="none"/>
            </w:rPr>
            <w:instrText xml:space="preserve"> PAGEREF _Toc16895 \h </w:instrText>
          </w:r>
          <w:r>
            <w:rPr>
              <w:highlight w:val="none"/>
            </w:rPr>
            <w:fldChar w:fldCharType="separate"/>
          </w:r>
          <w:r>
            <w:rPr>
              <w:highlight w:val="none"/>
            </w:rPr>
            <w:t>- 19 -</w:t>
          </w:r>
          <w:r>
            <w:rPr>
              <w:highlight w:val="none"/>
            </w:rPr>
            <w:fldChar w:fldCharType="end"/>
          </w:r>
          <w:r>
            <w:rPr>
              <w:rFonts w:ascii="Times New Roman" w:hAnsi="Times New Roman"/>
              <w:color w:val="auto"/>
              <w:highlight w:val="none"/>
            </w:rPr>
            <w:fldChar w:fldCharType="end"/>
          </w:r>
        </w:p>
        <w:p w14:paraId="032A51B5">
          <w:pPr>
            <w:pStyle w:val="14"/>
            <w:tabs>
              <w:tab w:val="right" w:leader="dot" w:pos="8306"/>
              <w:tab w:val="clear" w:pos="8296"/>
            </w:tabs>
            <w:rPr>
              <w:highlight w:val="none"/>
            </w:rPr>
          </w:pPr>
          <w:r>
            <w:rPr>
              <w:rFonts w:ascii="Times New Roman" w:hAnsi="Times New Roman"/>
              <w:color w:val="auto"/>
              <w:highlight w:val="none"/>
            </w:rPr>
            <w:fldChar w:fldCharType="begin"/>
          </w:r>
          <w:r>
            <w:rPr>
              <w:rFonts w:ascii="Times New Roman" w:hAnsi="Times New Roman"/>
              <w:highlight w:val="none"/>
            </w:rPr>
            <w:instrText xml:space="preserve"> HYPERLINK \l _Toc16946 </w:instrText>
          </w:r>
          <w:r>
            <w:rPr>
              <w:rFonts w:ascii="Times New Roman" w:hAnsi="Times New Roman"/>
              <w:highlight w:val="none"/>
            </w:rPr>
            <w:fldChar w:fldCharType="separate"/>
          </w:r>
          <w:r>
            <w:rPr>
              <w:rFonts w:hint="eastAsia" w:ascii="Times New Roman" w:hAnsi="Times New Roman" w:eastAsia="仿宋_GB2312" w:cs="仿宋_GB2312"/>
              <w:sz w:val="32"/>
              <w:szCs w:val="32"/>
              <w:highlight w:val="none"/>
              <w:lang w:eastAsia="zh-CN"/>
            </w:rPr>
            <w:t>十二、国有资本经营预算财政拨款支出决算表</w:t>
          </w:r>
          <w:r>
            <w:rPr>
              <w:highlight w:val="none"/>
            </w:rPr>
            <w:tab/>
          </w:r>
          <w:r>
            <w:rPr>
              <w:highlight w:val="none"/>
            </w:rPr>
            <w:fldChar w:fldCharType="begin"/>
          </w:r>
          <w:r>
            <w:rPr>
              <w:highlight w:val="none"/>
            </w:rPr>
            <w:instrText xml:space="preserve"> PAGEREF _Toc16946 \h </w:instrText>
          </w:r>
          <w:r>
            <w:rPr>
              <w:highlight w:val="none"/>
            </w:rPr>
            <w:fldChar w:fldCharType="separate"/>
          </w:r>
          <w:r>
            <w:rPr>
              <w:highlight w:val="none"/>
            </w:rPr>
            <w:t>- 19 -</w:t>
          </w:r>
          <w:r>
            <w:rPr>
              <w:highlight w:val="none"/>
            </w:rPr>
            <w:fldChar w:fldCharType="end"/>
          </w:r>
          <w:r>
            <w:rPr>
              <w:rFonts w:ascii="Times New Roman" w:hAnsi="Times New Roman"/>
              <w:color w:val="auto"/>
              <w:highlight w:val="none"/>
            </w:rPr>
            <w:fldChar w:fldCharType="end"/>
          </w:r>
        </w:p>
        <w:p w14:paraId="0E9CDF8D">
          <w:pPr>
            <w:pStyle w:val="14"/>
            <w:tabs>
              <w:tab w:val="right" w:leader="dot" w:pos="8306"/>
              <w:tab w:val="clear" w:pos="8296"/>
            </w:tabs>
            <w:rPr>
              <w:highlight w:val="none"/>
            </w:rPr>
          </w:pPr>
          <w:r>
            <w:rPr>
              <w:rFonts w:ascii="Times New Roman" w:hAnsi="Times New Roman"/>
              <w:color w:val="auto"/>
              <w:highlight w:val="none"/>
            </w:rPr>
            <w:fldChar w:fldCharType="begin"/>
          </w:r>
          <w:r>
            <w:rPr>
              <w:rFonts w:ascii="Times New Roman" w:hAnsi="Times New Roman"/>
              <w:highlight w:val="none"/>
            </w:rPr>
            <w:instrText xml:space="preserve"> HYPERLINK \l _Toc21910 </w:instrText>
          </w:r>
          <w:r>
            <w:rPr>
              <w:rFonts w:ascii="Times New Roman" w:hAnsi="Times New Roman"/>
              <w:highlight w:val="none"/>
            </w:rPr>
            <w:fldChar w:fldCharType="separate"/>
          </w:r>
          <w:r>
            <w:rPr>
              <w:rFonts w:hint="eastAsia" w:ascii="Times New Roman" w:hAnsi="Times New Roman" w:eastAsia="仿宋_GB2312" w:cs="仿宋_GB2312"/>
              <w:sz w:val="32"/>
              <w:szCs w:val="32"/>
              <w:highlight w:val="none"/>
              <w:lang w:eastAsia="zh-CN"/>
            </w:rPr>
            <w:t>十三、财政拨款“三公”经费支出决算表</w:t>
          </w:r>
          <w:r>
            <w:rPr>
              <w:highlight w:val="none"/>
            </w:rPr>
            <w:tab/>
          </w:r>
          <w:r>
            <w:rPr>
              <w:highlight w:val="none"/>
            </w:rPr>
            <w:fldChar w:fldCharType="begin"/>
          </w:r>
          <w:r>
            <w:rPr>
              <w:highlight w:val="none"/>
            </w:rPr>
            <w:instrText xml:space="preserve"> PAGEREF _Toc21910 \h </w:instrText>
          </w:r>
          <w:r>
            <w:rPr>
              <w:highlight w:val="none"/>
            </w:rPr>
            <w:fldChar w:fldCharType="separate"/>
          </w:r>
          <w:r>
            <w:rPr>
              <w:highlight w:val="none"/>
            </w:rPr>
            <w:t>- 19 -</w:t>
          </w:r>
          <w:r>
            <w:rPr>
              <w:highlight w:val="none"/>
            </w:rPr>
            <w:fldChar w:fldCharType="end"/>
          </w:r>
          <w:r>
            <w:rPr>
              <w:rFonts w:ascii="Times New Roman" w:hAnsi="Times New Roman"/>
              <w:color w:val="auto"/>
              <w:highlight w:val="none"/>
            </w:rPr>
            <w:fldChar w:fldCharType="end"/>
          </w:r>
        </w:p>
        <w:p w14:paraId="69ABCE25">
          <w:pPr>
            <w:rPr>
              <w:rFonts w:ascii="Times New Roman" w:hAnsi="Times New Roman" w:eastAsia="宋体" w:cs="Times New Roman"/>
              <w:color w:val="auto"/>
              <w:kern w:val="2"/>
              <w:sz w:val="21"/>
              <w:szCs w:val="24"/>
              <w:highlight w:val="none"/>
              <w:lang w:val="en-US" w:eastAsia="zh-CN" w:bidi="ar-SA"/>
            </w:rPr>
          </w:pPr>
          <w:r>
            <w:rPr>
              <w:rFonts w:ascii="Times New Roman" w:hAnsi="Times New Roman"/>
              <w:color w:val="auto"/>
              <w:highlight w:val="none"/>
            </w:rPr>
            <w:fldChar w:fldCharType="end"/>
          </w:r>
        </w:p>
      </w:sdtContent>
    </w:sdt>
    <w:p w14:paraId="2C142A7C">
      <w:pPr>
        <w:pStyle w:val="13"/>
        <w:rPr>
          <w:highlight w:val="none"/>
        </w:rPr>
      </w:pPr>
    </w:p>
    <w:p w14:paraId="7F5FE184">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96599"/>
      <w:bookmarkStart w:id="7" w:name="_Toc15377196"/>
      <w:r>
        <w:rPr>
          <w:rFonts w:hint="eastAsia" w:ascii="Times New Roman" w:hAnsi="Times New Roman" w:eastAsia="仿宋_GB2312" w:cs="仿宋_GB2312"/>
          <w:b/>
          <w:color w:val="auto"/>
          <w:sz w:val="32"/>
          <w:szCs w:val="32"/>
          <w:highlight w:val="none"/>
        </w:rPr>
        <w:br w:type="page"/>
      </w:r>
    </w:p>
    <w:p w14:paraId="65755903">
      <w:pPr>
        <w:pStyle w:val="2"/>
        <w:jc w:val="center"/>
        <w:outlineLvl w:val="0"/>
        <w:rPr>
          <w:rFonts w:ascii="Times New Roman" w:hAnsi="Times New Roman" w:eastAsia="黑体"/>
          <w:color w:val="auto"/>
          <w:sz w:val="32"/>
          <w:szCs w:val="32"/>
          <w:highlight w:val="none"/>
        </w:rPr>
      </w:pPr>
      <w:bookmarkStart w:id="8" w:name="_Toc24815"/>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eastAsia="方正小标宋简体" w:cs="方正小标宋简体"/>
          <w:b w:val="0"/>
          <w:bCs w:val="0"/>
          <w:color w:val="auto"/>
          <w:highlight w:val="none"/>
          <w:lang w:val="en-US" w:eastAsia="zh-CN"/>
        </w:rPr>
        <w:t>单位</w:t>
      </w:r>
      <w:r>
        <w:rPr>
          <w:rStyle w:val="29"/>
          <w:rFonts w:hint="eastAsia" w:ascii="Times New Roman" w:hAnsi="Times New Roman" w:eastAsia="方正小标宋简体" w:cs="方正小标宋简体"/>
          <w:b w:val="0"/>
          <w:bCs w:val="0"/>
          <w:color w:val="auto"/>
          <w:highlight w:val="none"/>
        </w:rPr>
        <w:t>概况</w:t>
      </w:r>
      <w:bookmarkEnd w:id="6"/>
      <w:bookmarkEnd w:id="7"/>
      <w:bookmarkEnd w:id="8"/>
    </w:p>
    <w:p w14:paraId="111C1070">
      <w:pPr>
        <w:pStyle w:val="3"/>
        <w:outlineLvl w:val="1"/>
        <w:rPr>
          <w:rFonts w:hint="eastAsia" w:ascii="Times New Roman" w:hAnsi="Times New Roman" w:eastAsia="黑体"/>
          <w:b w:val="0"/>
          <w:color w:val="auto"/>
          <w:highlight w:val="none"/>
          <w:lang w:eastAsia="zh-CN"/>
        </w:rPr>
      </w:pPr>
      <w:bookmarkStart w:id="9" w:name="_Toc15396600"/>
      <w:bookmarkStart w:id="10" w:name="_Toc15377197"/>
      <w:bookmarkStart w:id="11" w:name="_Toc14852"/>
      <w:r>
        <w:rPr>
          <w:rFonts w:hint="eastAsia" w:ascii="Times New Roman" w:hAnsi="Times New Roman" w:eastAsia="黑体"/>
          <w:b w:val="0"/>
          <w:color w:val="auto"/>
          <w:highlight w:val="none"/>
        </w:rPr>
        <w:t>一、</w:t>
      </w:r>
      <w:bookmarkEnd w:id="9"/>
      <w:bookmarkEnd w:id="10"/>
      <w:r>
        <w:rPr>
          <w:rFonts w:hint="eastAsia" w:ascii="Times New Roman" w:hAnsi="Times New Roman" w:eastAsia="黑体"/>
          <w:b w:val="0"/>
          <w:color w:val="auto"/>
          <w:highlight w:val="none"/>
          <w:lang w:val="en-US" w:eastAsia="zh-CN"/>
        </w:rPr>
        <w:t>主要</w:t>
      </w:r>
      <w:r>
        <w:rPr>
          <w:rFonts w:hint="eastAsia" w:ascii="Times New Roman" w:hAnsi="Times New Roman" w:eastAsia="黑体"/>
          <w:b w:val="0"/>
          <w:color w:val="auto"/>
          <w:highlight w:val="none"/>
          <w:lang w:eastAsia="zh-CN"/>
        </w:rPr>
        <w:t>职责</w:t>
      </w:r>
      <w:bookmarkEnd w:id="11"/>
    </w:p>
    <w:p w14:paraId="1C17BEED">
      <w:pPr>
        <w:pStyle w:val="15"/>
        <w:widowControl/>
        <w:numPr>
          <w:ilvl w:val="0"/>
          <w:numId w:val="0"/>
        </w:numPr>
        <w:spacing w:before="100" w:beforeLines="0" w:beforeAutospacing="1" w:after="100" w:afterLines="0" w:afterAutospacing="1" w:line="560" w:lineRule="exact"/>
        <w:ind w:firstLine="614" w:firstLineChars="192"/>
        <w:rPr>
          <w:rFonts w:hint="eastAsia" w:ascii="仿宋" w:hAnsi="仿宋" w:eastAsia="仿宋" w:cs="仿宋"/>
          <w:sz w:val="32"/>
          <w:szCs w:val="32"/>
          <w:highlight w:val="none"/>
        </w:rPr>
      </w:pPr>
      <w:r>
        <w:rPr>
          <w:rFonts w:hint="eastAsia" w:ascii="仿宋" w:hAnsi="仿宋" w:eastAsia="仿宋" w:cs="仿宋"/>
          <w:sz w:val="32"/>
          <w:szCs w:val="32"/>
          <w:highlight w:val="none"/>
          <w:lang w:val="en-US"/>
        </w:rPr>
        <w:t>1.档案管理服务：跨省（市、区）人事档案流动，</w:t>
      </w:r>
      <w:r>
        <w:rPr>
          <w:rFonts w:hint="eastAsia" w:ascii="仿宋" w:hAnsi="仿宋" w:eastAsia="仿宋" w:cs="仿宋"/>
          <w:sz w:val="32"/>
          <w:szCs w:val="32"/>
          <w:highlight w:val="none"/>
          <w:lang w:val="en-US" w:eastAsia="zh-CN"/>
        </w:rPr>
        <w:t>接收</w:t>
      </w:r>
      <w:r>
        <w:rPr>
          <w:rFonts w:hint="eastAsia" w:ascii="仿宋" w:hAnsi="仿宋" w:eastAsia="仿宋" w:cs="仿宋"/>
          <w:sz w:val="32"/>
          <w:szCs w:val="32"/>
          <w:highlight w:val="none"/>
          <w:lang w:val="en-US"/>
        </w:rPr>
        <w:t>并保管人事档案，查阅和传递档案，开具以档案为基础的相关证明。申报专业技术职称。</w:t>
      </w:r>
    </w:p>
    <w:p w14:paraId="3BAD7496">
      <w:pPr>
        <w:pStyle w:val="15"/>
        <w:widowControl/>
        <w:numPr>
          <w:ilvl w:val="0"/>
          <w:numId w:val="0"/>
        </w:numPr>
        <w:spacing w:before="100" w:beforeLines="0" w:beforeAutospacing="1" w:after="100" w:afterLines="0" w:afterAutospacing="1" w:line="560" w:lineRule="exact"/>
        <w:ind w:firstLine="614" w:firstLineChars="192"/>
        <w:rPr>
          <w:rFonts w:hint="eastAsia" w:ascii="仿宋" w:hAnsi="仿宋" w:eastAsia="仿宋" w:cs="仿宋"/>
          <w:sz w:val="32"/>
          <w:szCs w:val="32"/>
          <w:highlight w:val="none"/>
        </w:rPr>
      </w:pPr>
      <w:r>
        <w:rPr>
          <w:rFonts w:hint="eastAsia" w:ascii="仿宋" w:hAnsi="仿宋" w:eastAsia="仿宋" w:cs="仿宋"/>
          <w:sz w:val="32"/>
          <w:szCs w:val="32"/>
          <w:highlight w:val="none"/>
          <w:lang w:val="en-US"/>
        </w:rPr>
        <w:t>2.招聘服务</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rPr>
        <w:t>用工登记、专场招聘、现场招聘、委托招聘、用工推荐、网络发布、信息栏发布。</w:t>
      </w:r>
    </w:p>
    <w:p w14:paraId="0190B655">
      <w:pPr>
        <w:pStyle w:val="15"/>
        <w:widowControl/>
        <w:numPr>
          <w:ilvl w:val="0"/>
          <w:numId w:val="0"/>
        </w:numPr>
        <w:spacing w:before="100" w:beforeLines="0" w:beforeAutospacing="1" w:after="100" w:afterLines="0" w:afterAutospacing="1" w:line="560" w:lineRule="exact"/>
        <w:ind w:firstLine="614" w:firstLineChars="192"/>
        <w:rPr>
          <w:rFonts w:hint="eastAsia" w:ascii="仿宋" w:hAnsi="仿宋" w:eastAsia="仿宋" w:cs="仿宋"/>
          <w:sz w:val="32"/>
          <w:szCs w:val="32"/>
          <w:highlight w:val="none"/>
        </w:rPr>
      </w:pPr>
      <w:r>
        <w:rPr>
          <w:rFonts w:hint="eastAsia" w:ascii="仿宋" w:hAnsi="仿宋" w:eastAsia="仿宋" w:cs="仿宋"/>
          <w:sz w:val="32"/>
          <w:szCs w:val="32"/>
          <w:highlight w:val="none"/>
          <w:lang w:val="en-US"/>
        </w:rPr>
        <w:t>3.求职服务：求职登记、推荐岗位、现场招聘、专场招聘、劳务输出、困难群体指导、免费提供网站（乐山公共招聘网）、免费发布最新企业招聘信息及个人求职信息。</w:t>
      </w:r>
    </w:p>
    <w:p w14:paraId="1C6ADD2C">
      <w:pPr>
        <w:pStyle w:val="15"/>
        <w:widowControl/>
        <w:numPr>
          <w:ilvl w:val="0"/>
          <w:numId w:val="0"/>
        </w:numPr>
        <w:spacing w:before="100" w:beforeLines="0" w:beforeAutospacing="1" w:after="100" w:afterLines="0" w:afterAutospacing="1" w:line="560" w:lineRule="exact"/>
        <w:ind w:firstLine="614" w:firstLineChars="192"/>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val="en-US"/>
        </w:rPr>
        <w:t>.高校毕业生服务：高校毕业生就业政策的宣传、咨询及就业推荐、</w:t>
      </w:r>
      <w:r>
        <w:rPr>
          <w:rFonts w:hint="eastAsia" w:ascii="仿宋" w:hAnsi="仿宋" w:eastAsia="仿宋" w:cs="仿宋"/>
          <w:sz w:val="32"/>
          <w:szCs w:val="32"/>
          <w:highlight w:val="none"/>
          <w:lang w:val="en-US" w:eastAsia="zh-CN"/>
        </w:rPr>
        <w:t>职业指导等服务</w:t>
      </w:r>
      <w:r>
        <w:rPr>
          <w:rFonts w:hint="eastAsia" w:ascii="仿宋" w:hAnsi="仿宋" w:eastAsia="仿宋" w:cs="仿宋"/>
          <w:sz w:val="32"/>
          <w:szCs w:val="32"/>
          <w:highlight w:val="none"/>
          <w:lang w:val="en-US"/>
        </w:rPr>
        <w:t>。</w:t>
      </w:r>
    </w:p>
    <w:p w14:paraId="336F4CC3">
      <w:pPr>
        <w:pStyle w:val="15"/>
        <w:widowControl/>
        <w:numPr>
          <w:ilvl w:val="0"/>
          <w:numId w:val="0"/>
        </w:numPr>
        <w:spacing w:before="100" w:beforeLines="0" w:beforeAutospacing="1" w:after="100" w:afterLines="0" w:afterAutospacing="1" w:line="560" w:lineRule="exact"/>
        <w:ind w:firstLine="614" w:firstLineChars="192"/>
        <w:rPr>
          <w:rFonts w:hint="eastAsia"/>
          <w:highlight w:val="none"/>
        </w:rPr>
      </w:pPr>
      <w:r>
        <w:rPr>
          <w:rFonts w:hint="eastAsia" w:ascii="仿宋" w:hAnsi="仿宋" w:eastAsia="仿宋" w:cs="仿宋"/>
          <w:color w:val="000000"/>
          <w:sz w:val="32"/>
          <w:szCs w:val="32"/>
          <w:highlight w:val="none"/>
        </w:rPr>
        <w:t>收集和发布职业供求信息；为劳动者介绍用人单位，为用人单位和居民家庭推荐劳动者；开展职业指导、人力资源管理咨询服务；组织开展职业招聘洽谈会；根据国家有关规定从事互联网职业信息服务；</w:t>
      </w:r>
      <w:r>
        <w:rPr>
          <w:rFonts w:hint="eastAsia" w:ascii="仿宋" w:hAnsi="仿宋" w:eastAsia="仿宋" w:cs="仿宋"/>
          <w:color w:val="000000"/>
          <w:sz w:val="32"/>
          <w:szCs w:val="32"/>
          <w:highlight w:val="none"/>
          <w:lang w:val="en-US" w:eastAsia="zh-CN"/>
        </w:rPr>
        <w:t>开展</w:t>
      </w:r>
      <w:r>
        <w:rPr>
          <w:rFonts w:hint="eastAsia" w:ascii="仿宋" w:hAnsi="仿宋" w:eastAsia="仿宋" w:cs="仿宋"/>
          <w:color w:val="000000"/>
          <w:sz w:val="32"/>
          <w:szCs w:val="32"/>
          <w:highlight w:val="none"/>
        </w:rPr>
        <w:t>人才交流服务；流动人才档案管理；人才信息服务</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其他公共就业服务。</w:t>
      </w:r>
    </w:p>
    <w:p w14:paraId="67B431EA">
      <w:pPr>
        <w:pStyle w:val="3"/>
        <w:rPr>
          <w:rFonts w:hint="eastAsia" w:ascii="黑体" w:hAnsi="黑体" w:eastAsia="黑体"/>
          <w:b w:val="0"/>
          <w:highlight w:val="none"/>
        </w:rPr>
      </w:pPr>
      <w:bookmarkStart w:id="12" w:name="_Toc15755"/>
      <w:r>
        <w:rPr>
          <w:rFonts w:hint="eastAsia" w:ascii="黑体" w:hAnsi="黑体" w:eastAsia="黑体"/>
          <w:b w:val="0"/>
          <w:highlight w:val="none"/>
        </w:rPr>
        <w:t>二、机构设置</w:t>
      </w:r>
      <w:bookmarkEnd w:id="12"/>
    </w:p>
    <w:p w14:paraId="56B24836">
      <w:pPr>
        <w:pStyle w:val="3"/>
        <w:spacing w:beforeLines="0" w:afterLines="0" w:line="560" w:lineRule="exact"/>
        <w:ind w:firstLine="627" w:firstLineChars="196"/>
        <w:jc w:val="both"/>
        <w:rPr>
          <w:rFonts w:hint="default" w:ascii="Times New Roman" w:eastAsia="仿宋"/>
          <w:color w:val="auto"/>
          <w:kern w:val="0"/>
          <w:sz w:val="32"/>
          <w:szCs w:val="32"/>
          <w:highlight w:val="none"/>
          <w:lang w:val="en-US" w:eastAsia="zh-CN"/>
        </w:rPr>
      </w:pPr>
      <w:r>
        <w:rPr>
          <w:rFonts w:hint="eastAsia" w:ascii="仿宋_GB2312" w:hAnsi="仿宋_GB2312" w:eastAsia="仿宋_GB2312" w:cs="仿宋_GB2312"/>
          <w:b w:val="0"/>
          <w:bCs w:val="0"/>
          <w:color w:val="000000"/>
          <w:sz w:val="32"/>
          <w:szCs w:val="32"/>
          <w:highlight w:val="none"/>
        </w:rPr>
        <w:t>乐山市市中区人力资源服务中心隶</w:t>
      </w:r>
      <w:r>
        <w:rPr>
          <w:rFonts w:hint="eastAsia" w:ascii="仿宋_GB2312" w:hAnsi="仿宋_GB2312" w:eastAsia="仿宋_GB2312" w:cs="仿宋_GB2312"/>
          <w:b w:val="0"/>
          <w:bCs w:val="0"/>
          <w:color w:val="000000"/>
          <w:sz w:val="32"/>
          <w:szCs w:val="32"/>
          <w:highlight w:val="none"/>
          <w:lang w:eastAsia="zh-CN"/>
        </w:rPr>
        <w:t>属于</w:t>
      </w:r>
      <w:r>
        <w:rPr>
          <w:rFonts w:hint="eastAsia" w:ascii="仿宋_GB2312" w:hAnsi="仿宋_GB2312" w:eastAsia="仿宋_GB2312" w:cs="仿宋_GB2312"/>
          <w:b w:val="0"/>
          <w:bCs w:val="0"/>
          <w:color w:val="000000"/>
          <w:sz w:val="32"/>
          <w:szCs w:val="32"/>
          <w:highlight w:val="none"/>
        </w:rPr>
        <w:t>乐山市市中区人力资源和社会保障局，为下属二级事业单位，现有4个内设机构：综合部、培训部、市场部和档案管理部。</w:t>
      </w:r>
    </w:p>
    <w:p w14:paraId="34106354">
      <w:pPr>
        <w:pStyle w:val="2"/>
        <w:jc w:val="center"/>
        <w:rPr>
          <w:rFonts w:ascii="Times New Roman" w:hAnsi="Times New Roman"/>
          <w:color w:val="auto"/>
          <w:highlight w:val="none"/>
        </w:rPr>
      </w:pPr>
      <w:bookmarkStart w:id="13" w:name="_Toc15396602"/>
      <w:bookmarkStart w:id="14" w:name="_Toc15377204"/>
      <w:bookmarkStart w:id="15" w:name="_Toc32671"/>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val="en-US" w:eastAsia="zh-CN"/>
        </w:rPr>
        <w:t>单位</w:t>
      </w:r>
      <w:r>
        <w:rPr>
          <w:rFonts w:hint="eastAsia" w:ascii="Times New Roman" w:hAnsi="Times New Roman" w:eastAsia="方正小标宋简体" w:cs="方正小标宋简体"/>
          <w:b w:val="0"/>
          <w:color w:val="auto"/>
          <w:highlight w:val="none"/>
        </w:rPr>
        <w:t>决算情况说明</w:t>
      </w:r>
      <w:bookmarkEnd w:id="13"/>
      <w:bookmarkEnd w:id="14"/>
      <w:bookmarkEnd w:id="15"/>
    </w:p>
    <w:p w14:paraId="2B00FDC3">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6" w:name="_Toc15396603"/>
      <w:bookmarkStart w:id="17" w:name="_Toc24148"/>
      <w:bookmarkStart w:id="18"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6"/>
      <w:bookmarkEnd w:id="17"/>
      <w:bookmarkEnd w:id="18"/>
    </w:p>
    <w:p w14:paraId="5F289BA7">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2024年度收入、支出总计均为</w:t>
      </w:r>
      <w:r>
        <w:rPr>
          <w:rFonts w:hint="eastAsia" w:eastAsia="仿宋_GB2312" w:cs="仿宋_GB2312"/>
          <w:color w:val="auto"/>
          <w:sz w:val="32"/>
          <w:szCs w:val="32"/>
          <w:highlight w:val="none"/>
          <w:lang w:val="en-US" w:eastAsia="zh-CN"/>
        </w:rPr>
        <w:t>200.87</w:t>
      </w:r>
      <w:r>
        <w:rPr>
          <w:rFonts w:hint="eastAsia" w:ascii="Times New Roman" w:hAnsi="Times New Roman" w:eastAsia="仿宋_GB2312" w:cs="仿宋_GB2312"/>
          <w:color w:val="auto"/>
          <w:sz w:val="32"/>
          <w:szCs w:val="32"/>
          <w:highlight w:val="none"/>
          <w:lang w:eastAsia="zh-CN"/>
        </w:rPr>
        <w:t>万元。与202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lang w:eastAsia="zh-CN"/>
        </w:rPr>
        <w:t>年度相比，收入、支出总计各</w:t>
      </w:r>
      <w:r>
        <w:rPr>
          <w:rFonts w:hint="eastAsia" w:eastAsia="仿宋_GB2312" w:cs="仿宋_GB2312"/>
          <w:color w:val="auto"/>
          <w:sz w:val="32"/>
          <w:szCs w:val="32"/>
          <w:highlight w:val="none"/>
          <w:lang w:val="en-US" w:eastAsia="zh-CN"/>
        </w:rPr>
        <w:t>增加7.48</w:t>
      </w:r>
      <w:r>
        <w:rPr>
          <w:rFonts w:hint="eastAsia" w:ascii="Times New Roman" w:hAnsi="Times New Roman" w:eastAsia="仿宋_GB2312" w:cs="仿宋_GB2312"/>
          <w:color w:val="auto"/>
          <w:sz w:val="32"/>
          <w:szCs w:val="32"/>
          <w:highlight w:val="none"/>
          <w:lang w:eastAsia="zh-CN"/>
        </w:rPr>
        <w:t>万元，</w:t>
      </w:r>
      <w:r>
        <w:rPr>
          <w:rFonts w:hint="eastAsia" w:eastAsia="仿宋_GB2312" w:cs="仿宋_GB2312"/>
          <w:color w:val="auto"/>
          <w:sz w:val="32"/>
          <w:szCs w:val="32"/>
          <w:highlight w:val="none"/>
          <w:lang w:val="en-US" w:eastAsia="zh-CN"/>
        </w:rPr>
        <w:t>增加3.87</w:t>
      </w:r>
      <w:r>
        <w:rPr>
          <w:rFonts w:hint="eastAsia" w:ascii="Times New Roman" w:hAnsi="Times New Roman"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20</w:t>
      </w:r>
      <w:r>
        <w:rPr>
          <w:rFonts w:hint="eastAsia" w:ascii="Times New Roman" w:hAnsi="Times New Roman" w:eastAsia="仿宋_GB2312" w:cs="仿宋_GB2312"/>
          <w:color w:val="auto"/>
          <w:sz w:val="32"/>
          <w:szCs w:val="32"/>
          <w:highlight w:val="none"/>
          <w:lang w:eastAsia="zh-CN"/>
        </w:rPr>
        <w:t>2</w:t>
      </w:r>
      <w:r>
        <w:rPr>
          <w:rFonts w:hint="eastAsia"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lang w:eastAsia="zh-CN"/>
        </w:rPr>
        <w:t>年</w:t>
      </w:r>
      <w:r>
        <w:rPr>
          <w:rFonts w:hint="eastAsia" w:eastAsia="仿宋_GB2312" w:cs="仿宋_GB2312"/>
          <w:color w:val="auto"/>
          <w:sz w:val="32"/>
          <w:szCs w:val="32"/>
          <w:highlight w:val="none"/>
          <w:lang w:eastAsia="zh-CN"/>
        </w:rPr>
        <w:t>，因</w:t>
      </w:r>
      <w:r>
        <w:rPr>
          <w:rFonts w:hint="eastAsia" w:ascii="Times New Roman" w:hAnsi="Times New Roman" w:eastAsia="仿宋_GB2312" w:cs="仿宋_GB2312"/>
          <w:color w:val="auto"/>
          <w:sz w:val="32"/>
          <w:szCs w:val="32"/>
          <w:highlight w:val="none"/>
          <w:lang w:eastAsia="zh-CN"/>
        </w:rPr>
        <w:t>工资保险基数上调，保险相关支出增加</w:t>
      </w:r>
      <w:r>
        <w:rPr>
          <w:rFonts w:hint="eastAsia" w:eastAsia="仿宋_GB2312" w:cs="仿宋_GB2312"/>
          <w:color w:val="auto"/>
          <w:sz w:val="32"/>
          <w:szCs w:val="32"/>
          <w:highlight w:val="none"/>
          <w:lang w:eastAsia="zh-CN"/>
        </w:rPr>
        <w:t>。</w:t>
      </w:r>
    </w:p>
    <w:p w14:paraId="19A86ED3">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Times New Roman" w:hAnsi="Times New Roman" w:eastAsia="仿宋_GB2312" w:cs="仿宋_GB2312"/>
          <w:color w:val="auto"/>
          <w:sz w:val="32"/>
          <w:szCs w:val="32"/>
          <w:highlight w:val="none"/>
        </w:rPr>
      </w:pPr>
      <w:r>
        <w:rPr>
          <w:highlight w:val="none"/>
        </w:rPr>
        <w:drawing>
          <wp:inline distT="0" distB="0" distL="114300" distR="114300">
            <wp:extent cx="4891405" cy="3163570"/>
            <wp:effectExtent l="38735" t="18415" r="41910" b="7556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FE35E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14:paraId="7CAC4D91">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9" w:name="_Toc15377206"/>
      <w:bookmarkStart w:id="20" w:name="_Toc29354"/>
      <w:bookmarkStart w:id="21" w:name="_Toc15396604"/>
      <w:r>
        <w:rPr>
          <w:rFonts w:hint="eastAsia" w:ascii="Times New Roman" w:hAnsi="Times New Roman" w:eastAsia="黑体"/>
          <w:color w:val="auto"/>
          <w:sz w:val="32"/>
          <w:szCs w:val="32"/>
          <w:highlight w:val="none"/>
          <w:lang w:eastAsia="zh-CN"/>
        </w:rPr>
        <w:t>二、收入决算情况说明</w:t>
      </w:r>
      <w:bookmarkEnd w:id="19"/>
      <w:bookmarkEnd w:id="20"/>
      <w:bookmarkEnd w:id="21"/>
    </w:p>
    <w:p w14:paraId="54B1CCC2">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highlight w:val="none"/>
          <w:lang w:val="en-US" w:eastAsia="zh-CN"/>
        </w:rPr>
        <w:t>200.87</w:t>
      </w:r>
      <w:r>
        <w:rPr>
          <w:rFonts w:hint="eastAsia" w:ascii="仿宋_GB2312" w:hAnsi="仿宋_GB2312" w:eastAsia="仿宋_GB2312" w:cs="仿宋_GB2312"/>
          <w:sz w:val="32"/>
          <w:szCs w:val="32"/>
          <w:highlight w:val="none"/>
        </w:rPr>
        <w:t>万元，其中：一般公共预算财政拨款收入</w:t>
      </w:r>
      <w:r>
        <w:rPr>
          <w:rFonts w:hint="eastAsia" w:ascii="仿宋_GB2312" w:hAnsi="仿宋_GB2312" w:eastAsia="仿宋_GB2312" w:cs="仿宋_GB2312"/>
          <w:sz w:val="32"/>
          <w:szCs w:val="32"/>
          <w:highlight w:val="none"/>
          <w:lang w:val="en-US" w:eastAsia="zh-CN"/>
        </w:rPr>
        <w:t>200.87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highlight w:val="none"/>
        </w:rPr>
        <w:t>100</w:t>
      </w:r>
      <w:r>
        <w:rPr>
          <w:rFonts w:hint="eastAsia" w:ascii="仿宋_GB2312" w:hAnsi="仿宋_GB2312" w:eastAsia="仿宋_GB2312" w:cs="仿宋_GB2312"/>
          <w:color w:val="auto"/>
          <w:sz w:val="32"/>
          <w:szCs w:val="32"/>
          <w:highlight w:val="none"/>
          <w:lang w:eastAsia="zh-CN"/>
        </w:rPr>
        <w:t>%。</w:t>
      </w:r>
    </w:p>
    <w:p w14:paraId="7102FA87">
      <w:pPr>
        <w:ind w:firstLine="525" w:firstLineChars="250"/>
        <w:jc w:val="both"/>
        <w:rPr>
          <w:rFonts w:hint="eastAsia" w:ascii="Times New Roman" w:hAnsi="Times New Roman" w:eastAsia="仿宋_GB2312" w:cs="仿宋_GB2312"/>
          <w:color w:val="auto"/>
          <w:sz w:val="32"/>
          <w:szCs w:val="32"/>
          <w:highlight w:val="none"/>
          <w:lang w:eastAsia="zh-CN"/>
        </w:rPr>
      </w:pPr>
      <w:r>
        <w:rPr>
          <w:highlight w:val="none"/>
        </w:rPr>
        <w:drawing>
          <wp:inline distT="0" distB="0" distL="114300" distR="114300">
            <wp:extent cx="4803140" cy="3201035"/>
            <wp:effectExtent l="38735" t="18415" r="53975" b="76200"/>
            <wp:docPr id="1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CE938A">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14:paraId="46FCBDDE">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2" w:name="_Toc13750"/>
      <w:bookmarkStart w:id="23" w:name="_Toc15396605"/>
      <w:bookmarkStart w:id="24"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22"/>
      <w:bookmarkEnd w:id="23"/>
      <w:bookmarkEnd w:id="24"/>
    </w:p>
    <w:p w14:paraId="489DE8E1">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highlight w:val="none"/>
          <w:lang w:val="en-US" w:eastAsia="zh-CN"/>
        </w:rPr>
        <w:t>200.87</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highlight w:val="none"/>
          <w:lang w:val="en-US" w:eastAsia="zh-CN"/>
        </w:rPr>
        <w:t>183.65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highlight w:val="none"/>
          <w:lang w:val="en-US" w:eastAsia="zh-CN"/>
        </w:rPr>
        <w:t>91.43</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highlight w:val="none"/>
          <w:lang w:val="en-US" w:eastAsia="zh-CN"/>
        </w:rPr>
        <w:t>17.22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highlight w:val="none"/>
          <w:lang w:val="en-US" w:eastAsia="zh-CN"/>
        </w:rPr>
        <w:t>8.57</w:t>
      </w:r>
      <w:r>
        <w:rPr>
          <w:rFonts w:hint="eastAsia" w:ascii="仿宋_GB2312" w:hAnsi="仿宋_GB2312" w:eastAsia="仿宋_GB2312" w:cs="仿宋_GB2312"/>
          <w:color w:val="auto"/>
          <w:sz w:val="32"/>
          <w:szCs w:val="32"/>
          <w:highlight w:val="none"/>
          <w:lang w:eastAsia="zh-CN"/>
        </w:rPr>
        <w:t>%。</w:t>
      </w:r>
    </w:p>
    <w:p w14:paraId="4EF873EC">
      <w:pPr>
        <w:ind w:firstLine="525" w:firstLineChars="250"/>
        <w:rPr>
          <w:rFonts w:hint="eastAsia" w:ascii="Times New Roman" w:hAnsi="Times New Roman" w:eastAsia="仿宋_GB2312" w:cs="仿宋_GB2312"/>
          <w:color w:val="auto"/>
          <w:sz w:val="32"/>
          <w:szCs w:val="32"/>
          <w:highlight w:val="none"/>
          <w:lang w:eastAsia="zh-CN"/>
        </w:rPr>
      </w:pPr>
      <w:r>
        <w:rPr>
          <w:highlight w:val="none"/>
        </w:rPr>
        <w:drawing>
          <wp:inline distT="0" distB="0" distL="114300" distR="114300">
            <wp:extent cx="4899025" cy="3206750"/>
            <wp:effectExtent l="38735" t="18415" r="53340" b="7048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4A7BF68">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w:t>
      </w:r>
    </w:p>
    <w:p w14:paraId="282ACCCF">
      <w:pPr>
        <w:spacing w:line="600" w:lineRule="exact"/>
        <w:ind w:firstLine="640" w:firstLineChars="200"/>
        <w:outlineLvl w:val="1"/>
        <w:rPr>
          <w:rStyle w:val="30"/>
          <w:rFonts w:ascii="Times New Roman" w:hAnsi="Times New Roman" w:eastAsia="黑体"/>
          <w:b w:val="0"/>
          <w:color w:val="auto"/>
          <w:highlight w:val="none"/>
        </w:rPr>
      </w:pPr>
      <w:bookmarkStart w:id="25" w:name="_Toc30742"/>
      <w:bookmarkStart w:id="26" w:name="_Toc15377208"/>
      <w:bookmarkStart w:id="27" w:name="_Toc15396606"/>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5"/>
      <w:bookmarkEnd w:id="26"/>
      <w:bookmarkEnd w:id="27"/>
    </w:p>
    <w:p w14:paraId="30CCF7A0">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2024年度财政拨款收入、支出总计均为200.87万元。与2023年度相比，财政拨款收入总计、支出总计各增加7.48万元，增加3.87%。</w:t>
      </w:r>
      <w:r>
        <w:rPr>
          <w:rFonts w:hint="eastAsia" w:ascii="Times New Roman" w:hAnsi="Times New Roman" w:eastAsia="仿宋_GB2312" w:cs="仿宋_GB2312"/>
          <w:color w:val="auto"/>
          <w:sz w:val="32"/>
          <w:szCs w:val="32"/>
          <w:highlight w:val="none"/>
          <w:lang w:eastAsia="zh-CN"/>
        </w:rPr>
        <w:t>主要变动原因是</w:t>
      </w:r>
      <w:r>
        <w:rPr>
          <w:rFonts w:hint="eastAsia" w:eastAsia="仿宋_GB2312" w:cs="仿宋_GB2312"/>
          <w:color w:val="auto"/>
          <w:sz w:val="32"/>
          <w:szCs w:val="32"/>
          <w:highlight w:val="none"/>
          <w:lang w:val="en-US" w:eastAsia="zh-CN"/>
        </w:rPr>
        <w:t>2024年，因工资保险基数上调，保险相关支出增加。</w:t>
      </w:r>
    </w:p>
    <w:p w14:paraId="5234C130">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rPr>
          <w:highlight w:val="none"/>
        </w:rPr>
        <w:drawing>
          <wp:inline distT="0" distB="0" distL="114300" distR="114300">
            <wp:extent cx="5114290" cy="3180080"/>
            <wp:effectExtent l="38735" t="18415" r="47625" b="59055"/>
            <wp:docPr id="1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E32EAA">
      <w:pPr>
        <w:tabs>
          <w:tab w:val="left" w:pos="1721"/>
        </w:tabs>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14:paraId="138EAC48">
      <w:pPr>
        <w:spacing w:line="600" w:lineRule="exact"/>
        <w:ind w:firstLine="640" w:firstLineChars="200"/>
        <w:outlineLvl w:val="1"/>
        <w:rPr>
          <w:rStyle w:val="30"/>
          <w:rFonts w:ascii="Times New Roman" w:hAnsi="Times New Roman" w:eastAsia="黑体"/>
          <w:b w:val="0"/>
          <w:color w:val="auto"/>
          <w:highlight w:val="none"/>
        </w:rPr>
      </w:pPr>
      <w:bookmarkStart w:id="28" w:name="_Toc15396607"/>
      <w:bookmarkStart w:id="29" w:name="_Toc11104"/>
      <w:bookmarkStart w:id="30"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8"/>
      <w:bookmarkEnd w:id="29"/>
      <w:bookmarkEnd w:id="30"/>
    </w:p>
    <w:p w14:paraId="62BC275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1"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1"/>
    </w:p>
    <w:p w14:paraId="24FD9C0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highlight w:val="none"/>
          <w:lang w:val="en-US" w:eastAsia="zh-CN"/>
        </w:rPr>
        <w:t>200.87</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highlight w:val="none"/>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%。与2023年度相比，一般公共预算财政拨款支出增加7.48万元，增加3.87%。</w:t>
      </w:r>
      <w:r>
        <w:rPr>
          <w:rFonts w:hint="eastAsia" w:ascii="Times New Roman" w:hAnsi="Times New Roman" w:eastAsia="仿宋_GB2312" w:cs="仿宋_GB2312"/>
          <w:color w:val="auto"/>
          <w:sz w:val="32"/>
          <w:szCs w:val="32"/>
          <w:highlight w:val="none"/>
          <w:lang w:eastAsia="zh-CN"/>
        </w:rPr>
        <w:t>主要变动2024年相应增加人员经费支出工资保险基数上调，保险相关支出增加。</w:t>
      </w:r>
    </w:p>
    <w:p w14:paraId="79898BBD">
      <w:pPr>
        <w:spacing w:line="240" w:lineRule="auto"/>
        <w:ind w:firstLine="0"/>
        <w:rPr>
          <w:rFonts w:hint="eastAsia" w:ascii="Times New Roman" w:hAnsi="Times New Roman" w:eastAsia="仿宋_GB2312" w:cs="仿宋_GB2312"/>
          <w:color w:val="auto"/>
          <w:kern w:val="2"/>
          <w:sz w:val="32"/>
          <w:szCs w:val="32"/>
          <w:highlight w:val="none"/>
          <w:lang w:val="en-US" w:eastAsia="zh-CN" w:bidi="ar-SA"/>
        </w:rPr>
      </w:pPr>
      <w:r>
        <w:rPr>
          <w:highlight w:val="none"/>
        </w:rPr>
        <w:drawing>
          <wp:inline distT="0" distB="0" distL="114300" distR="114300">
            <wp:extent cx="5274310" cy="3199765"/>
            <wp:effectExtent l="38735" t="18415" r="40005" b="58420"/>
            <wp:docPr id="2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7852AA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14:paraId="3AC4E73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2"/>
    </w:p>
    <w:p w14:paraId="08508049">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highlight w:val="none"/>
          <w:lang w:val="en-US" w:eastAsia="zh-CN"/>
        </w:rPr>
        <w:t>200.87</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180.68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89.95</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5.49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2.58</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7.47</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EFC193B">
      <w:pPr>
        <w:pStyle w:val="13"/>
        <w:jc w:val="center"/>
        <w:rPr>
          <w:rFonts w:hint="eastAsia"/>
          <w:highlight w:val="none"/>
          <w:lang w:val="en-US" w:eastAsia="zh-CN"/>
        </w:rPr>
      </w:pPr>
      <w:r>
        <w:rPr>
          <w:highlight w:val="none"/>
        </w:rPr>
        <w:drawing>
          <wp:inline distT="0" distB="0" distL="114300" distR="114300">
            <wp:extent cx="5272405" cy="3195955"/>
            <wp:effectExtent l="38735" t="18415" r="41910" b="62230"/>
            <wp:docPr id="2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190322D">
      <w:pPr>
        <w:spacing w:line="600" w:lineRule="exact"/>
        <w:ind w:firstLine="64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14:paraId="14D1F52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3"/>
    </w:p>
    <w:p w14:paraId="5C2FBB6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4" w:name="_Toc15377444"/>
      <w:bookmarkStart w:id="35" w:name="_Toc15378460"/>
      <w:bookmarkStart w:id="36"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highlight w:val="none"/>
          <w:lang w:val="en-US" w:eastAsia="zh-CN"/>
        </w:rPr>
        <w:t>200.87万元，</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4"/>
      <w:bookmarkEnd w:id="35"/>
      <w:bookmarkEnd w:id="36"/>
    </w:p>
    <w:p w14:paraId="2E488881">
      <w:pPr>
        <w:numPr>
          <w:ilvl w:val="0"/>
          <w:numId w:val="3"/>
        </w:numPr>
        <w:spacing w:line="600" w:lineRule="exact"/>
        <w:ind w:left="0" w:leftChars="0" w:firstLine="400"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社会保障和就业（类）人力资源和社会保障管理事务（款）综合业务管理（项）：支出决算为6.21万元，完成预算100%。</w:t>
      </w:r>
    </w:p>
    <w:p w14:paraId="34F5E5CA">
      <w:pPr>
        <w:numPr>
          <w:ilvl w:val="0"/>
          <w:numId w:val="3"/>
        </w:numPr>
        <w:spacing w:line="600" w:lineRule="exact"/>
        <w:ind w:left="0" w:leftChars="0" w:firstLine="400"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社会保障和就业（类）人力资源和社会保障管理事务（款）公共就业服务和职业技能鉴定机构（项）：支出决算为144.79万元，完成预算100%。</w:t>
      </w:r>
    </w:p>
    <w:p w14:paraId="141E2BFE">
      <w:pPr>
        <w:numPr>
          <w:ilvl w:val="0"/>
          <w:numId w:val="3"/>
        </w:numPr>
        <w:spacing w:line="600" w:lineRule="exact"/>
        <w:ind w:left="0" w:leftChars="0" w:firstLine="400"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社会保障和就业（类）行政事业单位养老支出（款）机关事业单位基本养老保险缴费支出（项）：支出决算为17.51万元，完成预算100%。</w:t>
      </w:r>
    </w:p>
    <w:p w14:paraId="66CEA48E">
      <w:pPr>
        <w:numPr>
          <w:ilvl w:val="0"/>
          <w:numId w:val="3"/>
        </w:numPr>
        <w:spacing w:line="600" w:lineRule="exact"/>
        <w:ind w:left="0" w:leftChars="0" w:firstLine="400"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社会保障和就业（类）行政事业单位养老支出（款）机关事业单位职业年金缴费支出（项）：支出决算为8.75万元，完成预算100%。</w:t>
      </w:r>
    </w:p>
    <w:p w14:paraId="7F290063">
      <w:pPr>
        <w:numPr>
          <w:ilvl w:val="0"/>
          <w:numId w:val="3"/>
        </w:numPr>
        <w:spacing w:line="600" w:lineRule="exact"/>
        <w:ind w:left="0" w:leftChars="0" w:firstLine="400"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社会保障和就业（类）行政事业单位养老支出（款）其他行政事业单位养老支出（项）：支出决算为1.9万元，完成预算100%。</w:t>
      </w:r>
    </w:p>
    <w:p w14:paraId="4EB3F290">
      <w:pPr>
        <w:numPr>
          <w:ilvl w:val="0"/>
          <w:numId w:val="3"/>
        </w:numPr>
        <w:spacing w:line="600" w:lineRule="exact"/>
        <w:ind w:left="0" w:leftChars="0" w:firstLine="400"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社会保障和就业（类）其他社会保障和就业支出（款）其他社会保障和就业支出（项）：支出决算为1.53万元，完成预算100%。</w:t>
      </w:r>
    </w:p>
    <w:p w14:paraId="2421D455">
      <w:pPr>
        <w:numPr>
          <w:ilvl w:val="0"/>
          <w:numId w:val="3"/>
        </w:numPr>
        <w:spacing w:line="600" w:lineRule="exact"/>
        <w:ind w:left="0" w:leftChars="0" w:firstLine="400"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卫生健康（类）行政事业单位医疗（款）事业单位医疗（项）：支出决算为5.19万元，完成预算100%。</w:t>
      </w:r>
    </w:p>
    <w:p w14:paraId="37A7AFE8">
      <w:pPr>
        <w:numPr>
          <w:ilvl w:val="0"/>
          <w:numId w:val="3"/>
        </w:numPr>
        <w:spacing w:line="600" w:lineRule="exact"/>
        <w:ind w:left="0" w:leftChars="0" w:firstLine="400"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住房保障（类）住房改革支出（款）住房公积金（项）：支出决算为15万元，完成预算100%。</w:t>
      </w:r>
    </w:p>
    <w:p w14:paraId="1B7198B1">
      <w:pPr>
        <w:tabs>
          <w:tab w:val="right" w:pos="8306"/>
        </w:tabs>
        <w:spacing w:line="600" w:lineRule="exact"/>
        <w:ind w:firstLine="640"/>
        <w:outlineLvl w:val="1"/>
        <w:rPr>
          <w:rStyle w:val="30"/>
          <w:rFonts w:ascii="Times New Roman" w:hAnsi="Times New Roman"/>
          <w:color w:val="auto"/>
          <w:highlight w:val="none"/>
        </w:rPr>
      </w:pPr>
      <w:bookmarkStart w:id="37" w:name="_Toc15396608"/>
      <w:bookmarkStart w:id="38" w:name="_Toc15377214"/>
      <w:bookmarkStart w:id="39" w:name="_Toc2936"/>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37"/>
      <w:bookmarkEnd w:id="38"/>
      <w:bookmarkEnd w:id="39"/>
      <w:r>
        <w:rPr>
          <w:rStyle w:val="30"/>
          <w:rFonts w:ascii="Times New Roman" w:hAnsi="Times New Roman" w:eastAsia="黑体"/>
          <w:b w:val="0"/>
          <w:color w:val="auto"/>
          <w:highlight w:val="none"/>
        </w:rPr>
        <w:tab/>
      </w:r>
    </w:p>
    <w:p w14:paraId="4FB6A82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2024年度一般公共预算财政拨款基本支出183.65万元，其中：</w:t>
      </w:r>
    </w:p>
    <w:p w14:paraId="16DBEC1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171.38万元，主要包括：基本工资、津贴补贴、伙食补助费、绩效工资、机关事业单位养老保险缴费、职业年金缴费、职工基本医疗保险缴费、其他社会保障缴费、住房公积金、其他工资福利支出、奖励金、其他对个人和家庭的补助。</w:t>
      </w:r>
    </w:p>
    <w:p w14:paraId="4CBC66A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公用经费12.2</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万元，主要包括：办公费、电费、邮电费、工会费、福利费、其他商品和服务支出。</w:t>
      </w:r>
    </w:p>
    <w:p w14:paraId="3B2F19C0">
      <w:pPr>
        <w:spacing w:line="600" w:lineRule="exact"/>
        <w:ind w:firstLine="640"/>
        <w:outlineLvl w:val="1"/>
        <w:rPr>
          <w:rStyle w:val="30"/>
          <w:rFonts w:ascii="Times New Roman" w:hAnsi="Times New Roman" w:eastAsia="黑体"/>
          <w:b w:val="0"/>
          <w:color w:val="auto"/>
          <w:highlight w:val="none"/>
        </w:rPr>
      </w:pPr>
      <w:bookmarkStart w:id="40" w:name="_Toc15377215"/>
      <w:bookmarkStart w:id="41" w:name="_Toc15396609"/>
      <w:bookmarkStart w:id="42" w:name="_Toc443"/>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40"/>
      <w:bookmarkEnd w:id="41"/>
      <w:bookmarkEnd w:id="42"/>
    </w:p>
    <w:p w14:paraId="249F05D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3"/>
    </w:p>
    <w:p w14:paraId="5D1B8360">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年度“三公”经费财政拨款支出决算为0万元，完成预算0</w:t>
      </w:r>
      <w:r>
        <w:rPr>
          <w:rFonts w:ascii="仿宋_GB2312" w:eastAsia="仿宋_GB2312"/>
          <w:sz w:val="32"/>
          <w:szCs w:val="32"/>
          <w:highlight w:val="none"/>
        </w:rPr>
        <w:t>%</w:t>
      </w:r>
      <w:r>
        <w:rPr>
          <w:rFonts w:hint="eastAsia" w:ascii="仿宋_GB2312" w:eastAsia="仿宋_GB2312"/>
          <w:sz w:val="32"/>
          <w:szCs w:val="32"/>
          <w:highlight w:val="none"/>
        </w:rPr>
        <w:t>，与</w:t>
      </w:r>
      <w:r>
        <w:rPr>
          <w:rFonts w:hint="eastAsia" w:ascii="仿宋_GB2312" w:eastAsia="仿宋_GB2312"/>
          <w:sz w:val="32"/>
          <w:szCs w:val="32"/>
          <w:highlight w:val="none"/>
          <w:lang w:val="en-US" w:eastAsia="zh-CN"/>
        </w:rPr>
        <w:t>2023</w:t>
      </w:r>
      <w:r>
        <w:rPr>
          <w:rFonts w:hint="eastAsia" w:ascii="仿宋_GB2312" w:eastAsia="仿宋_GB2312"/>
          <w:sz w:val="32"/>
          <w:szCs w:val="32"/>
          <w:highlight w:val="none"/>
        </w:rPr>
        <w:t>年度持平。主要原因是202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年本单位无“三公”经费支出</w:t>
      </w:r>
      <w:r>
        <w:rPr>
          <w:rFonts w:hint="eastAsia" w:eastAsia="仿宋_GB2312" w:cs="仿宋_GB2312"/>
          <w:color w:val="auto"/>
          <w:kern w:val="2"/>
          <w:sz w:val="32"/>
          <w:szCs w:val="32"/>
          <w:highlight w:val="none"/>
          <w:lang w:val="en-US" w:eastAsia="zh-CN" w:bidi="ar-SA"/>
        </w:rPr>
        <w:t>。</w:t>
      </w:r>
    </w:p>
    <w:p w14:paraId="77E5AAC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4"/>
    </w:p>
    <w:p w14:paraId="7DB9CB79">
      <w:pPr>
        <w:spacing w:line="600" w:lineRule="exact"/>
        <w:ind w:firstLine="64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年度“三公”经费财政拨款支出决算中，因公出国（境）费支出决算0万元，占0</w:t>
      </w:r>
      <w:r>
        <w:rPr>
          <w:rFonts w:ascii="仿宋_GB2312" w:eastAsia="仿宋_GB2312"/>
          <w:sz w:val="32"/>
          <w:szCs w:val="32"/>
          <w:highlight w:val="none"/>
        </w:rPr>
        <w:t>%</w:t>
      </w:r>
      <w:r>
        <w:rPr>
          <w:rFonts w:hint="eastAsia" w:ascii="仿宋_GB2312" w:eastAsia="仿宋_GB2312"/>
          <w:sz w:val="32"/>
          <w:szCs w:val="32"/>
          <w:highlight w:val="none"/>
        </w:rPr>
        <w:t>；公务用车购置及运行维护费支出决算0万元，占0</w:t>
      </w:r>
      <w:r>
        <w:rPr>
          <w:rFonts w:ascii="仿宋_GB2312" w:eastAsia="仿宋_GB2312"/>
          <w:sz w:val="32"/>
          <w:szCs w:val="32"/>
          <w:highlight w:val="none"/>
        </w:rPr>
        <w:t>%</w:t>
      </w:r>
      <w:r>
        <w:rPr>
          <w:rFonts w:hint="eastAsia" w:ascii="仿宋_GB2312" w:eastAsia="仿宋_GB2312"/>
          <w:sz w:val="32"/>
          <w:szCs w:val="32"/>
          <w:highlight w:val="none"/>
        </w:rPr>
        <w:t>；公务接待费支出决算0万元，占0</w:t>
      </w:r>
      <w:r>
        <w:rPr>
          <w:rFonts w:ascii="仿宋_GB2312" w:eastAsia="仿宋_GB2312"/>
          <w:sz w:val="32"/>
          <w:szCs w:val="32"/>
          <w:highlight w:val="none"/>
        </w:rPr>
        <w:t>%</w:t>
      </w:r>
      <w:r>
        <w:rPr>
          <w:rFonts w:hint="eastAsia" w:ascii="仿宋_GB2312" w:eastAsia="仿宋_GB2312"/>
          <w:sz w:val="32"/>
          <w:szCs w:val="32"/>
          <w:highlight w:val="none"/>
        </w:rPr>
        <w:t>。具体情况如下：</w:t>
      </w:r>
    </w:p>
    <w:p w14:paraId="59181BCD">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0.00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highlight w:val="none"/>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因公出国（境）支出决算与 202</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 xml:space="preserve"> 年持平，主要原因是202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 xml:space="preserve"> 年本单位无因公出国（境）支出</w:t>
      </w:r>
      <w:r>
        <w:rPr>
          <w:rFonts w:hint="eastAsia" w:eastAsia="仿宋_GB2312" w:cs="仿宋_GB2312"/>
          <w:color w:val="auto"/>
          <w:kern w:val="2"/>
          <w:sz w:val="32"/>
          <w:szCs w:val="32"/>
          <w:highlight w:val="none"/>
          <w:lang w:val="en-US" w:eastAsia="zh-CN" w:bidi="ar-SA"/>
        </w:rPr>
        <w:t>。</w:t>
      </w:r>
    </w:p>
    <w:p w14:paraId="647A2F6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_GB2312" w:eastAsia="仿宋_GB2312"/>
          <w:sz w:val="32"/>
          <w:szCs w:val="32"/>
          <w:highlight w:val="none"/>
        </w:rPr>
        <w:t>公务用车购置及运行维护费支出决算与202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年度持平。主要原因是202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年本单位无公务用车购置及运行维护费支出。</w:t>
      </w:r>
    </w:p>
    <w:p w14:paraId="27E237C8">
      <w:pPr>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eastAsia="仿宋_GB2312"/>
          <w:sz w:val="32"/>
          <w:szCs w:val="32"/>
          <w:highlight w:val="none"/>
        </w:rPr>
        <w:t>其中：公务用车购置支出0万元。全年按规定更新购置公务用车0辆，其中：轿车0辆、金额0万元，越野车0辆、金额0万元，载客汽车0辆、金额0万元。截至202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w:t>
      </w:r>
      <w:r>
        <w:rPr>
          <w:rFonts w:ascii="仿宋_GB2312" w:eastAsia="仿宋_GB2312"/>
          <w:sz w:val="32"/>
          <w:szCs w:val="32"/>
          <w:highlight w:val="none"/>
        </w:rPr>
        <w:t>12</w:t>
      </w:r>
      <w:r>
        <w:rPr>
          <w:rFonts w:hint="eastAsia" w:ascii="仿宋_GB2312" w:eastAsia="仿宋_GB2312"/>
          <w:sz w:val="32"/>
          <w:szCs w:val="32"/>
          <w:highlight w:val="none"/>
        </w:rPr>
        <w:t>月31日，单位共有公务用车0辆，其中：轿车0辆、越野车0辆、载客汽车0辆</w:t>
      </w:r>
      <w:r>
        <w:rPr>
          <w:rFonts w:hint="eastAsia" w:ascii="Times New Roman" w:hAnsi="Times New Roman" w:eastAsia="仿宋_GB2312" w:cs="仿宋_GB2312"/>
          <w:color w:val="auto"/>
          <w:kern w:val="2"/>
          <w:sz w:val="32"/>
          <w:szCs w:val="32"/>
          <w:highlight w:val="none"/>
          <w:lang w:val="en-US" w:eastAsia="zh-CN" w:bidi="ar-SA"/>
        </w:rPr>
        <w:t>。</w:t>
      </w:r>
    </w:p>
    <w:p w14:paraId="5518A52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highlight w:val="none"/>
        </w:rPr>
        <w:t>0</w:t>
      </w:r>
      <w:r>
        <w:rPr>
          <w:rFonts w:hint="eastAsia" w:ascii="Times New Roman" w:hAnsi="Times New Roman" w:eastAsia="仿宋_GB2312" w:cs="仿宋_GB2312"/>
          <w:color w:val="auto"/>
          <w:kern w:val="2"/>
          <w:sz w:val="32"/>
          <w:szCs w:val="32"/>
          <w:highlight w:val="none"/>
          <w:lang w:val="en-US" w:eastAsia="zh-CN" w:bidi="ar-SA"/>
        </w:rPr>
        <w:t>万元。</w:t>
      </w:r>
    </w:p>
    <w:p w14:paraId="04A238DC">
      <w:pPr>
        <w:spacing w:line="600" w:lineRule="exact"/>
        <w:ind w:firstLine="64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0.06万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_GB2312" w:eastAsia="仿宋_GB2312"/>
          <w:sz w:val="32"/>
          <w:szCs w:val="32"/>
          <w:highlight w:val="none"/>
        </w:rPr>
        <w:t>公务接待费支出决算与202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年度持平。主要原因是202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年本单位无公务接待费支出。其中：</w:t>
      </w:r>
    </w:p>
    <w:p w14:paraId="1D2EE40B">
      <w:pPr>
        <w:spacing w:line="600" w:lineRule="exact"/>
        <w:ind w:firstLine="640"/>
        <w:jc w:val="both"/>
        <w:rPr>
          <w:rFonts w:ascii="仿宋_GB2312" w:eastAsia="仿宋_GB2312"/>
          <w:sz w:val="32"/>
          <w:szCs w:val="32"/>
          <w:highlight w:val="none"/>
        </w:rPr>
      </w:pPr>
      <w:bookmarkStart w:id="45" w:name="_Toc15377218"/>
      <w:bookmarkStart w:id="46" w:name="_Toc15396610"/>
      <w:bookmarkStart w:id="47" w:name="_Toc3579"/>
      <w:r>
        <w:rPr>
          <w:rFonts w:hint="eastAsia" w:ascii="仿宋_GB2312" w:eastAsia="仿宋_GB2312"/>
          <w:sz w:val="32"/>
          <w:szCs w:val="32"/>
          <w:highlight w:val="none"/>
        </w:rPr>
        <w:t>国内公务接待支出0万元。</w:t>
      </w:r>
    </w:p>
    <w:p w14:paraId="25392FC8">
      <w:pPr>
        <w:spacing w:line="600" w:lineRule="exact"/>
        <w:ind w:firstLine="640" w:firstLineChars="200"/>
        <w:jc w:val="both"/>
        <w:rPr>
          <w:highlight w:val="none"/>
        </w:rPr>
      </w:pPr>
      <w:r>
        <w:rPr>
          <w:rFonts w:hint="eastAsia" w:ascii="仿宋_GB2312" w:eastAsia="仿宋_GB2312"/>
          <w:sz w:val="32"/>
          <w:szCs w:val="32"/>
          <w:highlight w:val="none"/>
        </w:rPr>
        <w:t>外事接待支出0万元。</w:t>
      </w:r>
    </w:p>
    <w:p w14:paraId="60412B5E">
      <w:pPr>
        <w:spacing w:line="600" w:lineRule="exact"/>
        <w:ind w:firstLine="640"/>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45"/>
      <w:bookmarkEnd w:id="46"/>
      <w:bookmarkEnd w:id="47"/>
    </w:p>
    <w:p w14:paraId="01B54FF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w:t>
      </w:r>
      <w:r>
        <w:rPr>
          <w:rFonts w:hint="eastAsia" w:eastAsia="仿宋_GB2312" w:cs="仿宋_GB2312"/>
          <w:color w:val="auto"/>
          <w:kern w:val="2"/>
          <w:sz w:val="32"/>
          <w:szCs w:val="32"/>
          <w:highlight w:val="none"/>
          <w:lang w:val="en-US" w:eastAsia="zh-CN" w:bidi="ar-SA"/>
        </w:rPr>
        <w:t>持平。</w:t>
      </w:r>
    </w:p>
    <w:p w14:paraId="735189FE">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48" w:name="_Toc15377219"/>
      <w:bookmarkStart w:id="49" w:name="_Toc17425"/>
      <w:bookmarkStart w:id="50" w:name="_Toc15396611"/>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48"/>
      <w:bookmarkEnd w:id="49"/>
      <w:bookmarkEnd w:id="50"/>
    </w:p>
    <w:p w14:paraId="35A8B935">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w:t>
      </w:r>
      <w:r>
        <w:rPr>
          <w:rFonts w:hint="eastAsia" w:eastAsia="仿宋_GB2312" w:cs="仿宋_GB2312"/>
          <w:color w:val="auto"/>
          <w:kern w:val="2"/>
          <w:sz w:val="32"/>
          <w:szCs w:val="32"/>
          <w:highlight w:val="none"/>
          <w:lang w:val="en-US" w:eastAsia="zh-CN" w:bidi="ar-SA"/>
        </w:rPr>
        <w:t>持平。</w:t>
      </w:r>
    </w:p>
    <w:p w14:paraId="0B04D595">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51" w:name="_Toc22912"/>
      <w:bookmarkStart w:id="52" w:name="_Toc15396612"/>
      <w:bookmarkStart w:id="53" w:name="_Toc15377221"/>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51"/>
      <w:bookmarkEnd w:id="52"/>
      <w:bookmarkEnd w:id="53"/>
    </w:p>
    <w:p w14:paraId="2982FB8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4" w:name="_Toc15377222"/>
      <w:r>
        <w:rPr>
          <w:rFonts w:hint="eastAsia" w:ascii="Times New Roman" w:hAnsi="Times New Roman" w:eastAsia="楷体_GB2312" w:cs="楷体_GB2312"/>
          <w:b/>
          <w:color w:val="auto"/>
          <w:sz w:val="32"/>
          <w:szCs w:val="32"/>
          <w:highlight w:val="none"/>
        </w:rPr>
        <w:t>（一）机关运行经费支出情况</w:t>
      </w:r>
      <w:bookmarkEnd w:id="54"/>
    </w:p>
    <w:p w14:paraId="23BDB9CD">
      <w:pPr>
        <w:spacing w:line="600" w:lineRule="exact"/>
        <w:ind w:firstLine="640"/>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2024年度，乐山市市中区人力资源服务中心属于公益一类事业单位，无机关运行经费支出。</w:t>
      </w:r>
    </w:p>
    <w:p w14:paraId="1A5ECEE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5" w:name="_Toc15377223"/>
      <w:r>
        <w:rPr>
          <w:rFonts w:hint="eastAsia" w:ascii="Times New Roman" w:hAnsi="Times New Roman" w:eastAsia="楷体_GB2312" w:cs="楷体_GB2312"/>
          <w:b/>
          <w:color w:val="auto"/>
          <w:sz w:val="32"/>
          <w:szCs w:val="32"/>
          <w:highlight w:val="none"/>
        </w:rPr>
        <w:t>（二）政府采购支出情况</w:t>
      </w:r>
      <w:bookmarkEnd w:id="55"/>
    </w:p>
    <w:p w14:paraId="7623F4A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2024年度，乐山市市中区人力资源服务中心政府采购支出总额0万元，其中：政府采购货物支出0万元、政府采购工程支出0万元、政府采购服务支出0万元。授予中小企业合同金额</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kern w:val="2"/>
          <w:sz w:val="32"/>
          <w:szCs w:val="32"/>
          <w:highlight w:val="none"/>
          <w:lang w:val="en-US" w:eastAsia="zh-CN" w:bidi="ar-SA"/>
        </w:rPr>
        <w:t>%。</w:t>
      </w:r>
    </w:p>
    <w:p w14:paraId="321461D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6" w:name="_Toc15377224"/>
      <w:r>
        <w:rPr>
          <w:rFonts w:hint="eastAsia" w:ascii="Times New Roman" w:hAnsi="Times New Roman" w:eastAsia="楷体_GB2312" w:cs="楷体_GB2312"/>
          <w:b/>
          <w:color w:val="auto"/>
          <w:sz w:val="32"/>
          <w:szCs w:val="32"/>
          <w:highlight w:val="none"/>
        </w:rPr>
        <w:t>（三）国有资产占有使用情况</w:t>
      </w:r>
      <w:bookmarkEnd w:id="56"/>
    </w:p>
    <w:p w14:paraId="4524174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截至2024年12月31日，乐山市市中区人力资源服务中心共有车辆</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127AD2D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7101E8D9">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ascii="仿宋_GB2312" w:hAnsi="仿宋_GB2312" w:eastAsia="仿宋_GB2312" w:cs="仿宋_GB2312"/>
          <w:color w:val="auto"/>
          <w:kern w:val="2"/>
          <w:sz w:val="32"/>
          <w:szCs w:val="32"/>
          <w:highlight w:val="none"/>
          <w:lang w:val="en-US" w:eastAsia="zh-CN" w:bidi="ar-SA"/>
        </w:rPr>
        <w:t>乐山市市中区人力资源服务中心</w:t>
      </w:r>
      <w:r>
        <w:rPr>
          <w:rFonts w:hint="eastAsia" w:ascii="Times New Roman" w:hAnsi="Times New Roman" w:eastAsia="仿宋_GB2312" w:cs="仿宋_GB2312"/>
          <w:color w:val="auto"/>
          <w:kern w:val="2"/>
          <w:sz w:val="32"/>
          <w:szCs w:val="32"/>
          <w:highlight w:val="none"/>
          <w:lang w:val="en-US" w:eastAsia="zh-CN" w:bidi="ar-SA"/>
        </w:rPr>
        <w:t>在2024年度预算编制阶段，组织对区人力服务窗口工作</w:t>
      </w:r>
      <w:r>
        <w:rPr>
          <w:rFonts w:hint="eastAsia" w:eastAsia="仿宋_GB2312" w:cs="仿宋_GB2312"/>
          <w:color w:val="auto"/>
          <w:kern w:val="2"/>
          <w:sz w:val="32"/>
          <w:szCs w:val="32"/>
          <w:highlight w:val="none"/>
          <w:lang w:val="en-US" w:eastAsia="zh-CN" w:bidi="ar-SA"/>
        </w:rPr>
        <w:t>等1</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个项目开展绩效监控。</w:t>
      </w:r>
      <w:r>
        <w:rPr>
          <w:rFonts w:hint="eastAsia" w:eastAsia="仿宋_GB2312" w:cs="仿宋_GB2312"/>
          <w:color w:val="auto"/>
          <w:kern w:val="2"/>
          <w:sz w:val="32"/>
          <w:szCs w:val="32"/>
          <w:highlight w:val="none"/>
          <w:lang w:val="en-US" w:eastAsia="zh-CN" w:bidi="ar-SA"/>
        </w:rPr>
        <w:t>组织对1个项目开展绩效自评，绩效自评表详见第四部分附件。</w:t>
      </w:r>
    </w:p>
    <w:p w14:paraId="12116AE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A292F16">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7" w:name="_Toc15377225"/>
      <w:bookmarkStart w:id="58" w:name="_Toc22922"/>
      <w:bookmarkStart w:id="59" w:name="_Toc15396613"/>
    </w:p>
    <w:p w14:paraId="7ED7C3DE">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5376BCCF">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BFC20C6">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64F3965">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AEA66E6">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BE64C62">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5F45B861">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C43646C">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4DFD6FB">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14E91E9">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A1D7A1F">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7990BC7">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87A7F44">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7"/>
      <w:bookmarkEnd w:id="58"/>
      <w:bookmarkEnd w:id="59"/>
    </w:p>
    <w:p w14:paraId="62120A66">
      <w:pPr>
        <w:spacing w:line="600" w:lineRule="exact"/>
        <w:jc w:val="left"/>
        <w:rPr>
          <w:rFonts w:ascii="Times New Roman" w:hAnsi="Times New Roman"/>
          <w:b/>
          <w:color w:val="auto"/>
          <w:sz w:val="44"/>
          <w:szCs w:val="44"/>
          <w:highlight w:val="none"/>
        </w:rPr>
      </w:pPr>
    </w:p>
    <w:p w14:paraId="62C70C2D">
      <w:pPr>
        <w:numPr>
          <w:ilvl w:val="0"/>
          <w:numId w:val="4"/>
        </w:numPr>
        <w:spacing w:line="600" w:lineRule="exact"/>
        <w:ind w:left="0" w:leftChars="0" w:firstLine="400"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财政拨款收入：指单位从同级财政部门取得的财政预算资金。</w:t>
      </w:r>
    </w:p>
    <w:p w14:paraId="7A32D6DD">
      <w:pPr>
        <w:numPr>
          <w:ilvl w:val="0"/>
          <w:numId w:val="4"/>
        </w:numPr>
        <w:spacing w:line="600" w:lineRule="exact"/>
        <w:ind w:left="0" w:leftChars="0" w:firstLine="400"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社会保障和就业（类）人力资源和社会保障管理事务（款）综合业务管理（项）：指人力资源和社会保障管理方面综合性管理事务支出。</w:t>
      </w:r>
    </w:p>
    <w:p w14:paraId="3D8377F7">
      <w:pPr>
        <w:numPr>
          <w:ilvl w:val="0"/>
          <w:numId w:val="4"/>
        </w:numPr>
        <w:spacing w:line="600" w:lineRule="exact"/>
        <w:ind w:left="0" w:leftChars="0" w:firstLine="400"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社会保障和就业（类）人力资源和社会保障管理事务（款）公共就业服务和职业技能鉴定机构（项）：指公共就业服务和职业技能鉴定机构的支出。</w:t>
      </w:r>
    </w:p>
    <w:p w14:paraId="784B41A3">
      <w:pPr>
        <w:numPr>
          <w:ilvl w:val="0"/>
          <w:numId w:val="4"/>
        </w:numPr>
        <w:spacing w:line="600" w:lineRule="exact"/>
        <w:ind w:left="0" w:leftChars="0" w:firstLine="400"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社会保障和就业（类）行政事业单位养老支出（款）机关事业单位基本养老保险缴费支出（项）：指机关事业单位实施养老保险制度由单位缴纳的基本养老保险费支出。</w:t>
      </w:r>
    </w:p>
    <w:p w14:paraId="28D52EB4">
      <w:pPr>
        <w:numPr>
          <w:ilvl w:val="0"/>
          <w:numId w:val="4"/>
        </w:numPr>
        <w:spacing w:line="600" w:lineRule="exact"/>
        <w:ind w:left="0" w:leftChars="0" w:firstLine="400"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社会保障和就业（类）行政事业单位养老支出（款）机关事业单位职业年金缴费支出（项）：指机关事业单位实施养老保险制度由单位实际缴纳的职业年金支出（含职业年金补记支出</w:t>
      </w:r>
      <w:r>
        <w:rPr>
          <w:rFonts w:hint="eastAsia" w:eastAsia="仿宋_GB2312" w:cs="仿宋_GB2312"/>
          <w:color w:val="auto"/>
          <w:kern w:val="2"/>
          <w:sz w:val="32"/>
          <w:szCs w:val="32"/>
          <w:highlight w:val="none"/>
          <w:lang w:val="en-US" w:eastAsia="zh-CN" w:bidi="ar-SA"/>
        </w:rPr>
        <w:t>）</w:t>
      </w:r>
    </w:p>
    <w:p w14:paraId="10BE3217">
      <w:pPr>
        <w:numPr>
          <w:ilvl w:val="0"/>
          <w:numId w:val="4"/>
        </w:numPr>
        <w:spacing w:line="600" w:lineRule="exact"/>
        <w:ind w:left="0" w:leftChars="0" w:firstLine="400"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社会保障和就业（类）行政事业单位养老支出（款）其他行政事业单位养老支出（项）：指其他用于行政事业单位养老方面的支出。</w:t>
      </w:r>
    </w:p>
    <w:p w14:paraId="7D523C4D">
      <w:pPr>
        <w:numPr>
          <w:ilvl w:val="0"/>
          <w:numId w:val="4"/>
        </w:numPr>
        <w:spacing w:line="600" w:lineRule="exact"/>
        <w:ind w:left="0" w:leftChars="0" w:firstLine="400"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社会保障和就业（类）其他社会保障和就业支出（款）其他社会保障和就业支出（项）：指其他用于社会保障和就业方面的支出。</w:t>
      </w:r>
    </w:p>
    <w:p w14:paraId="142B95E0">
      <w:pPr>
        <w:numPr>
          <w:ilvl w:val="0"/>
          <w:numId w:val="4"/>
        </w:numPr>
        <w:spacing w:line="600" w:lineRule="exact"/>
        <w:ind w:left="0" w:leftChars="0" w:firstLine="400"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卫生健康（类）行政事业单位医疗（款）事业单位医疗（项）：指财政部门安排的事业单位基本医疗保险缴费经费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未参加医疗保险的事业单位的公费医疗经费</w:t>
      </w:r>
      <w:r>
        <w:rPr>
          <w:rFonts w:hint="eastAsia" w:eastAsia="仿宋_GB2312" w:cs="仿宋_GB2312"/>
          <w:color w:val="auto"/>
          <w:kern w:val="2"/>
          <w:sz w:val="32"/>
          <w:szCs w:val="32"/>
          <w:highlight w:val="none"/>
          <w:lang w:val="en-US" w:eastAsia="zh-CN" w:bidi="ar-SA"/>
        </w:rPr>
        <w:t>，以及</w:t>
      </w:r>
      <w:r>
        <w:rPr>
          <w:rFonts w:hint="eastAsia" w:ascii="Times New Roman" w:hAnsi="Times New Roman" w:eastAsia="仿宋_GB2312" w:cs="仿宋_GB2312"/>
          <w:color w:val="auto"/>
          <w:kern w:val="2"/>
          <w:sz w:val="32"/>
          <w:szCs w:val="32"/>
          <w:highlight w:val="none"/>
          <w:lang w:val="en-US" w:eastAsia="zh-CN" w:bidi="ar-SA"/>
        </w:rPr>
        <w:t>按国家规定享受离休人员待遇的医疗经费。</w:t>
      </w:r>
    </w:p>
    <w:p w14:paraId="72E6D857">
      <w:pPr>
        <w:numPr>
          <w:ilvl w:val="0"/>
          <w:numId w:val="4"/>
        </w:numPr>
        <w:spacing w:line="600" w:lineRule="exact"/>
        <w:ind w:left="0" w:leftChars="0" w:firstLine="400"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住房保障（类）住房改革支出（款）住房公积金（项）：指行政事业单位按人力资源和社会保障部、财政部规定的基本工资和津贴补贴以及规定比例为职工缴纳的住房公积金。</w:t>
      </w:r>
    </w:p>
    <w:p w14:paraId="430B812E">
      <w:pPr>
        <w:numPr>
          <w:ilvl w:val="0"/>
          <w:numId w:val="4"/>
        </w:numPr>
        <w:spacing w:line="600" w:lineRule="exact"/>
        <w:ind w:left="0" w:leftChars="0" w:firstLine="400"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2304735A">
      <w:pPr>
        <w:numPr>
          <w:ilvl w:val="0"/>
          <w:numId w:val="4"/>
        </w:numPr>
        <w:spacing w:line="600" w:lineRule="exact"/>
        <w:ind w:left="0" w:leftChars="0" w:firstLine="400"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42D753FB">
      <w:pPr>
        <w:numPr>
          <w:ilvl w:val="0"/>
          <w:numId w:val="4"/>
        </w:numPr>
        <w:spacing w:line="600" w:lineRule="exact"/>
        <w:ind w:left="0" w:leftChars="0" w:firstLine="400"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1583CC1">
      <w:pPr>
        <w:numPr>
          <w:ilvl w:val="0"/>
          <w:numId w:val="4"/>
        </w:numPr>
        <w:spacing w:line="600" w:lineRule="exact"/>
        <w:ind w:left="0" w:leftChars="0" w:firstLine="400"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32AB930">
      <w:pPr>
        <w:spacing w:line="600" w:lineRule="exact"/>
        <w:jc w:val="center"/>
        <w:outlineLvl w:val="0"/>
        <w:rPr>
          <w:rStyle w:val="29"/>
          <w:rFonts w:hint="eastAsia" w:ascii="Times New Roman" w:hAnsi="Times New Roman" w:eastAsia="黑体"/>
          <w:b w:val="0"/>
          <w:color w:val="auto"/>
          <w:highlight w:val="none"/>
          <w:lang w:eastAsia="zh-CN"/>
        </w:rPr>
      </w:pPr>
      <w:bookmarkStart w:id="60"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61" w:name="_Toc8728"/>
      <w:bookmarkStart w:id="62"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61"/>
      <w:bookmarkEnd w:id="62"/>
    </w:p>
    <w:p w14:paraId="3D365AE9">
      <w:pPr>
        <w:pStyle w:val="5"/>
        <w:rPr>
          <w:rFonts w:hint="eastAsia"/>
          <w:highlight w:val="none"/>
          <w:lang w:val="zh-CN" w:eastAsia="zh-CN"/>
        </w:rPr>
      </w:pPr>
    </w:p>
    <w:p w14:paraId="113364F2">
      <w:pPr>
        <w:rPr>
          <w:rFonts w:hint="eastAsia"/>
          <w:highlight w:val="none"/>
          <w:lang w:val="zh-CN" w:eastAsia="zh-CN"/>
        </w:rPr>
      </w:pPr>
    </w:p>
    <w:p w14:paraId="6266C948">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highlight w:val="none"/>
          <w:u w:val="none"/>
          <w:lang w:val="zh-CN" w:eastAsia="zh-CN" w:bidi="ar"/>
        </w:rPr>
      </w:pPr>
      <w:r>
        <w:rPr>
          <w:rFonts w:hint="eastAsia" w:ascii="Times New Roman" w:hAnsi="Times New Roman" w:eastAsia="仿宋_GB2312" w:cs="Times New Roman"/>
          <w:kern w:val="2"/>
          <w:sz w:val="32"/>
          <w:szCs w:val="32"/>
          <w:highlight w:val="none"/>
          <w:u w:val="none"/>
          <w:lang w:val="zh-CN" w:eastAsia="zh-CN" w:bidi="ar"/>
        </w:rPr>
        <w:t>附表：</w:t>
      </w:r>
      <w:r>
        <w:rPr>
          <w:rFonts w:hint="eastAsia" w:ascii="Times New Roman" w:hAnsi="Times New Roman" w:eastAsia="仿宋_GB2312" w:cs="Times New Roman"/>
          <w:kern w:val="2"/>
          <w:sz w:val="32"/>
          <w:szCs w:val="32"/>
          <w:highlight w:val="none"/>
          <w:u w:val="none"/>
          <w:lang w:val="en-US" w:eastAsia="zh-CN" w:bidi="ar"/>
        </w:rPr>
        <w:t>部门预算项目支出绩效自评表（2024年度）</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926"/>
        <w:gridCol w:w="775"/>
        <w:gridCol w:w="1877"/>
        <w:gridCol w:w="396"/>
        <w:gridCol w:w="486"/>
        <w:gridCol w:w="659"/>
        <w:gridCol w:w="1026"/>
        <w:gridCol w:w="486"/>
        <w:gridCol w:w="486"/>
        <w:gridCol w:w="829"/>
      </w:tblGrid>
      <w:tr w14:paraId="04CA7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608DA8">
            <w:pPr>
              <w:keepNext w:val="0"/>
              <w:keepLines w:val="0"/>
              <w:widowControl/>
              <w:suppressLineNumbers w:val="0"/>
              <w:jc w:val="center"/>
              <w:textAlignment w:val="center"/>
              <w:rPr>
                <w:rFonts w:ascii="黑体" w:hAnsi="宋体" w:eastAsia="黑体" w:cs="黑体"/>
                <w:b/>
                <w:bCs/>
                <w:i w:val="0"/>
                <w:iCs w:val="0"/>
                <w:color w:val="000000"/>
                <w:sz w:val="30"/>
                <w:szCs w:val="30"/>
                <w:highlight w:val="none"/>
                <w:u w:val="none"/>
              </w:rPr>
            </w:pPr>
            <w:r>
              <w:rPr>
                <w:rFonts w:hint="eastAsia" w:ascii="黑体" w:hAnsi="宋体" w:eastAsia="黑体" w:cs="黑体"/>
                <w:b/>
                <w:bCs/>
                <w:i w:val="0"/>
                <w:iCs w:val="0"/>
                <w:color w:val="000000"/>
                <w:kern w:val="0"/>
                <w:sz w:val="30"/>
                <w:szCs w:val="30"/>
                <w:highlight w:val="none"/>
                <w:u w:val="none"/>
                <w:lang w:val="en-US" w:eastAsia="zh-CN" w:bidi="ar"/>
              </w:rPr>
              <w:t>部门预算项目支出绩效自评表（2024年度）</w:t>
            </w:r>
          </w:p>
        </w:tc>
      </w:tr>
      <w:tr w14:paraId="6B64A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0213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项目名称</w:t>
            </w:r>
          </w:p>
        </w:tc>
        <w:tc>
          <w:tcPr>
            <w:tcW w:w="412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2460F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51110224T000010167218-区人力服务窗口工作</w:t>
            </w:r>
          </w:p>
        </w:tc>
      </w:tr>
      <w:tr w14:paraId="1FEC0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8F34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主管部门</w:t>
            </w:r>
          </w:p>
        </w:tc>
        <w:tc>
          <w:tcPr>
            <w:tcW w:w="28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495D0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乐山市市中区人力资源和社会保障局部门</w:t>
            </w:r>
          </w:p>
        </w:tc>
        <w:tc>
          <w:tcPr>
            <w:tcW w:w="350" w:type="pct"/>
            <w:tcBorders>
              <w:top w:val="nil"/>
              <w:left w:val="nil"/>
              <w:bottom w:val="nil"/>
              <w:right w:val="nil"/>
            </w:tcBorders>
            <w:shd w:val="clear" w:color="auto" w:fill="auto"/>
            <w:vAlign w:val="center"/>
          </w:tcPr>
          <w:p w14:paraId="030CDEF7">
            <w:pPr>
              <w:keepNext w:val="0"/>
              <w:keepLines w:val="0"/>
              <w:widowControl/>
              <w:suppressLineNumbers w:val="0"/>
              <w:jc w:val="left"/>
              <w:textAlignment w:val="center"/>
              <w:rPr>
                <w:rFonts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实施单位 （盖章）</w:t>
            </w:r>
          </w:p>
        </w:tc>
        <w:tc>
          <w:tcPr>
            <w:tcW w:w="9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EFD25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乐山市市中区人力资源服务中心</w:t>
            </w:r>
          </w:p>
        </w:tc>
      </w:tr>
      <w:tr w14:paraId="67901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BB69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项目基本情况</w:t>
            </w:r>
          </w:p>
        </w:tc>
        <w:tc>
          <w:tcPr>
            <w:tcW w:w="6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24AF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1.项目年度目标完成情况</w:t>
            </w:r>
          </w:p>
        </w:tc>
        <w:tc>
          <w:tcPr>
            <w:tcW w:w="28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47572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项目年度目标</w:t>
            </w:r>
          </w:p>
        </w:tc>
        <w:tc>
          <w:tcPr>
            <w:tcW w:w="126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A77BE6">
            <w:pPr>
              <w:keepNext w:val="0"/>
              <w:keepLines w:val="0"/>
              <w:widowControl/>
              <w:suppressLineNumbers w:val="0"/>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年度目标完成情况</w:t>
            </w:r>
          </w:p>
        </w:tc>
      </w:tr>
      <w:tr w14:paraId="6921D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9"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3603B">
            <w:pPr>
              <w:rPr>
                <w:rFonts w:hint="eastAsia" w:ascii="宋体" w:hAnsi="宋体" w:eastAsia="宋体" w:cs="宋体"/>
                <w:i w:val="0"/>
                <w:iCs w:val="0"/>
                <w:color w:val="000000"/>
                <w:sz w:val="18"/>
                <w:szCs w:val="18"/>
                <w:highlight w:val="none"/>
                <w:u w:val="none"/>
              </w:rPr>
            </w:pP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EE215">
            <w:pPr>
              <w:rPr>
                <w:rFonts w:hint="eastAsia" w:ascii="宋体" w:hAnsi="宋体" w:eastAsia="宋体" w:cs="宋体"/>
                <w:i w:val="0"/>
                <w:iCs w:val="0"/>
                <w:color w:val="000000"/>
                <w:sz w:val="18"/>
                <w:szCs w:val="18"/>
                <w:highlight w:val="none"/>
                <w:u w:val="none"/>
              </w:rPr>
            </w:pPr>
          </w:p>
        </w:tc>
        <w:tc>
          <w:tcPr>
            <w:tcW w:w="28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F4DCC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预计</w:t>
            </w:r>
            <w:r>
              <w:rPr>
                <w:rFonts w:ascii="宋体" w:hAnsi="宋体" w:eastAsia="宋体" w:cs="宋体"/>
                <w:i w:val="0"/>
                <w:iCs w:val="0"/>
                <w:color w:val="000000"/>
                <w:kern w:val="0"/>
                <w:sz w:val="18"/>
                <w:szCs w:val="18"/>
                <w:highlight w:val="none"/>
                <w:u w:val="none"/>
                <w:lang w:val="en-US" w:eastAsia="zh-CN" w:bidi="ar"/>
              </w:rPr>
              <w:t>2024年到2019年肉100万元，年额定20W，用于保障人力资源服务中心窗口工作服务的正常</w:t>
            </w:r>
            <w:r>
              <w:rPr>
                <w:rFonts w:hint="eastAsia" w:ascii="宋体" w:hAnsi="宋体" w:cs="宋体"/>
                <w:i w:val="0"/>
                <w:iCs w:val="0"/>
                <w:color w:val="000000"/>
                <w:kern w:val="0"/>
                <w:sz w:val="18"/>
                <w:szCs w:val="18"/>
                <w:highlight w:val="none"/>
                <w:u w:val="none"/>
                <w:lang w:val="en-US" w:eastAsia="zh-CN" w:bidi="ar"/>
              </w:rPr>
              <w:t>开展</w:t>
            </w:r>
            <w:r>
              <w:rPr>
                <w:rFonts w:ascii="宋体" w:hAnsi="宋体" w:eastAsia="宋体" w:cs="宋体"/>
                <w:i w:val="0"/>
                <w:iCs w:val="0"/>
                <w:color w:val="000000"/>
                <w:kern w:val="0"/>
                <w:sz w:val="18"/>
                <w:szCs w:val="18"/>
                <w:highlight w:val="none"/>
                <w:u w:val="none"/>
                <w:lang w:val="en-US" w:eastAsia="zh-CN" w:bidi="ar"/>
              </w:rPr>
              <w:t>。用于窗口工作人员的工作经费，根据专业服务人员5名，保安工作1名，福利待遇保障预计需要20</w:t>
            </w:r>
            <w:r>
              <w:rPr>
                <w:rFonts w:hint="eastAsia" w:ascii="宋体" w:hAnsi="宋体" w:cs="宋体"/>
                <w:i w:val="0"/>
                <w:iCs w:val="0"/>
                <w:color w:val="000000"/>
                <w:kern w:val="0"/>
                <w:sz w:val="18"/>
                <w:szCs w:val="18"/>
                <w:highlight w:val="none"/>
                <w:u w:val="none"/>
                <w:lang w:val="en-US" w:eastAsia="zh-CN" w:bidi="ar"/>
              </w:rPr>
              <w:t>万元</w:t>
            </w:r>
            <w:r>
              <w:rPr>
                <w:rFonts w:ascii="宋体" w:hAnsi="宋体" w:eastAsia="宋体" w:cs="宋体"/>
                <w:i w:val="0"/>
                <w:iCs w:val="0"/>
                <w:color w:val="000000"/>
                <w:kern w:val="0"/>
                <w:sz w:val="18"/>
                <w:szCs w:val="18"/>
                <w:highlight w:val="none"/>
                <w:u w:val="none"/>
                <w:lang w:val="en-US" w:eastAsia="zh-CN" w:bidi="ar"/>
              </w:rPr>
              <w:t>。保安工作，通过服务大厅现场办理、线上线下招聘会、网络直播等方式，搭建供需对接平台，增强就业活力。依托市中区“旅游兴市、产业强市”发展主线，围绕公共就业专项活动，举办专场招聘会，有针对性解决市中区有劳动能力的脱贫家庭、</w:t>
            </w:r>
            <w:r>
              <w:rPr>
                <w:rFonts w:hint="eastAsia" w:ascii="宋体" w:hAnsi="宋体" w:cs="宋体"/>
                <w:i w:val="0"/>
                <w:iCs w:val="0"/>
                <w:color w:val="000000"/>
                <w:kern w:val="0"/>
                <w:sz w:val="18"/>
                <w:szCs w:val="18"/>
                <w:highlight w:val="none"/>
                <w:u w:val="none"/>
                <w:lang w:val="en-US" w:eastAsia="zh-CN" w:bidi="ar"/>
              </w:rPr>
              <w:t>易地</w:t>
            </w:r>
            <w:r>
              <w:rPr>
                <w:rFonts w:ascii="宋体" w:hAnsi="宋体" w:eastAsia="宋体" w:cs="宋体"/>
                <w:i w:val="0"/>
                <w:iCs w:val="0"/>
                <w:color w:val="000000"/>
                <w:kern w:val="0"/>
                <w:sz w:val="18"/>
                <w:szCs w:val="18"/>
                <w:highlight w:val="none"/>
                <w:u w:val="none"/>
                <w:lang w:val="en-US" w:eastAsia="zh-CN" w:bidi="ar"/>
              </w:rPr>
              <w:t>搬迁家庭、高校毕业生、退役军人、就业困难人员等求职群体的就业，进一步增强企业吸纳贫困劳动力就业的能力，全年预计完成市中区“稳岗就业送岗乐业”岗位推送12期；做好约3万份市中区流动人员人事档案管理信息化建设和人事档案管理工作。建立流动人员档案信息库，继续开展高校毕业生</w:t>
            </w:r>
            <w:r>
              <w:rPr>
                <w:rFonts w:hint="eastAsia" w:ascii="宋体" w:hAnsi="宋体" w:cs="宋体"/>
                <w:i w:val="0"/>
                <w:iCs w:val="0"/>
                <w:color w:val="000000"/>
                <w:kern w:val="0"/>
                <w:sz w:val="18"/>
                <w:szCs w:val="18"/>
                <w:highlight w:val="none"/>
                <w:u w:val="none"/>
                <w:lang w:val="en-US" w:eastAsia="zh-CN" w:bidi="ar"/>
              </w:rPr>
              <w:t>服务</w:t>
            </w:r>
            <w:r>
              <w:rPr>
                <w:rFonts w:ascii="宋体" w:hAnsi="宋体" w:eastAsia="宋体" w:cs="宋体"/>
                <w:i w:val="0"/>
                <w:iCs w:val="0"/>
                <w:color w:val="000000"/>
                <w:kern w:val="0"/>
                <w:sz w:val="18"/>
                <w:szCs w:val="18"/>
                <w:highlight w:val="none"/>
                <w:u w:val="none"/>
                <w:lang w:val="en-US" w:eastAsia="zh-CN" w:bidi="ar"/>
              </w:rPr>
              <w:t>等工作任务。解决市中区有劳动能力的脱贫家庭、</w:t>
            </w:r>
            <w:r>
              <w:rPr>
                <w:rFonts w:hint="eastAsia" w:ascii="宋体" w:hAnsi="宋体" w:cs="宋体"/>
                <w:i w:val="0"/>
                <w:iCs w:val="0"/>
                <w:color w:val="000000"/>
                <w:kern w:val="0"/>
                <w:sz w:val="18"/>
                <w:szCs w:val="18"/>
                <w:highlight w:val="none"/>
                <w:u w:val="none"/>
                <w:lang w:val="en-US" w:eastAsia="zh-CN" w:bidi="ar"/>
              </w:rPr>
              <w:t>易地</w:t>
            </w:r>
            <w:r>
              <w:rPr>
                <w:rFonts w:ascii="宋体" w:hAnsi="宋体" w:eastAsia="宋体" w:cs="宋体"/>
                <w:i w:val="0"/>
                <w:iCs w:val="0"/>
                <w:color w:val="000000"/>
                <w:kern w:val="0"/>
                <w:sz w:val="18"/>
                <w:szCs w:val="18"/>
                <w:highlight w:val="none"/>
                <w:u w:val="none"/>
                <w:lang w:val="en-US" w:eastAsia="zh-CN" w:bidi="ar"/>
              </w:rPr>
              <w:t>搬迁家庭、高校毕业生、退役军人、就业困难人员等求职群体就业保障和人事档案服务工作。</w:t>
            </w:r>
          </w:p>
        </w:tc>
        <w:tc>
          <w:tcPr>
            <w:tcW w:w="126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7D6F85">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按工作要求时间节点已完成</w:t>
            </w:r>
          </w:p>
        </w:tc>
      </w:tr>
      <w:tr w14:paraId="33694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80527">
            <w:pPr>
              <w:rPr>
                <w:rFonts w:hint="eastAsia" w:ascii="宋体" w:hAnsi="宋体" w:eastAsia="宋体" w:cs="宋体"/>
                <w:i w:val="0"/>
                <w:iCs w:val="0"/>
                <w:color w:val="000000"/>
                <w:sz w:val="18"/>
                <w:szCs w:val="18"/>
                <w:highlight w:val="none"/>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9189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2.项目实施内容及过程概述</w:t>
            </w:r>
          </w:p>
        </w:tc>
        <w:tc>
          <w:tcPr>
            <w:tcW w:w="412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4EFDA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保障人员待遇按实支付</w:t>
            </w:r>
          </w:p>
        </w:tc>
      </w:tr>
      <w:tr w14:paraId="6ED61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5F58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预算执行情况（10分）</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FEF4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年度预算数（万元）</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0301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年初预算</w:t>
            </w:r>
          </w:p>
        </w:tc>
        <w:tc>
          <w:tcPr>
            <w:tcW w:w="1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AB09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调整后预算数</w:t>
            </w:r>
          </w:p>
        </w:tc>
        <w:tc>
          <w:tcPr>
            <w:tcW w:w="10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75687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预算执行数</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B121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预算执行率</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F609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AB4C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7F49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原因</w:t>
            </w:r>
          </w:p>
        </w:tc>
      </w:tr>
      <w:tr w14:paraId="2C9F1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BAAD8">
            <w:pPr>
              <w:jc w:val="center"/>
              <w:rPr>
                <w:rFonts w:hint="eastAsia" w:ascii="宋体" w:hAnsi="宋体" w:eastAsia="宋体" w:cs="宋体"/>
                <w:i w:val="0"/>
                <w:iCs w:val="0"/>
                <w:color w:val="000000"/>
                <w:sz w:val="18"/>
                <w:szCs w:val="18"/>
                <w:highlight w:val="none"/>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AC06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总额</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4539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20.00</w:t>
            </w:r>
          </w:p>
        </w:tc>
        <w:tc>
          <w:tcPr>
            <w:tcW w:w="1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1B30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11.01</w:t>
            </w:r>
          </w:p>
        </w:tc>
        <w:tc>
          <w:tcPr>
            <w:tcW w:w="10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08A71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11.01</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875F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BC37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1636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282F2">
            <w:pPr>
              <w:keepNext w:val="0"/>
              <w:keepLines w:val="0"/>
              <w:widowControl/>
              <w:suppressLineNumbers w:val="0"/>
              <w:jc w:val="left"/>
              <w:textAlignment w:val="center"/>
              <w:rPr>
                <w:rFonts w:hint="eastAsia" w:ascii="黑体" w:hAnsi="黑体" w:eastAsia="黑体" w:cs="黑体"/>
                <w:i/>
                <w:iCs/>
                <w:color w:val="000000"/>
                <w:sz w:val="18"/>
                <w:szCs w:val="18"/>
                <w:highlight w:val="none"/>
                <w:u w:val="none"/>
              </w:rPr>
            </w:pPr>
            <w:r>
              <w:rPr>
                <w:rFonts w:hint="eastAsia" w:ascii="黑体" w:hAnsi="黑体" w:eastAsia="黑体" w:cs="黑体"/>
                <w:i/>
                <w:iCs/>
                <w:color w:val="000000"/>
                <w:kern w:val="0"/>
                <w:sz w:val="18"/>
                <w:szCs w:val="18"/>
                <w:highlight w:val="none"/>
                <w:u w:val="none"/>
                <w:lang w:val="en-US" w:eastAsia="zh-CN" w:bidi="ar"/>
              </w:rPr>
              <w:t>按实例支</w:t>
            </w:r>
          </w:p>
        </w:tc>
      </w:tr>
      <w:tr w14:paraId="4868F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187E0">
            <w:pPr>
              <w:jc w:val="center"/>
              <w:rPr>
                <w:rFonts w:hint="eastAsia" w:ascii="宋体" w:hAnsi="宋体" w:eastAsia="宋体" w:cs="宋体"/>
                <w:i w:val="0"/>
                <w:iCs w:val="0"/>
                <w:color w:val="000000"/>
                <w:sz w:val="18"/>
                <w:szCs w:val="18"/>
                <w:highlight w:val="none"/>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AAE5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其中：财政资金</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066C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20.00</w:t>
            </w:r>
          </w:p>
        </w:tc>
        <w:tc>
          <w:tcPr>
            <w:tcW w:w="1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1456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11.01</w:t>
            </w:r>
          </w:p>
        </w:tc>
        <w:tc>
          <w:tcPr>
            <w:tcW w:w="10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9C03E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11.01</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51F6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C0B7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6BB1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74C51">
            <w:pPr>
              <w:rPr>
                <w:rFonts w:hint="eastAsia" w:ascii="黑体" w:hAnsi="黑体" w:eastAsia="黑体" w:cs="黑体"/>
                <w:i/>
                <w:iCs/>
                <w:color w:val="000000"/>
                <w:sz w:val="18"/>
                <w:szCs w:val="18"/>
                <w:highlight w:val="none"/>
                <w:u w:val="none"/>
              </w:rPr>
            </w:pPr>
          </w:p>
        </w:tc>
      </w:tr>
      <w:tr w14:paraId="35B42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D9384">
            <w:pPr>
              <w:jc w:val="center"/>
              <w:rPr>
                <w:rFonts w:hint="eastAsia" w:ascii="宋体" w:hAnsi="宋体" w:eastAsia="宋体" w:cs="宋体"/>
                <w:i w:val="0"/>
                <w:iCs w:val="0"/>
                <w:color w:val="000000"/>
                <w:sz w:val="18"/>
                <w:szCs w:val="18"/>
                <w:highlight w:val="none"/>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B5F8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财政专户管理资金</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B93D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2097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0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F8ADB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7713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9790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4F44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1D793">
            <w:pPr>
              <w:rPr>
                <w:rFonts w:hint="eastAsia" w:ascii="黑体" w:hAnsi="黑体" w:eastAsia="黑体" w:cs="黑体"/>
                <w:i/>
                <w:iCs/>
                <w:color w:val="000000"/>
                <w:sz w:val="18"/>
                <w:szCs w:val="18"/>
                <w:highlight w:val="none"/>
                <w:u w:val="none"/>
              </w:rPr>
            </w:pPr>
          </w:p>
        </w:tc>
      </w:tr>
      <w:tr w14:paraId="71821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0B202">
            <w:pPr>
              <w:jc w:val="center"/>
              <w:rPr>
                <w:rFonts w:hint="eastAsia" w:ascii="宋体" w:hAnsi="宋体" w:eastAsia="宋体" w:cs="宋体"/>
                <w:i w:val="0"/>
                <w:iCs w:val="0"/>
                <w:color w:val="000000"/>
                <w:sz w:val="18"/>
                <w:szCs w:val="18"/>
                <w:highlight w:val="none"/>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18DC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单位资金</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733E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DA95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0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3C53D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ACE8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C288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52AA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B04D1">
            <w:pPr>
              <w:rPr>
                <w:rFonts w:hint="eastAsia" w:ascii="黑体" w:hAnsi="黑体" w:eastAsia="黑体" w:cs="黑体"/>
                <w:i/>
                <w:iCs/>
                <w:color w:val="000000"/>
                <w:sz w:val="18"/>
                <w:szCs w:val="18"/>
                <w:highlight w:val="none"/>
                <w:u w:val="none"/>
              </w:rPr>
            </w:pPr>
          </w:p>
        </w:tc>
      </w:tr>
      <w:tr w14:paraId="0D347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C77B6">
            <w:pPr>
              <w:jc w:val="center"/>
              <w:rPr>
                <w:rFonts w:hint="eastAsia" w:ascii="宋体" w:hAnsi="宋体" w:eastAsia="宋体" w:cs="宋体"/>
                <w:i w:val="0"/>
                <w:iCs w:val="0"/>
                <w:color w:val="000000"/>
                <w:sz w:val="18"/>
                <w:szCs w:val="18"/>
                <w:highlight w:val="none"/>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35EE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其他资金</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79BD7">
            <w:pPr>
              <w:jc w:val="center"/>
              <w:rPr>
                <w:rFonts w:hint="eastAsia" w:ascii="微软雅黑" w:hAnsi="微软雅黑" w:eastAsia="微软雅黑" w:cs="微软雅黑"/>
                <w:i/>
                <w:iCs/>
                <w:color w:val="000000"/>
                <w:sz w:val="16"/>
                <w:szCs w:val="16"/>
                <w:highlight w:val="none"/>
                <w:u w:val="none"/>
              </w:rPr>
            </w:pPr>
          </w:p>
        </w:tc>
        <w:tc>
          <w:tcPr>
            <w:tcW w:w="1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055FB">
            <w:pPr>
              <w:jc w:val="center"/>
              <w:rPr>
                <w:rFonts w:hint="eastAsia" w:ascii="微软雅黑" w:hAnsi="微软雅黑" w:eastAsia="微软雅黑" w:cs="微软雅黑"/>
                <w:i/>
                <w:iCs/>
                <w:color w:val="000000"/>
                <w:sz w:val="16"/>
                <w:szCs w:val="16"/>
                <w:highlight w:val="none"/>
                <w:u w:val="none"/>
              </w:rPr>
            </w:pPr>
          </w:p>
        </w:tc>
        <w:tc>
          <w:tcPr>
            <w:tcW w:w="10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0853F">
            <w:pPr>
              <w:jc w:val="center"/>
              <w:rPr>
                <w:rFonts w:hint="eastAsia" w:ascii="微软雅黑" w:hAnsi="微软雅黑" w:eastAsia="微软雅黑" w:cs="微软雅黑"/>
                <w:i/>
                <w:iCs/>
                <w:color w:val="000000"/>
                <w:sz w:val="16"/>
                <w:szCs w:val="16"/>
                <w:highlight w:val="none"/>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59450">
            <w:pPr>
              <w:jc w:val="center"/>
              <w:rPr>
                <w:rFonts w:hint="eastAsia" w:ascii="微软雅黑" w:hAnsi="微软雅黑" w:eastAsia="微软雅黑" w:cs="微软雅黑"/>
                <w:i/>
                <w:iCs/>
                <w:color w:val="000000"/>
                <w:sz w:val="16"/>
                <w:szCs w:val="16"/>
                <w:highlight w:val="none"/>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ED50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37ED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D8937">
            <w:pPr>
              <w:rPr>
                <w:rFonts w:hint="eastAsia" w:ascii="黑体" w:hAnsi="黑体" w:eastAsia="黑体" w:cs="黑体"/>
                <w:i/>
                <w:iCs/>
                <w:color w:val="000000"/>
                <w:sz w:val="18"/>
                <w:szCs w:val="18"/>
                <w:highlight w:val="none"/>
                <w:u w:val="none"/>
              </w:rPr>
            </w:pPr>
          </w:p>
        </w:tc>
      </w:tr>
      <w:tr w14:paraId="53889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FACD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绩效指标（90分）</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68EF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一级指标</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47E7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二级指标</w:t>
            </w:r>
          </w:p>
        </w:tc>
        <w:tc>
          <w:tcPr>
            <w:tcW w:w="1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86ED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三级指标</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5784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指标性质</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2281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指标值</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6F0E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度量单位</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3815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完成值</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8D04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6D24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4775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未完成原因分析</w:t>
            </w:r>
          </w:p>
        </w:tc>
      </w:tr>
      <w:tr w14:paraId="17376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75FF4">
            <w:pPr>
              <w:jc w:val="center"/>
              <w:rPr>
                <w:rFonts w:hint="eastAsia" w:ascii="宋体" w:hAnsi="宋体" w:eastAsia="宋体" w:cs="宋体"/>
                <w:i w:val="0"/>
                <w:iCs w:val="0"/>
                <w:color w:val="000000"/>
                <w:sz w:val="18"/>
                <w:szCs w:val="18"/>
                <w:highlight w:val="none"/>
                <w:u w:val="none"/>
              </w:rPr>
            </w:pPr>
          </w:p>
        </w:tc>
        <w:tc>
          <w:tcPr>
            <w:tcW w:w="6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5F76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产出指标</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F84F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数量指标</w:t>
            </w:r>
          </w:p>
        </w:tc>
        <w:tc>
          <w:tcPr>
            <w:tcW w:w="1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B2AA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区窗口服务工作窗口服务人数</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12A9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E577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C024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人</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AE27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6</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FA7D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5D91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24D6B">
            <w:pPr>
              <w:jc w:val="center"/>
              <w:rPr>
                <w:rFonts w:hint="eastAsia" w:ascii="微软雅黑" w:hAnsi="微软雅黑" w:eastAsia="微软雅黑" w:cs="微软雅黑"/>
                <w:i/>
                <w:iCs/>
                <w:color w:val="000000"/>
                <w:sz w:val="16"/>
                <w:szCs w:val="16"/>
                <w:highlight w:val="none"/>
                <w:u w:val="none"/>
              </w:rPr>
            </w:pPr>
          </w:p>
        </w:tc>
      </w:tr>
      <w:tr w14:paraId="7C214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D8C59">
            <w:pPr>
              <w:jc w:val="center"/>
              <w:rPr>
                <w:rFonts w:hint="eastAsia" w:ascii="宋体" w:hAnsi="宋体" w:eastAsia="宋体" w:cs="宋体"/>
                <w:i w:val="0"/>
                <w:iCs w:val="0"/>
                <w:color w:val="000000"/>
                <w:sz w:val="18"/>
                <w:szCs w:val="18"/>
                <w:highlight w:val="none"/>
                <w:u w:val="none"/>
              </w:rPr>
            </w:pP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3C6B3">
            <w:pPr>
              <w:jc w:val="center"/>
              <w:rPr>
                <w:rFonts w:hint="eastAsia" w:ascii="宋体" w:hAnsi="宋体" w:eastAsia="宋体" w:cs="宋体"/>
                <w:i w:val="0"/>
                <w:iCs w:val="0"/>
                <w:color w:val="000000"/>
                <w:sz w:val="18"/>
                <w:szCs w:val="18"/>
                <w:highlight w:val="none"/>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B3F4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质量指标</w:t>
            </w:r>
          </w:p>
        </w:tc>
        <w:tc>
          <w:tcPr>
            <w:tcW w:w="1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D918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区窗口服务工作窗口服务人员到岗率</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B86D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BA7E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BE6C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1B77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9F66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15</w:t>
            </w:r>
          </w:p>
        </w:tc>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D059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3BB7A">
            <w:pPr>
              <w:jc w:val="center"/>
              <w:rPr>
                <w:rFonts w:hint="eastAsia" w:ascii="微软雅黑" w:hAnsi="微软雅黑" w:eastAsia="微软雅黑" w:cs="微软雅黑"/>
                <w:i/>
                <w:iCs/>
                <w:color w:val="000000"/>
                <w:sz w:val="16"/>
                <w:szCs w:val="16"/>
                <w:highlight w:val="none"/>
                <w:u w:val="none"/>
              </w:rPr>
            </w:pPr>
          </w:p>
        </w:tc>
      </w:tr>
      <w:tr w14:paraId="06B36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442F8">
            <w:pPr>
              <w:jc w:val="center"/>
              <w:rPr>
                <w:rFonts w:hint="eastAsia" w:ascii="宋体" w:hAnsi="宋体" w:eastAsia="宋体" w:cs="宋体"/>
                <w:i w:val="0"/>
                <w:iCs w:val="0"/>
                <w:color w:val="000000"/>
                <w:sz w:val="18"/>
                <w:szCs w:val="18"/>
                <w:highlight w:val="none"/>
                <w:u w:val="none"/>
              </w:rPr>
            </w:pP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7A52A">
            <w:pPr>
              <w:jc w:val="center"/>
              <w:rPr>
                <w:rFonts w:hint="eastAsia" w:ascii="宋体" w:hAnsi="宋体" w:eastAsia="宋体" w:cs="宋体"/>
                <w:i w:val="0"/>
                <w:iCs w:val="0"/>
                <w:color w:val="000000"/>
                <w:sz w:val="18"/>
                <w:szCs w:val="18"/>
                <w:highlight w:val="none"/>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F71D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时效指标</w:t>
            </w:r>
          </w:p>
        </w:tc>
        <w:tc>
          <w:tcPr>
            <w:tcW w:w="1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8ED2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区窗口服务工作时效</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7DB1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892B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778D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月</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8EDF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12</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BE76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15</w:t>
            </w:r>
          </w:p>
        </w:tc>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BA83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DFD7E">
            <w:pPr>
              <w:jc w:val="center"/>
              <w:rPr>
                <w:rFonts w:hint="eastAsia" w:ascii="微软雅黑" w:hAnsi="微软雅黑" w:eastAsia="微软雅黑" w:cs="微软雅黑"/>
                <w:i/>
                <w:iCs/>
                <w:color w:val="000000"/>
                <w:sz w:val="16"/>
                <w:szCs w:val="16"/>
                <w:highlight w:val="none"/>
                <w:u w:val="none"/>
              </w:rPr>
            </w:pPr>
          </w:p>
        </w:tc>
      </w:tr>
      <w:tr w14:paraId="0B743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557BB">
            <w:pPr>
              <w:jc w:val="center"/>
              <w:rPr>
                <w:rFonts w:hint="eastAsia" w:ascii="宋体" w:hAnsi="宋体" w:eastAsia="宋体" w:cs="宋体"/>
                <w:i w:val="0"/>
                <w:iCs w:val="0"/>
                <w:color w:val="000000"/>
                <w:sz w:val="18"/>
                <w:szCs w:val="18"/>
                <w:highlight w:val="none"/>
                <w:u w:val="none"/>
              </w:rPr>
            </w:pPr>
          </w:p>
        </w:tc>
        <w:tc>
          <w:tcPr>
            <w:tcW w:w="6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9F4B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效益指标</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3867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可持续发展指标</w:t>
            </w:r>
          </w:p>
        </w:tc>
        <w:tc>
          <w:tcPr>
            <w:tcW w:w="1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662A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区窗口服务工作保障窗口工作的可持续发展</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5F35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定性</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19A7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优良差</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75261">
            <w:pPr>
              <w:jc w:val="center"/>
              <w:rPr>
                <w:rFonts w:hint="eastAsia" w:ascii="宋体" w:hAnsi="宋体" w:eastAsia="宋体" w:cs="宋体"/>
                <w:i w:val="0"/>
                <w:iCs w:val="0"/>
                <w:color w:val="000000"/>
                <w:sz w:val="18"/>
                <w:szCs w:val="18"/>
                <w:highlight w:val="none"/>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0475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优</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95D3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15</w:t>
            </w:r>
          </w:p>
        </w:tc>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6498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B4E3A">
            <w:pPr>
              <w:jc w:val="center"/>
              <w:rPr>
                <w:rFonts w:hint="eastAsia" w:ascii="微软雅黑" w:hAnsi="微软雅黑" w:eastAsia="微软雅黑" w:cs="微软雅黑"/>
                <w:i/>
                <w:iCs/>
                <w:color w:val="000000"/>
                <w:sz w:val="16"/>
                <w:szCs w:val="16"/>
                <w:highlight w:val="none"/>
                <w:u w:val="none"/>
              </w:rPr>
            </w:pPr>
          </w:p>
        </w:tc>
      </w:tr>
      <w:tr w14:paraId="596E8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2EE68">
            <w:pPr>
              <w:jc w:val="center"/>
              <w:rPr>
                <w:rFonts w:hint="eastAsia" w:ascii="宋体" w:hAnsi="宋体" w:eastAsia="宋体" w:cs="宋体"/>
                <w:i w:val="0"/>
                <w:iCs w:val="0"/>
                <w:color w:val="000000"/>
                <w:sz w:val="18"/>
                <w:szCs w:val="18"/>
                <w:highlight w:val="none"/>
                <w:u w:val="none"/>
              </w:rPr>
            </w:pP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C2C75">
            <w:pPr>
              <w:jc w:val="center"/>
              <w:rPr>
                <w:rFonts w:hint="eastAsia" w:ascii="宋体" w:hAnsi="宋体" w:eastAsia="宋体" w:cs="宋体"/>
                <w:i w:val="0"/>
                <w:iCs w:val="0"/>
                <w:color w:val="000000"/>
                <w:sz w:val="18"/>
                <w:szCs w:val="18"/>
                <w:highlight w:val="none"/>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0BB7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可持续影响指标</w:t>
            </w:r>
          </w:p>
        </w:tc>
        <w:tc>
          <w:tcPr>
            <w:tcW w:w="1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D511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区窗口服务工作保障全区人才流动性的可持续交流性</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90C4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定性</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C032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优良差</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D62A2">
            <w:pPr>
              <w:jc w:val="center"/>
              <w:rPr>
                <w:rFonts w:hint="eastAsia" w:ascii="宋体" w:hAnsi="宋体" w:eastAsia="宋体" w:cs="宋体"/>
                <w:i w:val="0"/>
                <w:iCs w:val="0"/>
                <w:color w:val="000000"/>
                <w:sz w:val="18"/>
                <w:szCs w:val="18"/>
                <w:highlight w:val="none"/>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F631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优</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261B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15</w:t>
            </w:r>
          </w:p>
        </w:tc>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2BDB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661D1">
            <w:pPr>
              <w:jc w:val="center"/>
              <w:rPr>
                <w:rFonts w:hint="eastAsia" w:ascii="微软雅黑" w:hAnsi="微软雅黑" w:eastAsia="微软雅黑" w:cs="微软雅黑"/>
                <w:i/>
                <w:iCs/>
                <w:color w:val="000000"/>
                <w:sz w:val="16"/>
                <w:szCs w:val="16"/>
                <w:highlight w:val="none"/>
                <w:u w:val="none"/>
              </w:rPr>
            </w:pPr>
          </w:p>
        </w:tc>
      </w:tr>
      <w:tr w14:paraId="42E6A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9ABEB">
            <w:pPr>
              <w:jc w:val="center"/>
              <w:rPr>
                <w:rFonts w:hint="eastAsia" w:ascii="宋体" w:hAnsi="宋体" w:eastAsia="宋体" w:cs="宋体"/>
                <w:i w:val="0"/>
                <w:iCs w:val="0"/>
                <w:color w:val="000000"/>
                <w:sz w:val="18"/>
                <w:szCs w:val="18"/>
                <w:highlight w:val="none"/>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132E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满意度指标</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205D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服务对象满意度指标</w:t>
            </w:r>
          </w:p>
        </w:tc>
        <w:tc>
          <w:tcPr>
            <w:tcW w:w="1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21EA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区窗口服务工作人员生活工作满意度</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B986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7908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445B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3131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95</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8076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3DF7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E6DB5">
            <w:pPr>
              <w:jc w:val="center"/>
              <w:rPr>
                <w:rFonts w:hint="eastAsia" w:ascii="微软雅黑" w:hAnsi="微软雅黑" w:eastAsia="微软雅黑" w:cs="微软雅黑"/>
                <w:i/>
                <w:iCs/>
                <w:color w:val="000000"/>
                <w:sz w:val="16"/>
                <w:szCs w:val="16"/>
                <w:highlight w:val="none"/>
                <w:u w:val="none"/>
              </w:rPr>
            </w:pPr>
          </w:p>
        </w:tc>
      </w:tr>
      <w:tr w14:paraId="33F16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339D1">
            <w:pPr>
              <w:jc w:val="center"/>
              <w:rPr>
                <w:rFonts w:hint="eastAsia" w:ascii="宋体" w:hAnsi="宋体" w:eastAsia="宋体" w:cs="宋体"/>
                <w:i w:val="0"/>
                <w:iCs w:val="0"/>
                <w:color w:val="000000"/>
                <w:sz w:val="18"/>
                <w:szCs w:val="18"/>
                <w:highlight w:val="none"/>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0B0E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成本指标</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FAC0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经济成本指标</w:t>
            </w:r>
          </w:p>
        </w:tc>
        <w:tc>
          <w:tcPr>
            <w:tcW w:w="1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6819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区窗口服务工</w:t>
            </w:r>
            <w:r>
              <w:rPr>
                <w:rFonts w:hint="eastAsia" w:ascii="宋体" w:hAnsi="宋体" w:cs="宋体"/>
                <w:i w:val="0"/>
                <w:iCs w:val="0"/>
                <w:color w:val="000000"/>
                <w:kern w:val="0"/>
                <w:sz w:val="18"/>
                <w:szCs w:val="18"/>
                <w:highlight w:val="none"/>
                <w:u w:val="none"/>
                <w:lang w:val="en-US" w:eastAsia="zh-CN" w:bidi="ar"/>
              </w:rPr>
              <w:t>作服</w:t>
            </w:r>
            <w:r>
              <w:rPr>
                <w:rFonts w:ascii="宋体" w:hAnsi="宋体" w:eastAsia="宋体" w:cs="宋体"/>
                <w:i w:val="0"/>
                <w:iCs w:val="0"/>
                <w:color w:val="000000"/>
                <w:kern w:val="0"/>
                <w:sz w:val="18"/>
                <w:szCs w:val="18"/>
                <w:highlight w:val="none"/>
                <w:u w:val="none"/>
                <w:lang w:val="en-US" w:eastAsia="zh-CN" w:bidi="ar"/>
              </w:rPr>
              <w:t>务投入资金每年</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382A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0747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42CB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万元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92F4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11.012269</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6A11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320E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6A07A">
            <w:pPr>
              <w:jc w:val="center"/>
              <w:rPr>
                <w:rFonts w:hint="eastAsia" w:ascii="微软雅黑" w:hAnsi="微软雅黑" w:eastAsia="微软雅黑" w:cs="微软雅黑"/>
                <w:i/>
                <w:iCs/>
                <w:color w:val="000000"/>
                <w:sz w:val="16"/>
                <w:szCs w:val="16"/>
                <w:highlight w:val="none"/>
                <w:u w:val="none"/>
              </w:rPr>
            </w:pPr>
          </w:p>
        </w:tc>
      </w:tr>
      <w:tr w14:paraId="2FB9A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08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95362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合计</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1489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3412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7E40B">
            <w:pPr>
              <w:rPr>
                <w:rFonts w:hint="eastAsia" w:ascii="宋体" w:hAnsi="宋体" w:eastAsia="宋体" w:cs="宋体"/>
                <w:i w:val="0"/>
                <w:iCs w:val="0"/>
                <w:color w:val="000000"/>
                <w:sz w:val="18"/>
                <w:szCs w:val="18"/>
                <w:highlight w:val="none"/>
                <w:u w:val="none"/>
              </w:rPr>
            </w:pPr>
          </w:p>
        </w:tc>
      </w:tr>
      <w:tr w14:paraId="7349B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FDE3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评价结论</w:t>
            </w:r>
          </w:p>
        </w:tc>
        <w:tc>
          <w:tcPr>
            <w:tcW w:w="477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961683">
            <w:pPr>
              <w:keepNext w:val="0"/>
              <w:keepLines w:val="0"/>
              <w:widowControl/>
              <w:suppressLineNumbers w:val="0"/>
              <w:jc w:val="left"/>
              <w:textAlignment w:val="center"/>
              <w:rPr>
                <w:rFonts w:hint="eastAsia" w:ascii="微软雅黑" w:hAnsi="微软雅黑" w:eastAsia="微软雅黑" w:cs="微软雅黑"/>
                <w:i/>
                <w:iCs/>
                <w:color w:val="000000"/>
                <w:sz w:val="16"/>
                <w:szCs w:val="16"/>
                <w:highlight w:val="none"/>
                <w:u w:val="none"/>
              </w:rPr>
            </w:pPr>
            <w:r>
              <w:rPr>
                <w:rFonts w:hint="eastAsia" w:ascii="微软雅黑" w:hAnsi="微软雅黑" w:eastAsia="微软雅黑" w:cs="微软雅黑"/>
                <w:i/>
                <w:iCs/>
                <w:color w:val="000000"/>
                <w:kern w:val="0"/>
                <w:sz w:val="16"/>
                <w:szCs w:val="16"/>
                <w:highlight w:val="none"/>
                <w:u w:val="none"/>
                <w:lang w:val="en-US" w:eastAsia="zh-CN" w:bidi="ar"/>
              </w:rPr>
              <w:t>结合自评情况，说明项目自评总分，说明项目实施取得的成效或成果。（200字以内）</w:t>
            </w:r>
          </w:p>
        </w:tc>
      </w:tr>
      <w:tr w14:paraId="7E9DC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1923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存在问题</w:t>
            </w:r>
          </w:p>
        </w:tc>
        <w:tc>
          <w:tcPr>
            <w:tcW w:w="477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DF6C1A">
            <w:pPr>
              <w:keepNext w:val="0"/>
              <w:keepLines w:val="0"/>
              <w:widowControl/>
              <w:suppressLineNumbers w:val="0"/>
              <w:jc w:val="left"/>
              <w:textAlignment w:val="center"/>
              <w:rPr>
                <w:rFonts w:hint="eastAsia" w:ascii="微软雅黑" w:hAnsi="微软雅黑" w:eastAsia="微软雅黑" w:cs="微软雅黑"/>
                <w:i/>
                <w:iCs/>
                <w:color w:val="000000"/>
                <w:sz w:val="16"/>
                <w:szCs w:val="16"/>
                <w:highlight w:val="none"/>
                <w:u w:val="none"/>
              </w:rPr>
            </w:pPr>
            <w:r>
              <w:rPr>
                <w:rFonts w:hint="eastAsia" w:ascii="微软雅黑" w:hAnsi="微软雅黑" w:eastAsia="微软雅黑" w:cs="微软雅黑"/>
                <w:i/>
                <w:iCs/>
                <w:color w:val="000000"/>
                <w:kern w:val="0"/>
                <w:sz w:val="16"/>
                <w:szCs w:val="16"/>
                <w:highlight w:val="none"/>
                <w:u w:val="none"/>
                <w:lang w:val="en-US" w:eastAsia="zh-CN" w:bidi="ar"/>
              </w:rPr>
              <w:t>结合自评情况，分析存在的问题及原因。（200字以内）</w:t>
            </w:r>
          </w:p>
        </w:tc>
      </w:tr>
      <w:tr w14:paraId="7F93B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2406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改进措施</w:t>
            </w:r>
          </w:p>
        </w:tc>
        <w:tc>
          <w:tcPr>
            <w:tcW w:w="477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D022C7">
            <w:pPr>
              <w:keepNext w:val="0"/>
              <w:keepLines w:val="0"/>
              <w:widowControl/>
              <w:suppressLineNumbers w:val="0"/>
              <w:jc w:val="left"/>
              <w:textAlignment w:val="center"/>
              <w:rPr>
                <w:rFonts w:hint="eastAsia" w:ascii="微软雅黑" w:hAnsi="微软雅黑" w:eastAsia="微软雅黑" w:cs="微软雅黑"/>
                <w:i/>
                <w:iCs/>
                <w:color w:val="000000"/>
                <w:sz w:val="16"/>
                <w:szCs w:val="16"/>
                <w:highlight w:val="none"/>
                <w:u w:val="none"/>
              </w:rPr>
            </w:pPr>
            <w:r>
              <w:rPr>
                <w:rFonts w:hint="eastAsia" w:ascii="微软雅黑" w:hAnsi="微软雅黑" w:eastAsia="微软雅黑" w:cs="微软雅黑"/>
                <w:i/>
                <w:iCs/>
                <w:color w:val="000000"/>
                <w:kern w:val="0"/>
                <w:sz w:val="16"/>
                <w:szCs w:val="16"/>
                <w:highlight w:val="none"/>
                <w:u w:val="none"/>
                <w:lang w:val="en-US" w:eastAsia="zh-CN" w:bidi="ar"/>
              </w:rPr>
              <w:t>针对项目自评中发现的问题，提出下一步改进完善的意见及有关政策性建议。（200字以内）</w:t>
            </w:r>
          </w:p>
        </w:tc>
      </w:tr>
      <w:tr w14:paraId="55998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E8C259">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项目负责人：</w:t>
            </w:r>
          </w:p>
        </w:tc>
        <w:tc>
          <w:tcPr>
            <w:tcW w:w="216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A4DA5D">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财务负责人：</w:t>
            </w:r>
          </w:p>
        </w:tc>
      </w:tr>
      <w:tr w14:paraId="6D92A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0" w:type="pct"/>
            <w:tcBorders>
              <w:top w:val="nil"/>
              <w:left w:val="nil"/>
              <w:bottom w:val="nil"/>
              <w:right w:val="nil"/>
            </w:tcBorders>
            <w:shd w:val="clear" w:color="auto" w:fill="auto"/>
            <w:vAlign w:val="center"/>
          </w:tcPr>
          <w:p w14:paraId="0C63D4E2">
            <w:pPr>
              <w:rPr>
                <w:rFonts w:hint="eastAsia" w:ascii="宋体" w:hAnsi="宋体" w:eastAsia="宋体" w:cs="宋体"/>
                <w:i w:val="0"/>
                <w:iCs w:val="0"/>
                <w:color w:val="000000"/>
                <w:sz w:val="18"/>
                <w:szCs w:val="18"/>
                <w:highlight w:val="none"/>
                <w:u w:val="none"/>
              </w:rPr>
            </w:pPr>
          </w:p>
        </w:tc>
        <w:tc>
          <w:tcPr>
            <w:tcW w:w="658" w:type="pct"/>
            <w:tcBorders>
              <w:top w:val="nil"/>
              <w:left w:val="nil"/>
              <w:bottom w:val="nil"/>
              <w:right w:val="nil"/>
            </w:tcBorders>
            <w:shd w:val="clear" w:color="auto" w:fill="auto"/>
            <w:vAlign w:val="center"/>
          </w:tcPr>
          <w:p w14:paraId="322C26E2">
            <w:pPr>
              <w:rPr>
                <w:rFonts w:hint="eastAsia" w:ascii="宋体" w:hAnsi="宋体" w:eastAsia="宋体" w:cs="宋体"/>
                <w:i w:val="0"/>
                <w:iCs w:val="0"/>
                <w:color w:val="000000"/>
                <w:sz w:val="18"/>
                <w:szCs w:val="18"/>
                <w:highlight w:val="none"/>
                <w:u w:val="none"/>
              </w:rPr>
            </w:pPr>
          </w:p>
        </w:tc>
        <w:tc>
          <w:tcPr>
            <w:tcW w:w="569" w:type="pct"/>
            <w:tcBorders>
              <w:top w:val="nil"/>
              <w:left w:val="nil"/>
              <w:bottom w:val="nil"/>
              <w:right w:val="nil"/>
            </w:tcBorders>
            <w:shd w:val="clear" w:color="auto" w:fill="auto"/>
            <w:vAlign w:val="center"/>
          </w:tcPr>
          <w:p w14:paraId="278C1A62">
            <w:pPr>
              <w:rPr>
                <w:rFonts w:hint="eastAsia" w:ascii="宋体" w:hAnsi="宋体" w:eastAsia="宋体" w:cs="宋体"/>
                <w:i w:val="0"/>
                <w:iCs w:val="0"/>
                <w:color w:val="000000"/>
                <w:sz w:val="18"/>
                <w:szCs w:val="18"/>
                <w:highlight w:val="none"/>
                <w:u w:val="none"/>
              </w:rPr>
            </w:pPr>
          </w:p>
        </w:tc>
        <w:tc>
          <w:tcPr>
            <w:tcW w:w="1215" w:type="pct"/>
            <w:tcBorders>
              <w:top w:val="nil"/>
              <w:left w:val="nil"/>
              <w:bottom w:val="nil"/>
              <w:right w:val="nil"/>
            </w:tcBorders>
            <w:shd w:val="clear" w:color="auto" w:fill="auto"/>
            <w:vAlign w:val="center"/>
          </w:tcPr>
          <w:p w14:paraId="10B9EDBB">
            <w:pPr>
              <w:rPr>
                <w:rFonts w:hint="eastAsia" w:ascii="宋体" w:hAnsi="宋体" w:eastAsia="宋体" w:cs="宋体"/>
                <w:i w:val="0"/>
                <w:iCs w:val="0"/>
                <w:color w:val="000000"/>
                <w:sz w:val="18"/>
                <w:szCs w:val="18"/>
                <w:highlight w:val="none"/>
                <w:u w:val="none"/>
              </w:rPr>
            </w:pPr>
          </w:p>
        </w:tc>
        <w:tc>
          <w:tcPr>
            <w:tcW w:w="167" w:type="pct"/>
            <w:tcBorders>
              <w:top w:val="nil"/>
              <w:left w:val="nil"/>
              <w:bottom w:val="nil"/>
              <w:right w:val="nil"/>
            </w:tcBorders>
            <w:shd w:val="clear" w:color="auto" w:fill="auto"/>
            <w:vAlign w:val="center"/>
          </w:tcPr>
          <w:p w14:paraId="03B94C47">
            <w:pPr>
              <w:rPr>
                <w:rFonts w:hint="eastAsia" w:ascii="宋体" w:hAnsi="宋体" w:eastAsia="宋体" w:cs="宋体"/>
                <w:i w:val="0"/>
                <w:iCs w:val="0"/>
                <w:color w:val="000000"/>
                <w:sz w:val="18"/>
                <w:szCs w:val="18"/>
                <w:highlight w:val="none"/>
                <w:u w:val="none"/>
              </w:rPr>
            </w:pPr>
          </w:p>
        </w:tc>
        <w:tc>
          <w:tcPr>
            <w:tcW w:w="370" w:type="pct"/>
            <w:tcBorders>
              <w:top w:val="nil"/>
              <w:left w:val="nil"/>
              <w:bottom w:val="nil"/>
              <w:right w:val="nil"/>
            </w:tcBorders>
            <w:shd w:val="clear" w:color="auto" w:fill="auto"/>
            <w:vAlign w:val="center"/>
          </w:tcPr>
          <w:p w14:paraId="4743392A">
            <w:pPr>
              <w:rPr>
                <w:rFonts w:hint="eastAsia" w:ascii="宋体" w:hAnsi="宋体" w:eastAsia="宋体" w:cs="宋体"/>
                <w:i w:val="0"/>
                <w:iCs w:val="0"/>
                <w:color w:val="000000"/>
                <w:sz w:val="18"/>
                <w:szCs w:val="18"/>
                <w:highlight w:val="none"/>
                <w:u w:val="none"/>
              </w:rPr>
            </w:pPr>
          </w:p>
        </w:tc>
        <w:tc>
          <w:tcPr>
            <w:tcW w:w="529" w:type="pct"/>
            <w:tcBorders>
              <w:top w:val="nil"/>
              <w:left w:val="nil"/>
              <w:bottom w:val="nil"/>
              <w:right w:val="nil"/>
            </w:tcBorders>
            <w:shd w:val="clear" w:color="auto" w:fill="auto"/>
            <w:vAlign w:val="center"/>
          </w:tcPr>
          <w:p w14:paraId="326F1D42">
            <w:pPr>
              <w:rPr>
                <w:rFonts w:hint="eastAsia" w:ascii="宋体" w:hAnsi="宋体" w:eastAsia="宋体" w:cs="宋体"/>
                <w:i w:val="0"/>
                <w:iCs w:val="0"/>
                <w:color w:val="000000"/>
                <w:sz w:val="18"/>
                <w:szCs w:val="18"/>
                <w:highlight w:val="none"/>
                <w:u w:val="none"/>
              </w:rPr>
            </w:pPr>
          </w:p>
        </w:tc>
        <w:tc>
          <w:tcPr>
            <w:tcW w:w="350" w:type="pct"/>
            <w:tcBorders>
              <w:top w:val="nil"/>
              <w:left w:val="nil"/>
              <w:bottom w:val="nil"/>
              <w:right w:val="nil"/>
            </w:tcBorders>
            <w:shd w:val="clear" w:color="auto" w:fill="auto"/>
            <w:vAlign w:val="center"/>
          </w:tcPr>
          <w:p w14:paraId="75E7E52E">
            <w:pPr>
              <w:rPr>
                <w:rFonts w:hint="eastAsia" w:ascii="宋体" w:hAnsi="宋体" w:eastAsia="宋体" w:cs="宋体"/>
                <w:i w:val="0"/>
                <w:iCs w:val="0"/>
                <w:color w:val="000000"/>
                <w:sz w:val="18"/>
                <w:szCs w:val="18"/>
                <w:highlight w:val="none"/>
                <w:u w:val="none"/>
              </w:rPr>
            </w:pPr>
          </w:p>
        </w:tc>
        <w:tc>
          <w:tcPr>
            <w:tcW w:w="162" w:type="pct"/>
            <w:tcBorders>
              <w:top w:val="nil"/>
              <w:left w:val="nil"/>
              <w:bottom w:val="nil"/>
              <w:right w:val="nil"/>
            </w:tcBorders>
            <w:shd w:val="clear" w:color="auto" w:fill="auto"/>
            <w:vAlign w:val="center"/>
          </w:tcPr>
          <w:p w14:paraId="75A7003F">
            <w:pPr>
              <w:rPr>
                <w:rFonts w:hint="eastAsia" w:ascii="宋体" w:hAnsi="宋体" w:eastAsia="宋体" w:cs="宋体"/>
                <w:i w:val="0"/>
                <w:iCs w:val="0"/>
                <w:color w:val="000000"/>
                <w:sz w:val="18"/>
                <w:szCs w:val="18"/>
                <w:highlight w:val="none"/>
                <w:u w:val="none"/>
              </w:rPr>
            </w:pPr>
          </w:p>
        </w:tc>
        <w:tc>
          <w:tcPr>
            <w:tcW w:w="156" w:type="pct"/>
            <w:tcBorders>
              <w:top w:val="nil"/>
              <w:left w:val="nil"/>
              <w:bottom w:val="nil"/>
              <w:right w:val="nil"/>
            </w:tcBorders>
            <w:shd w:val="clear" w:color="auto" w:fill="auto"/>
            <w:vAlign w:val="center"/>
          </w:tcPr>
          <w:p w14:paraId="5602D808">
            <w:pPr>
              <w:rPr>
                <w:rFonts w:hint="eastAsia" w:ascii="宋体" w:hAnsi="宋体" w:eastAsia="宋体" w:cs="宋体"/>
                <w:i w:val="0"/>
                <w:iCs w:val="0"/>
                <w:color w:val="000000"/>
                <w:sz w:val="18"/>
                <w:szCs w:val="18"/>
                <w:highlight w:val="none"/>
                <w:u w:val="none"/>
              </w:rPr>
            </w:pPr>
          </w:p>
        </w:tc>
        <w:tc>
          <w:tcPr>
            <w:tcW w:w="599" w:type="pct"/>
            <w:tcBorders>
              <w:top w:val="nil"/>
              <w:left w:val="nil"/>
              <w:bottom w:val="nil"/>
              <w:right w:val="nil"/>
            </w:tcBorders>
            <w:shd w:val="clear" w:color="auto" w:fill="auto"/>
            <w:vAlign w:val="center"/>
          </w:tcPr>
          <w:p w14:paraId="50EB1357">
            <w:pPr>
              <w:rPr>
                <w:rFonts w:hint="eastAsia" w:ascii="宋体" w:hAnsi="宋体" w:eastAsia="宋体" w:cs="宋体"/>
                <w:i w:val="0"/>
                <w:iCs w:val="0"/>
                <w:color w:val="000000"/>
                <w:sz w:val="18"/>
                <w:szCs w:val="18"/>
                <w:highlight w:val="none"/>
                <w:u w:val="none"/>
              </w:rPr>
            </w:pPr>
          </w:p>
        </w:tc>
      </w:tr>
      <w:tr w14:paraId="7661B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00" w:type="pct"/>
            <w:gridSpan w:val="11"/>
            <w:tcBorders>
              <w:top w:val="nil"/>
              <w:left w:val="nil"/>
              <w:bottom w:val="nil"/>
              <w:right w:val="nil"/>
            </w:tcBorders>
            <w:shd w:val="clear" w:color="auto" w:fill="auto"/>
            <w:vAlign w:val="center"/>
          </w:tcPr>
          <w:p w14:paraId="7DFBD20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w:t>
            </w:r>
            <w:r>
              <w:rPr>
                <w:rFonts w:ascii="宋体" w:hAnsi="宋体" w:eastAsia="宋体" w:cs="宋体"/>
                <w:i w:val="0"/>
                <w:iCs w:val="0"/>
                <w:color w:val="000000"/>
                <w:kern w:val="0"/>
                <w:sz w:val="18"/>
                <w:szCs w:val="18"/>
                <w:highlight w:val="none"/>
                <w:u w:val="none"/>
                <w:lang w:val="en-US" w:eastAsia="zh-CN" w:bidi="ar"/>
              </w:rPr>
              <w:t>报表说明</w:t>
            </w:r>
            <w:r>
              <w:rPr>
                <w:rFonts w:hint="eastAsia" w:ascii="宋体" w:hAnsi="宋体" w:cs="宋体"/>
                <w:i w:val="0"/>
                <w:iCs w:val="0"/>
                <w:color w:val="000000"/>
                <w:kern w:val="0"/>
                <w:sz w:val="18"/>
                <w:szCs w:val="18"/>
                <w:highlight w:val="none"/>
                <w:u w:val="none"/>
                <w:lang w:val="en-US" w:eastAsia="zh-CN" w:bidi="ar"/>
              </w:rPr>
              <w:t>：</w:t>
            </w:r>
            <w:r>
              <w:rPr>
                <w:rFonts w:ascii="宋体" w:hAnsi="宋体" w:eastAsia="宋体" w:cs="宋体"/>
                <w:i w:val="0"/>
                <w:iCs w:val="0"/>
                <w:color w:val="000000"/>
                <w:kern w:val="0"/>
                <w:sz w:val="18"/>
                <w:szCs w:val="18"/>
                <w:highlight w:val="none"/>
                <w:u w:val="none"/>
                <w:lang w:val="en-US" w:eastAsia="zh-CN" w:bidi="ar"/>
              </w:rPr>
              <w:t>该报表查询项目信息、绩效目标信息、预算及执行情况，用于预算单位查询导出开展项目自评。</w:t>
            </w:r>
          </w:p>
        </w:tc>
      </w:tr>
      <w:tr w14:paraId="4C5CE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00" w:type="pct"/>
            <w:gridSpan w:val="11"/>
            <w:tcBorders>
              <w:top w:val="nil"/>
              <w:left w:val="nil"/>
              <w:bottom w:val="nil"/>
              <w:right w:val="nil"/>
            </w:tcBorders>
            <w:shd w:val="clear" w:color="auto" w:fill="auto"/>
            <w:vAlign w:val="center"/>
          </w:tcPr>
          <w:p w14:paraId="0FD4AD8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w:t>
            </w:r>
            <w:r>
              <w:rPr>
                <w:rFonts w:ascii="宋体" w:hAnsi="宋体" w:eastAsia="宋体" w:cs="宋体"/>
                <w:i w:val="0"/>
                <w:iCs w:val="0"/>
                <w:color w:val="000000"/>
                <w:kern w:val="0"/>
                <w:sz w:val="18"/>
                <w:szCs w:val="18"/>
                <w:highlight w:val="none"/>
                <w:u w:val="none"/>
                <w:lang w:val="en-US" w:eastAsia="zh-CN" w:bidi="ar"/>
              </w:rPr>
              <w:t>取数口径：部门项目绩效目标表信息，包括年初预算、追加预算、结转预算和调整预算的绩效目标（以项目的最终绩效目标为准）。</w:t>
            </w:r>
          </w:p>
        </w:tc>
      </w:tr>
      <w:tr w14:paraId="13135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00" w:type="pct"/>
            <w:gridSpan w:val="11"/>
            <w:tcBorders>
              <w:top w:val="nil"/>
              <w:left w:val="nil"/>
              <w:bottom w:val="nil"/>
              <w:right w:val="nil"/>
            </w:tcBorders>
            <w:shd w:val="clear" w:color="auto" w:fill="auto"/>
            <w:vAlign w:val="center"/>
          </w:tcPr>
          <w:p w14:paraId="0B2D12D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适用地区：全省范围</w:t>
            </w:r>
          </w:p>
        </w:tc>
      </w:tr>
      <w:tr w14:paraId="55302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00" w:type="pct"/>
            <w:gridSpan w:val="11"/>
            <w:tcBorders>
              <w:top w:val="nil"/>
              <w:left w:val="nil"/>
              <w:bottom w:val="nil"/>
              <w:right w:val="nil"/>
            </w:tcBorders>
            <w:shd w:val="clear" w:color="auto" w:fill="auto"/>
            <w:vAlign w:val="center"/>
          </w:tcPr>
          <w:p w14:paraId="3D6C349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适用用户：部门用户、单位用户</w:t>
            </w:r>
          </w:p>
        </w:tc>
      </w:tr>
    </w:tbl>
    <w:p w14:paraId="12CC3848">
      <w:pPr>
        <w:pStyle w:val="5"/>
        <w:rPr>
          <w:rFonts w:hint="eastAsia" w:ascii="Times New Roman" w:hAnsi="Times New Roman" w:cs="宋体"/>
          <w:color w:val="FF0000"/>
          <w:kern w:val="0"/>
          <w:sz w:val="32"/>
          <w:szCs w:val="32"/>
          <w:highlight w:val="none"/>
          <w:shd w:val="clear" w:color="auto" w:fill="FFFFFF"/>
          <w:lang w:val="zh-CN"/>
        </w:rPr>
      </w:pPr>
    </w:p>
    <w:p w14:paraId="0E8A5FA0">
      <w:pPr>
        <w:rPr>
          <w:rFonts w:hint="eastAsia" w:ascii="Times New Roman" w:hAnsi="Times New Roman" w:cs="宋体"/>
          <w:color w:val="FF0000"/>
          <w:kern w:val="0"/>
          <w:sz w:val="32"/>
          <w:szCs w:val="32"/>
          <w:highlight w:val="none"/>
          <w:shd w:val="clear" w:color="auto" w:fill="FFFFFF"/>
          <w:lang w:val="zh-CN"/>
        </w:rPr>
      </w:pPr>
    </w:p>
    <w:p w14:paraId="7EDD0A5D">
      <w:pPr>
        <w:pStyle w:val="5"/>
        <w:rPr>
          <w:rFonts w:hint="eastAsia"/>
          <w:highlight w:val="none"/>
          <w:lang w:val="zh-CN"/>
        </w:rPr>
      </w:pPr>
    </w:p>
    <w:p w14:paraId="2B95C40A">
      <w:pPr>
        <w:rPr>
          <w:rFonts w:hint="eastAsia"/>
          <w:highlight w:val="none"/>
          <w:lang w:val="zh-CN"/>
        </w:rPr>
      </w:pPr>
    </w:p>
    <w:p w14:paraId="3F07ECE1">
      <w:pPr>
        <w:pStyle w:val="5"/>
        <w:rPr>
          <w:rFonts w:hint="eastAsia"/>
          <w:highlight w:val="none"/>
          <w:lang w:val="zh-CN"/>
        </w:rPr>
      </w:pPr>
    </w:p>
    <w:p w14:paraId="3D348AE5">
      <w:pPr>
        <w:rPr>
          <w:rFonts w:hint="eastAsia" w:ascii="Times New Roman" w:hAnsi="Times New Roman" w:eastAsia="仿宋_GB2312" w:cs="仿宋_GB2312"/>
          <w:b w:val="0"/>
          <w:bCs w:val="0"/>
          <w:kern w:val="0"/>
          <w:position w:val="0"/>
          <w:sz w:val="32"/>
          <w:szCs w:val="32"/>
          <w:highlight w:val="none"/>
          <w:lang w:val="en-US" w:eastAsia="zh-CN" w:bidi="ar-SA"/>
        </w:rPr>
      </w:pPr>
    </w:p>
    <w:p w14:paraId="1D6C2FB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310BF7C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63"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050DA8DC">
      <w:pPr>
        <w:widowControl/>
        <w:jc w:val="center"/>
        <w:outlineLvl w:val="0"/>
        <w:rPr>
          <w:rFonts w:hint="eastAsia" w:ascii="Times New Roman" w:hAnsi="Times New Roman" w:eastAsia="仿宋"/>
          <w:b w:val="0"/>
          <w:color w:val="auto"/>
          <w:highlight w:val="none"/>
        </w:rPr>
      </w:pPr>
      <w:bookmarkStart w:id="64" w:name="_Toc4442"/>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60"/>
      <w:bookmarkEnd w:id="63"/>
      <w:bookmarkEnd w:id="64"/>
      <w:bookmarkStart w:id="65" w:name="_Toc15396619"/>
    </w:p>
    <w:p w14:paraId="166B1C0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32A6FFF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66" w:name="_Toc16386"/>
      <w:r>
        <w:rPr>
          <w:rFonts w:hint="eastAsia" w:ascii="Times New Roman" w:hAnsi="Times New Roman" w:eastAsia="仿宋_GB2312" w:cs="仿宋_GB2312"/>
          <w:color w:val="auto"/>
          <w:sz w:val="32"/>
          <w:szCs w:val="32"/>
          <w:highlight w:val="none"/>
        </w:rPr>
        <w:t>一、收入支出决算总表</w:t>
      </w:r>
      <w:bookmarkEnd w:id="65"/>
      <w:bookmarkEnd w:id="66"/>
    </w:p>
    <w:p w14:paraId="13094A4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67" w:name="_Toc31029"/>
      <w:bookmarkStart w:id="68" w:name="_Toc15396620"/>
      <w:r>
        <w:rPr>
          <w:rFonts w:hint="eastAsia" w:ascii="Times New Roman" w:hAnsi="Times New Roman" w:eastAsia="仿宋_GB2312" w:cs="仿宋_GB2312"/>
          <w:color w:val="auto"/>
          <w:sz w:val="32"/>
          <w:szCs w:val="32"/>
          <w:highlight w:val="none"/>
        </w:rPr>
        <w:t>二、收入决算表</w:t>
      </w:r>
      <w:bookmarkEnd w:id="67"/>
      <w:bookmarkEnd w:id="68"/>
    </w:p>
    <w:p w14:paraId="7B9BB6E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69" w:name="_Toc3784"/>
      <w:bookmarkStart w:id="70" w:name="_Toc15396621"/>
      <w:r>
        <w:rPr>
          <w:rFonts w:hint="eastAsia" w:ascii="Times New Roman" w:hAnsi="Times New Roman" w:eastAsia="仿宋_GB2312" w:cs="仿宋_GB2312"/>
          <w:color w:val="auto"/>
          <w:sz w:val="32"/>
          <w:szCs w:val="32"/>
          <w:highlight w:val="none"/>
        </w:rPr>
        <w:t>三、支出决算表</w:t>
      </w:r>
      <w:bookmarkEnd w:id="69"/>
      <w:bookmarkEnd w:id="70"/>
    </w:p>
    <w:p w14:paraId="6695FF2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71" w:name="_Toc15396622"/>
      <w:bookmarkStart w:id="72" w:name="_Toc6270"/>
      <w:r>
        <w:rPr>
          <w:rFonts w:hint="eastAsia" w:ascii="Times New Roman" w:hAnsi="Times New Roman" w:eastAsia="仿宋_GB2312" w:cs="仿宋_GB2312"/>
          <w:color w:val="auto"/>
          <w:sz w:val="32"/>
          <w:szCs w:val="32"/>
          <w:highlight w:val="none"/>
        </w:rPr>
        <w:t>四、财政拨款收入支出决算总表</w:t>
      </w:r>
      <w:bookmarkEnd w:id="71"/>
      <w:bookmarkEnd w:id="72"/>
    </w:p>
    <w:p w14:paraId="6E1D4F0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73" w:name="_Toc15396623"/>
      <w:bookmarkStart w:id="74" w:name="_Toc12861"/>
      <w:r>
        <w:rPr>
          <w:rFonts w:hint="eastAsia" w:ascii="Times New Roman" w:hAnsi="Times New Roman" w:eastAsia="仿宋_GB2312" w:cs="仿宋_GB2312"/>
          <w:color w:val="auto"/>
          <w:sz w:val="32"/>
          <w:szCs w:val="32"/>
          <w:highlight w:val="none"/>
        </w:rPr>
        <w:t>五、财政拨款支出决算明细表</w:t>
      </w:r>
      <w:bookmarkEnd w:id="73"/>
      <w:bookmarkEnd w:id="74"/>
      <w:bookmarkStart w:id="75" w:name="_Toc15396624"/>
    </w:p>
    <w:p w14:paraId="3BEBCFB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76" w:name="_Toc15821"/>
      <w:r>
        <w:rPr>
          <w:rFonts w:hint="eastAsia" w:ascii="Times New Roman" w:hAnsi="Times New Roman" w:eastAsia="仿宋_GB2312" w:cs="仿宋_GB2312"/>
          <w:color w:val="auto"/>
          <w:sz w:val="32"/>
          <w:szCs w:val="32"/>
          <w:highlight w:val="none"/>
        </w:rPr>
        <w:t>六、一般公共预算财政拨款支出决算表</w:t>
      </w:r>
      <w:bookmarkEnd w:id="75"/>
      <w:bookmarkEnd w:id="76"/>
    </w:p>
    <w:p w14:paraId="3F82F91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77" w:name="_Toc15396625"/>
      <w:bookmarkStart w:id="78" w:name="_Toc22628"/>
      <w:r>
        <w:rPr>
          <w:rFonts w:hint="eastAsia" w:ascii="Times New Roman" w:hAnsi="Times New Roman" w:eastAsia="仿宋_GB2312" w:cs="仿宋_GB2312"/>
          <w:color w:val="auto"/>
          <w:sz w:val="32"/>
          <w:szCs w:val="32"/>
          <w:highlight w:val="none"/>
        </w:rPr>
        <w:t>七、一般公共预算财政拨款支出决算明细表</w:t>
      </w:r>
      <w:bookmarkEnd w:id="77"/>
      <w:bookmarkEnd w:id="78"/>
    </w:p>
    <w:p w14:paraId="226651B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79" w:name="_Toc15396626"/>
      <w:bookmarkStart w:id="80" w:name="_Toc14781"/>
      <w:r>
        <w:rPr>
          <w:rFonts w:hint="eastAsia" w:ascii="Times New Roman" w:hAnsi="Times New Roman" w:eastAsia="仿宋_GB2312" w:cs="仿宋_GB2312"/>
          <w:color w:val="auto"/>
          <w:sz w:val="32"/>
          <w:szCs w:val="32"/>
          <w:highlight w:val="none"/>
        </w:rPr>
        <w:t>八、一般公共预算财政拨款基本支出决算表</w:t>
      </w:r>
      <w:bookmarkEnd w:id="79"/>
      <w:bookmarkEnd w:id="80"/>
    </w:p>
    <w:p w14:paraId="7678D55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81" w:name="_Toc15396627"/>
      <w:bookmarkStart w:id="82" w:name="_Toc1925"/>
      <w:r>
        <w:rPr>
          <w:rFonts w:hint="eastAsia" w:ascii="Times New Roman" w:hAnsi="Times New Roman" w:eastAsia="仿宋_GB2312" w:cs="仿宋_GB2312"/>
          <w:color w:val="auto"/>
          <w:sz w:val="32"/>
          <w:szCs w:val="32"/>
          <w:highlight w:val="none"/>
        </w:rPr>
        <w:t>九、一般公共预算财政拨款项目支出决算表</w:t>
      </w:r>
      <w:bookmarkEnd w:id="81"/>
      <w:bookmarkEnd w:id="82"/>
    </w:p>
    <w:p w14:paraId="7DFB51E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83" w:name="_Toc15396628"/>
      <w:bookmarkStart w:id="84" w:name="_Toc31015"/>
      <w:r>
        <w:rPr>
          <w:rFonts w:hint="eastAsia" w:ascii="Times New Roman" w:hAnsi="Times New Roman" w:eastAsia="仿宋_GB2312" w:cs="仿宋_GB2312"/>
          <w:color w:val="auto"/>
          <w:sz w:val="32"/>
          <w:szCs w:val="32"/>
          <w:highlight w:val="none"/>
        </w:rPr>
        <w:t>十、</w:t>
      </w:r>
      <w:bookmarkEnd w:id="83"/>
      <w:r>
        <w:rPr>
          <w:rFonts w:hint="eastAsia" w:ascii="Times New Roman" w:hAnsi="Times New Roman" w:eastAsia="仿宋_GB2312" w:cs="仿宋_GB2312"/>
          <w:color w:val="auto"/>
          <w:sz w:val="32"/>
          <w:szCs w:val="32"/>
          <w:highlight w:val="none"/>
        </w:rPr>
        <w:t>政府性基金预算财政拨款收入支出决算表</w:t>
      </w:r>
      <w:bookmarkEnd w:id="84"/>
    </w:p>
    <w:p w14:paraId="34F5950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85" w:name="_Toc15396629"/>
      <w:bookmarkStart w:id="86" w:name="_Toc16895"/>
      <w:r>
        <w:rPr>
          <w:rFonts w:hint="eastAsia" w:ascii="Times New Roman" w:hAnsi="Times New Roman" w:eastAsia="仿宋_GB2312" w:cs="仿宋_GB2312"/>
          <w:color w:val="auto"/>
          <w:sz w:val="32"/>
          <w:szCs w:val="32"/>
          <w:highlight w:val="none"/>
        </w:rPr>
        <w:t>十一、</w:t>
      </w:r>
      <w:bookmarkEnd w:id="85"/>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bookmarkEnd w:id="86"/>
    </w:p>
    <w:p w14:paraId="48CB5E7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87" w:name="_Toc15396630"/>
      <w:bookmarkStart w:id="88" w:name="_Toc16946"/>
      <w:r>
        <w:rPr>
          <w:rFonts w:hint="eastAsia" w:ascii="Times New Roman" w:hAnsi="Times New Roman" w:eastAsia="仿宋_GB2312" w:cs="仿宋_GB2312"/>
          <w:color w:val="auto"/>
          <w:sz w:val="32"/>
          <w:szCs w:val="32"/>
          <w:highlight w:val="none"/>
        </w:rPr>
        <w:t>十二、</w:t>
      </w:r>
      <w:bookmarkEnd w:id="87"/>
      <w:r>
        <w:rPr>
          <w:rFonts w:hint="eastAsia" w:ascii="Times New Roman" w:hAnsi="Times New Roman" w:eastAsia="仿宋_GB2312" w:cs="仿宋_GB2312"/>
          <w:color w:val="auto"/>
          <w:sz w:val="32"/>
          <w:szCs w:val="32"/>
          <w:highlight w:val="none"/>
          <w:lang w:eastAsia="zh-CN"/>
        </w:rPr>
        <w:t>国有资本经营预算财政拨款支出决算表</w:t>
      </w:r>
      <w:bookmarkEnd w:id="88"/>
    </w:p>
    <w:p w14:paraId="619A55C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lang w:eastAsia="zh-CN"/>
        </w:rPr>
      </w:pPr>
      <w:bookmarkStart w:id="89" w:name="_Toc15396631"/>
      <w:bookmarkStart w:id="90" w:name="_Toc21910"/>
      <w:r>
        <w:rPr>
          <w:rFonts w:hint="eastAsia" w:ascii="Times New Roman" w:hAnsi="Times New Roman" w:eastAsia="仿宋_GB2312" w:cs="仿宋_GB2312"/>
          <w:color w:val="auto"/>
          <w:sz w:val="32"/>
          <w:szCs w:val="32"/>
          <w:highlight w:val="none"/>
        </w:rPr>
        <w:t>十三、</w:t>
      </w:r>
      <w:bookmarkEnd w:id="89"/>
      <w:r>
        <w:rPr>
          <w:rFonts w:hint="eastAsia" w:ascii="Times New Roman" w:hAnsi="Times New Roman" w:eastAsia="仿宋_GB2312" w:cs="仿宋_GB2312"/>
          <w:color w:val="auto"/>
          <w:sz w:val="32"/>
          <w:szCs w:val="32"/>
          <w:highlight w:val="none"/>
          <w:lang w:eastAsia="zh-CN"/>
        </w:rPr>
        <w:t>财政拨款“三公”经费支出决算表</w:t>
      </w:r>
      <w:bookmarkEnd w:id="90"/>
    </w:p>
    <w:p w14:paraId="56966C86">
      <w:pPr>
        <w:rPr>
          <w:rFonts w:hint="eastAsia" w:ascii="Times New Roman" w:hAnsi="Times New Roman"/>
          <w:highlight w:val="none"/>
          <w:lang w:eastAsia="zh-CN"/>
        </w:rPr>
      </w:pPr>
    </w:p>
    <w:sectPr>
      <w:footerReference r:id="rId8" w:type="first"/>
      <w:footerReference r:id="rId7"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79D316-1151-4084-AD13-B48F724D1B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A0A19447-88B5-400A-840B-630C2FA5DC8B}"/>
  </w:font>
  <w:font w:name="仿宋">
    <w:panose1 w:val="02010609060101010101"/>
    <w:charset w:val="86"/>
    <w:family w:val="modern"/>
    <w:pitch w:val="default"/>
    <w:sig w:usb0="800002BF" w:usb1="38CF7CFA" w:usb2="00000016" w:usb3="00000000" w:csb0="00040001" w:csb1="00000000"/>
    <w:embedRegular r:id="rId3" w:fontKey="{F5245EA1-1D4D-43E7-8BA4-43226C205468}"/>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embedRegular r:id="rId4" w:fontKey="{519D1B93-EF46-49F1-BE35-8EE42150E6D4}"/>
  </w:font>
  <w:font w:name="方正小标宋简体">
    <w:panose1 w:val="02010600010101010101"/>
    <w:charset w:val="86"/>
    <w:family w:val="script"/>
    <w:pitch w:val="default"/>
    <w:sig w:usb0="00000001" w:usb1="080E0000" w:usb2="00000000" w:usb3="00000000" w:csb0="00040000" w:csb1="00000000"/>
    <w:embedRegular r:id="rId5" w:fontKey="{7923110D-C753-481F-82F7-044C5B69DBF7}"/>
  </w:font>
  <w:font w:name="微软雅黑">
    <w:panose1 w:val="020B0503020204020204"/>
    <w:charset w:val="86"/>
    <w:family w:val="auto"/>
    <w:pitch w:val="default"/>
    <w:sig w:usb0="80000287" w:usb1="2ACF3C50" w:usb2="00000016" w:usb3="00000000" w:csb0="0004001F" w:csb1="00000000"/>
    <w:embedRegular r:id="rId6" w:fontKey="{6A6558B3-88AC-4B6A-8041-235C45007F94}"/>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F5073">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327BC">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3327BC">
                    <w:pPr>
                      <w:pStyle w:val="10"/>
                    </w:pPr>
                    <w:r>
                      <w:fldChar w:fldCharType="begin"/>
                    </w:r>
                    <w:r>
                      <w:instrText xml:space="preserve"> PAGE  \* MERGEFORMAT </w:instrText>
                    </w:r>
                    <w:r>
                      <w:fldChar w:fldCharType="separate"/>
                    </w:r>
                    <w:r>
                      <w:t>- 1 -</w:t>
                    </w:r>
                    <w:r>
                      <w:fldChar w:fldCharType="end"/>
                    </w:r>
                  </w:p>
                </w:txbxContent>
              </v:textbox>
            </v:shape>
          </w:pict>
        </mc:Fallback>
      </mc:AlternateContent>
    </w:r>
  </w:p>
  <w:p w14:paraId="3A24740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DB666">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3EE6F">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43EE6F">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A380A">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6FDEE">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A46FDEE">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14:paraId="76B115D4">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CA05A">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D4BA31">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D4BA31">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D9F76">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9CF51">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F792E"/>
    <w:multiLevelType w:val="singleLevel"/>
    <w:tmpl w:val="8F4F792E"/>
    <w:lvl w:ilvl="0" w:tentative="0">
      <w:start w:val="1"/>
      <w:numFmt w:val="decimal"/>
      <w:suff w:val="nothing"/>
      <w:lvlText w:val="%1．"/>
      <w:lvlJc w:val="left"/>
      <w:pPr>
        <w:ind w:left="0" w:firstLine="400"/>
      </w:pPr>
      <w:rPr>
        <w:rFonts w:hint="default"/>
      </w:rPr>
    </w:lvl>
  </w:abstractNum>
  <w:abstractNum w:abstractNumId="1">
    <w:nsid w:val="FE26ECBF"/>
    <w:multiLevelType w:val="singleLevel"/>
    <w:tmpl w:val="FE26ECBF"/>
    <w:lvl w:ilvl="0" w:tentative="0">
      <w:start w:val="1"/>
      <w:numFmt w:val="decimal"/>
      <w:suff w:val="nothing"/>
      <w:lvlText w:val="%1．"/>
      <w:lvlJc w:val="left"/>
      <w:pPr>
        <w:ind w:left="0" w:firstLine="400"/>
      </w:pPr>
      <w:rPr>
        <w:rFonts w:hint="default"/>
      </w:rPr>
    </w:lvl>
  </w:abstractNum>
  <w:abstractNum w:abstractNumId="2">
    <w:nsid w:val="34F85EAF"/>
    <w:multiLevelType w:val="multilevel"/>
    <w:tmpl w:val="34F85EAF"/>
    <w:lvl w:ilvl="0" w:tentative="0">
      <w:start w:val="1"/>
      <w:numFmt w:val="chineseCountingThousand"/>
      <w:pStyle w:val="38"/>
      <w:suff w:val="nothing"/>
      <w:lvlText w:val="%1、"/>
      <w:lvlJc w:val="left"/>
      <w:pPr>
        <w:ind w:firstLine="637"/>
      </w:pPr>
      <w:rPr>
        <w:rFonts w:hint="eastAsia" w:cs="Times New Roman"/>
      </w:rPr>
    </w:lvl>
    <w:lvl w:ilvl="1" w:tentative="0">
      <w:start w:val="1"/>
      <w:numFmt w:val="lowerLetter"/>
      <w:lvlText w:val="%2)"/>
      <w:lvlJc w:val="left"/>
      <w:pPr>
        <w:ind w:left="1477" w:hanging="420"/>
      </w:pPr>
      <w:rPr>
        <w:rFonts w:cs="Times New Roman"/>
      </w:rPr>
    </w:lvl>
    <w:lvl w:ilvl="2" w:tentative="0">
      <w:start w:val="1"/>
      <w:numFmt w:val="lowerRoman"/>
      <w:lvlText w:val="%3."/>
      <w:lvlJc w:val="right"/>
      <w:pPr>
        <w:ind w:left="1897" w:hanging="420"/>
      </w:pPr>
      <w:rPr>
        <w:rFonts w:cs="Times New Roman"/>
      </w:rPr>
    </w:lvl>
    <w:lvl w:ilvl="3" w:tentative="0">
      <w:start w:val="1"/>
      <w:numFmt w:val="decimal"/>
      <w:lvlText w:val="%4."/>
      <w:lvlJc w:val="left"/>
      <w:pPr>
        <w:ind w:left="2317" w:hanging="420"/>
      </w:pPr>
      <w:rPr>
        <w:rFonts w:cs="Times New Roman"/>
      </w:rPr>
    </w:lvl>
    <w:lvl w:ilvl="4" w:tentative="0">
      <w:start w:val="1"/>
      <w:numFmt w:val="lowerLetter"/>
      <w:lvlText w:val="%5)"/>
      <w:lvlJc w:val="left"/>
      <w:pPr>
        <w:ind w:left="2737" w:hanging="420"/>
      </w:pPr>
      <w:rPr>
        <w:rFonts w:cs="Times New Roman"/>
      </w:rPr>
    </w:lvl>
    <w:lvl w:ilvl="5" w:tentative="0">
      <w:start w:val="1"/>
      <w:numFmt w:val="lowerRoman"/>
      <w:lvlText w:val="%6."/>
      <w:lvlJc w:val="right"/>
      <w:pPr>
        <w:ind w:left="3157" w:hanging="420"/>
      </w:pPr>
      <w:rPr>
        <w:rFonts w:cs="Times New Roman"/>
      </w:rPr>
    </w:lvl>
    <w:lvl w:ilvl="6" w:tentative="0">
      <w:start w:val="1"/>
      <w:numFmt w:val="decimal"/>
      <w:lvlText w:val="%7."/>
      <w:lvlJc w:val="left"/>
      <w:pPr>
        <w:ind w:left="3577" w:hanging="420"/>
      </w:pPr>
      <w:rPr>
        <w:rFonts w:cs="Times New Roman"/>
      </w:rPr>
    </w:lvl>
    <w:lvl w:ilvl="7" w:tentative="0">
      <w:start w:val="1"/>
      <w:numFmt w:val="lowerLetter"/>
      <w:lvlText w:val="%8)"/>
      <w:lvlJc w:val="left"/>
      <w:pPr>
        <w:ind w:left="3997" w:hanging="420"/>
      </w:pPr>
      <w:rPr>
        <w:rFonts w:cs="Times New Roman"/>
      </w:rPr>
    </w:lvl>
    <w:lvl w:ilvl="8" w:tentative="0">
      <w:start w:val="1"/>
      <w:numFmt w:val="lowerRoman"/>
      <w:lvlText w:val="%9."/>
      <w:lvlJc w:val="right"/>
      <w:pPr>
        <w:ind w:left="4417" w:hanging="420"/>
      </w:pPr>
      <w:rPr>
        <w:rFonts w:cs="Times New Roman"/>
      </w:rPr>
    </w:lvl>
  </w:abstractNum>
  <w:abstractNum w:abstractNumId="3">
    <w:nsid w:val="7EE55BF3"/>
    <w:multiLevelType w:val="multilevel"/>
    <w:tmpl w:val="7EE55BF3"/>
    <w:lvl w:ilvl="0" w:tentative="0">
      <w:start w:val="1"/>
      <w:numFmt w:val="chineseCountingThousand"/>
      <w:pStyle w:val="36"/>
      <w:suff w:val="nothing"/>
      <w:lvlText w:val="（%1）"/>
      <w:lvlJc w:val="left"/>
      <w:pPr>
        <w:ind w:firstLine="635"/>
      </w:pPr>
      <w:rPr>
        <w:rFonts w:hint="eastAsia" w:cs="Times New Roman"/>
      </w:rPr>
    </w:lvl>
    <w:lvl w:ilvl="1" w:tentative="0">
      <w:start w:val="1"/>
      <w:numFmt w:val="decimal"/>
      <w:lvlText w:val="%2."/>
      <w:lvlJc w:val="left"/>
      <w:pPr>
        <w:ind w:left="980" w:hanging="360"/>
      </w:pPr>
      <w:rPr>
        <w:rFonts w:hint="default" w:cs="Times New Roman"/>
      </w:rPr>
    </w:lvl>
    <w:lvl w:ilvl="2" w:tentative="0">
      <w:start w:val="1"/>
      <w:numFmt w:val="lowerRoman"/>
      <w:lvlText w:val="%3."/>
      <w:lvlJc w:val="right"/>
      <w:pPr>
        <w:ind w:left="1460" w:hanging="420"/>
      </w:pPr>
      <w:rPr>
        <w:rFonts w:cs="Times New Roman"/>
      </w:rPr>
    </w:lvl>
    <w:lvl w:ilvl="3" w:tentative="0">
      <w:start w:val="1"/>
      <w:numFmt w:val="decimal"/>
      <w:lvlText w:val="%4."/>
      <w:lvlJc w:val="left"/>
      <w:pPr>
        <w:ind w:left="1880" w:hanging="420"/>
      </w:pPr>
      <w:rPr>
        <w:rFonts w:cs="Times New Roman"/>
      </w:rPr>
    </w:lvl>
    <w:lvl w:ilvl="4" w:tentative="0">
      <w:start w:val="1"/>
      <w:numFmt w:val="lowerLetter"/>
      <w:lvlText w:val="%5)"/>
      <w:lvlJc w:val="left"/>
      <w:pPr>
        <w:ind w:left="2300" w:hanging="420"/>
      </w:pPr>
      <w:rPr>
        <w:rFonts w:cs="Times New Roman"/>
      </w:rPr>
    </w:lvl>
    <w:lvl w:ilvl="5" w:tentative="0">
      <w:start w:val="1"/>
      <w:numFmt w:val="lowerRoman"/>
      <w:lvlText w:val="%6."/>
      <w:lvlJc w:val="right"/>
      <w:pPr>
        <w:ind w:left="2720" w:hanging="420"/>
      </w:pPr>
      <w:rPr>
        <w:rFonts w:cs="Times New Roman"/>
      </w:rPr>
    </w:lvl>
    <w:lvl w:ilvl="6" w:tentative="0">
      <w:start w:val="1"/>
      <w:numFmt w:val="decimal"/>
      <w:lvlText w:val="%7."/>
      <w:lvlJc w:val="left"/>
      <w:pPr>
        <w:ind w:left="3140" w:hanging="420"/>
      </w:pPr>
      <w:rPr>
        <w:rFonts w:cs="Times New Roman"/>
      </w:rPr>
    </w:lvl>
    <w:lvl w:ilvl="7" w:tentative="0">
      <w:start w:val="1"/>
      <w:numFmt w:val="lowerLetter"/>
      <w:lvlText w:val="%8)"/>
      <w:lvlJc w:val="left"/>
      <w:pPr>
        <w:ind w:left="3560" w:hanging="420"/>
      </w:pPr>
      <w:rPr>
        <w:rFonts w:cs="Times New Roman"/>
      </w:rPr>
    </w:lvl>
    <w:lvl w:ilvl="8" w:tentative="0">
      <w:start w:val="1"/>
      <w:numFmt w:val="lowerRoman"/>
      <w:lvlText w:val="%9."/>
      <w:lvlJc w:val="right"/>
      <w:pPr>
        <w:ind w:left="3980" w:hanging="42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kZDFlMjhjZTFkNjkzZWNhYzA5Y2Q2ZmVhNGVhYz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A8B"/>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EF7950"/>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C04D2"/>
    <w:rsid w:val="00FD3CC1"/>
    <w:rsid w:val="00FF1E02"/>
    <w:rsid w:val="00FF30B4"/>
    <w:rsid w:val="012A5EC2"/>
    <w:rsid w:val="015975B8"/>
    <w:rsid w:val="01C12573"/>
    <w:rsid w:val="02A64781"/>
    <w:rsid w:val="02B8118D"/>
    <w:rsid w:val="02FEBE30"/>
    <w:rsid w:val="03304250"/>
    <w:rsid w:val="038C34A7"/>
    <w:rsid w:val="04916F1E"/>
    <w:rsid w:val="057B7A05"/>
    <w:rsid w:val="05CA0E88"/>
    <w:rsid w:val="061E35DE"/>
    <w:rsid w:val="062D3E31"/>
    <w:rsid w:val="066E0107"/>
    <w:rsid w:val="07996F6E"/>
    <w:rsid w:val="07DFD8BA"/>
    <w:rsid w:val="0932487E"/>
    <w:rsid w:val="09510A7C"/>
    <w:rsid w:val="09867E8F"/>
    <w:rsid w:val="0A2032A3"/>
    <w:rsid w:val="0AA417AC"/>
    <w:rsid w:val="0AF534BF"/>
    <w:rsid w:val="0C994AB9"/>
    <w:rsid w:val="0CA8290A"/>
    <w:rsid w:val="0CD8398F"/>
    <w:rsid w:val="0D35B1ED"/>
    <w:rsid w:val="0E254B6B"/>
    <w:rsid w:val="0E741495"/>
    <w:rsid w:val="0F7150C9"/>
    <w:rsid w:val="0F98263C"/>
    <w:rsid w:val="0FBF2BE4"/>
    <w:rsid w:val="101860EC"/>
    <w:rsid w:val="101F47CC"/>
    <w:rsid w:val="10C055FF"/>
    <w:rsid w:val="11694EBD"/>
    <w:rsid w:val="11772AA4"/>
    <w:rsid w:val="118107EC"/>
    <w:rsid w:val="11CB1D14"/>
    <w:rsid w:val="12E24EE2"/>
    <w:rsid w:val="13D50BC4"/>
    <w:rsid w:val="14B17F78"/>
    <w:rsid w:val="14C15DDB"/>
    <w:rsid w:val="14D40EDF"/>
    <w:rsid w:val="165E0673"/>
    <w:rsid w:val="16B831D5"/>
    <w:rsid w:val="16BB723D"/>
    <w:rsid w:val="17A173CE"/>
    <w:rsid w:val="17CC688B"/>
    <w:rsid w:val="17E50567"/>
    <w:rsid w:val="182201B4"/>
    <w:rsid w:val="186504BB"/>
    <w:rsid w:val="18DF60A5"/>
    <w:rsid w:val="19A445FC"/>
    <w:rsid w:val="1A2135D0"/>
    <w:rsid w:val="1BE8440E"/>
    <w:rsid w:val="1C534DE0"/>
    <w:rsid w:val="1CDB6B83"/>
    <w:rsid w:val="1D155CEE"/>
    <w:rsid w:val="1D1638FE"/>
    <w:rsid w:val="1DB16262"/>
    <w:rsid w:val="1E312DEB"/>
    <w:rsid w:val="1E740ACF"/>
    <w:rsid w:val="1F015779"/>
    <w:rsid w:val="1F775289"/>
    <w:rsid w:val="1FA65644"/>
    <w:rsid w:val="1FF35744"/>
    <w:rsid w:val="1FF6BC77"/>
    <w:rsid w:val="20F522E4"/>
    <w:rsid w:val="2186353C"/>
    <w:rsid w:val="219739C1"/>
    <w:rsid w:val="21D14494"/>
    <w:rsid w:val="21E87D78"/>
    <w:rsid w:val="23860B96"/>
    <w:rsid w:val="240371BF"/>
    <w:rsid w:val="24245266"/>
    <w:rsid w:val="244F3473"/>
    <w:rsid w:val="24C97D99"/>
    <w:rsid w:val="25A718F0"/>
    <w:rsid w:val="25BB59F6"/>
    <w:rsid w:val="25E116AE"/>
    <w:rsid w:val="25FB5B41"/>
    <w:rsid w:val="260F557C"/>
    <w:rsid w:val="262B46D7"/>
    <w:rsid w:val="264C3451"/>
    <w:rsid w:val="265C360C"/>
    <w:rsid w:val="26970054"/>
    <w:rsid w:val="26FF43B0"/>
    <w:rsid w:val="281408E2"/>
    <w:rsid w:val="29FD04D3"/>
    <w:rsid w:val="2BCF1FA9"/>
    <w:rsid w:val="2BFF7BC6"/>
    <w:rsid w:val="2C840FE5"/>
    <w:rsid w:val="2C8A61B5"/>
    <w:rsid w:val="2CC60381"/>
    <w:rsid w:val="2CC82C80"/>
    <w:rsid w:val="2D1B23E6"/>
    <w:rsid w:val="2DBD1D5D"/>
    <w:rsid w:val="2DF04E50"/>
    <w:rsid w:val="2E36630F"/>
    <w:rsid w:val="2E586DFA"/>
    <w:rsid w:val="2E5D1E96"/>
    <w:rsid w:val="2F040D46"/>
    <w:rsid w:val="2F540059"/>
    <w:rsid w:val="2F61560E"/>
    <w:rsid w:val="2F6B035B"/>
    <w:rsid w:val="2FAE5751"/>
    <w:rsid w:val="2FB1A395"/>
    <w:rsid w:val="2FD9A7D8"/>
    <w:rsid w:val="2FDBF714"/>
    <w:rsid w:val="30AB6865"/>
    <w:rsid w:val="319F7F4E"/>
    <w:rsid w:val="31E3230A"/>
    <w:rsid w:val="32BD1EF1"/>
    <w:rsid w:val="32F444B2"/>
    <w:rsid w:val="3304709D"/>
    <w:rsid w:val="33A773CB"/>
    <w:rsid w:val="3428494C"/>
    <w:rsid w:val="349D6851"/>
    <w:rsid w:val="34AF2977"/>
    <w:rsid w:val="34C5219B"/>
    <w:rsid w:val="34FC43FC"/>
    <w:rsid w:val="356F030E"/>
    <w:rsid w:val="362F1FC2"/>
    <w:rsid w:val="36AA5135"/>
    <w:rsid w:val="36BE0DA7"/>
    <w:rsid w:val="37533A8E"/>
    <w:rsid w:val="376B6AA6"/>
    <w:rsid w:val="376D39B2"/>
    <w:rsid w:val="37E16F03"/>
    <w:rsid w:val="37F53A3B"/>
    <w:rsid w:val="389B6C89"/>
    <w:rsid w:val="389E51DD"/>
    <w:rsid w:val="38A767D5"/>
    <w:rsid w:val="38D469F0"/>
    <w:rsid w:val="392C0A3B"/>
    <w:rsid w:val="39627CCD"/>
    <w:rsid w:val="397BAF1F"/>
    <w:rsid w:val="39BA1BA2"/>
    <w:rsid w:val="3A353E31"/>
    <w:rsid w:val="3AB79AF3"/>
    <w:rsid w:val="3AE834C0"/>
    <w:rsid w:val="3B0C28D2"/>
    <w:rsid w:val="3B2F036E"/>
    <w:rsid w:val="3B7EF35A"/>
    <w:rsid w:val="3B910A01"/>
    <w:rsid w:val="3B984165"/>
    <w:rsid w:val="3B9FDB6C"/>
    <w:rsid w:val="3BC701BD"/>
    <w:rsid w:val="3BF5BC2F"/>
    <w:rsid w:val="3CE47304"/>
    <w:rsid w:val="3CEBA265"/>
    <w:rsid w:val="3D98207C"/>
    <w:rsid w:val="3DC3562A"/>
    <w:rsid w:val="3DEE7CF3"/>
    <w:rsid w:val="3E740A63"/>
    <w:rsid w:val="3E78745D"/>
    <w:rsid w:val="3EE17838"/>
    <w:rsid w:val="3F35732E"/>
    <w:rsid w:val="3F55381A"/>
    <w:rsid w:val="3F7F7599"/>
    <w:rsid w:val="3FF4CAE0"/>
    <w:rsid w:val="3FF7B227"/>
    <w:rsid w:val="403501D5"/>
    <w:rsid w:val="40B57568"/>
    <w:rsid w:val="41D028AB"/>
    <w:rsid w:val="42513ADD"/>
    <w:rsid w:val="43A55671"/>
    <w:rsid w:val="44E268DA"/>
    <w:rsid w:val="44FC7513"/>
    <w:rsid w:val="450D13D7"/>
    <w:rsid w:val="451453CC"/>
    <w:rsid w:val="45506656"/>
    <w:rsid w:val="4565155C"/>
    <w:rsid w:val="457F1EF2"/>
    <w:rsid w:val="45F440B0"/>
    <w:rsid w:val="486A6C7A"/>
    <w:rsid w:val="49267254"/>
    <w:rsid w:val="497004D0"/>
    <w:rsid w:val="49EF7646"/>
    <w:rsid w:val="4A627F82"/>
    <w:rsid w:val="4B0E749A"/>
    <w:rsid w:val="4B2477C4"/>
    <w:rsid w:val="4B4F25DA"/>
    <w:rsid w:val="4B667DDC"/>
    <w:rsid w:val="4BE068DB"/>
    <w:rsid w:val="4C233A1B"/>
    <w:rsid w:val="4C577725"/>
    <w:rsid w:val="4D577224"/>
    <w:rsid w:val="4D8872D4"/>
    <w:rsid w:val="4D901140"/>
    <w:rsid w:val="4DBF1CEB"/>
    <w:rsid w:val="4DF0007C"/>
    <w:rsid w:val="4E7E543D"/>
    <w:rsid w:val="4EAB630A"/>
    <w:rsid w:val="4EB52C41"/>
    <w:rsid w:val="4ECE2238"/>
    <w:rsid w:val="4ED67027"/>
    <w:rsid w:val="4EE31744"/>
    <w:rsid w:val="4F833267"/>
    <w:rsid w:val="4F870321"/>
    <w:rsid w:val="4FE9BD67"/>
    <w:rsid w:val="4FFB052F"/>
    <w:rsid w:val="50417CC5"/>
    <w:rsid w:val="51045425"/>
    <w:rsid w:val="511340FD"/>
    <w:rsid w:val="512A1F7C"/>
    <w:rsid w:val="51FB0B52"/>
    <w:rsid w:val="52837266"/>
    <w:rsid w:val="5314011E"/>
    <w:rsid w:val="537E6D0A"/>
    <w:rsid w:val="53F74C96"/>
    <w:rsid w:val="548F2152"/>
    <w:rsid w:val="54930906"/>
    <w:rsid w:val="54A92AE8"/>
    <w:rsid w:val="55170BA8"/>
    <w:rsid w:val="553218C9"/>
    <w:rsid w:val="554C0043"/>
    <w:rsid w:val="56244B1C"/>
    <w:rsid w:val="567E1AA5"/>
    <w:rsid w:val="56E47B74"/>
    <w:rsid w:val="57175D52"/>
    <w:rsid w:val="572E4C25"/>
    <w:rsid w:val="57BD3DD4"/>
    <w:rsid w:val="59701E26"/>
    <w:rsid w:val="59950D8B"/>
    <w:rsid w:val="5AF92295"/>
    <w:rsid w:val="5B250254"/>
    <w:rsid w:val="5B7D5D58"/>
    <w:rsid w:val="5BDD79E6"/>
    <w:rsid w:val="5BF561CA"/>
    <w:rsid w:val="5BFF5DFC"/>
    <w:rsid w:val="5C5C7600"/>
    <w:rsid w:val="5CCC2819"/>
    <w:rsid w:val="5CD71FC4"/>
    <w:rsid w:val="5D1F11B5"/>
    <w:rsid w:val="5D695134"/>
    <w:rsid w:val="5DAE1B18"/>
    <w:rsid w:val="5DE7D9E5"/>
    <w:rsid w:val="5ECEC941"/>
    <w:rsid w:val="5F0C53C6"/>
    <w:rsid w:val="5F595F9A"/>
    <w:rsid w:val="5FBF9FF3"/>
    <w:rsid w:val="5FCD4E2C"/>
    <w:rsid w:val="5FE570CA"/>
    <w:rsid w:val="5FEF394A"/>
    <w:rsid w:val="5FF67715"/>
    <w:rsid w:val="608A5EC3"/>
    <w:rsid w:val="612B3202"/>
    <w:rsid w:val="61601153"/>
    <w:rsid w:val="61774067"/>
    <w:rsid w:val="61D90EB0"/>
    <w:rsid w:val="621E4B15"/>
    <w:rsid w:val="62BF3928"/>
    <w:rsid w:val="62F835B8"/>
    <w:rsid w:val="63B3701E"/>
    <w:rsid w:val="63C65464"/>
    <w:rsid w:val="647F5392"/>
    <w:rsid w:val="650A5824"/>
    <w:rsid w:val="65E66580"/>
    <w:rsid w:val="664B1D71"/>
    <w:rsid w:val="664B4E8E"/>
    <w:rsid w:val="66C67B11"/>
    <w:rsid w:val="67277B67"/>
    <w:rsid w:val="67564D51"/>
    <w:rsid w:val="678418BE"/>
    <w:rsid w:val="67AA3209"/>
    <w:rsid w:val="682D3D62"/>
    <w:rsid w:val="686F47F8"/>
    <w:rsid w:val="698D0931"/>
    <w:rsid w:val="6A7FE5F3"/>
    <w:rsid w:val="6B053271"/>
    <w:rsid w:val="6B566629"/>
    <w:rsid w:val="6BDD78B3"/>
    <w:rsid w:val="6C4A05C8"/>
    <w:rsid w:val="6C8742B8"/>
    <w:rsid w:val="6D8A5754"/>
    <w:rsid w:val="6DBF5E93"/>
    <w:rsid w:val="6DFF077E"/>
    <w:rsid w:val="6E714EF0"/>
    <w:rsid w:val="6E7E3605"/>
    <w:rsid w:val="6E7FDCC7"/>
    <w:rsid w:val="6ED6A62E"/>
    <w:rsid w:val="6EE00B15"/>
    <w:rsid w:val="6F6FB3EB"/>
    <w:rsid w:val="6F8731EA"/>
    <w:rsid w:val="6FBE16E5"/>
    <w:rsid w:val="6FCE6052"/>
    <w:rsid w:val="6FD57C00"/>
    <w:rsid w:val="6FEFFFD8"/>
    <w:rsid w:val="6FF5CC65"/>
    <w:rsid w:val="6FFB47EC"/>
    <w:rsid w:val="6FFF034A"/>
    <w:rsid w:val="70484440"/>
    <w:rsid w:val="711B6383"/>
    <w:rsid w:val="712A28F1"/>
    <w:rsid w:val="715C0E4B"/>
    <w:rsid w:val="71992E7C"/>
    <w:rsid w:val="72233669"/>
    <w:rsid w:val="72734D90"/>
    <w:rsid w:val="73160E6D"/>
    <w:rsid w:val="7332FE48"/>
    <w:rsid w:val="73AB61DA"/>
    <w:rsid w:val="73AD73D5"/>
    <w:rsid w:val="73B6EB34"/>
    <w:rsid w:val="73FA497D"/>
    <w:rsid w:val="744731E5"/>
    <w:rsid w:val="74BBD01D"/>
    <w:rsid w:val="74E34833"/>
    <w:rsid w:val="74ED5379"/>
    <w:rsid w:val="758D7B90"/>
    <w:rsid w:val="75DEEEC2"/>
    <w:rsid w:val="75E32345"/>
    <w:rsid w:val="76CE13C5"/>
    <w:rsid w:val="76E3355F"/>
    <w:rsid w:val="76FF5125"/>
    <w:rsid w:val="776F6FFA"/>
    <w:rsid w:val="778769C8"/>
    <w:rsid w:val="77972F48"/>
    <w:rsid w:val="77A75DCA"/>
    <w:rsid w:val="77DC22F5"/>
    <w:rsid w:val="783E271A"/>
    <w:rsid w:val="78616DE9"/>
    <w:rsid w:val="78E875D7"/>
    <w:rsid w:val="79086DAD"/>
    <w:rsid w:val="79D7FD79"/>
    <w:rsid w:val="79EE5BA4"/>
    <w:rsid w:val="79F30FA6"/>
    <w:rsid w:val="7A2B012B"/>
    <w:rsid w:val="7A894339"/>
    <w:rsid w:val="7AD284E8"/>
    <w:rsid w:val="7AFF7572"/>
    <w:rsid w:val="7B57302A"/>
    <w:rsid w:val="7B6C7DFB"/>
    <w:rsid w:val="7BBFBED0"/>
    <w:rsid w:val="7BC3E394"/>
    <w:rsid w:val="7C1F3737"/>
    <w:rsid w:val="7C490589"/>
    <w:rsid w:val="7CAB2BAD"/>
    <w:rsid w:val="7CBFC87B"/>
    <w:rsid w:val="7CFE0F48"/>
    <w:rsid w:val="7D272ABC"/>
    <w:rsid w:val="7D575E14"/>
    <w:rsid w:val="7D7EC23E"/>
    <w:rsid w:val="7DD30A52"/>
    <w:rsid w:val="7E6E42D6"/>
    <w:rsid w:val="7E6F5A98"/>
    <w:rsid w:val="7E8ADEBF"/>
    <w:rsid w:val="7EEF11D3"/>
    <w:rsid w:val="7EEF71C5"/>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autoRedefine/>
    <w:unhideWhenUsed/>
    <w:qFormat/>
    <w:uiPriority w:val="9"/>
    <w:pPr>
      <w:keepNext/>
      <w:keepLines/>
      <w:spacing w:before="260" w:after="260" w:line="416" w:lineRule="auto"/>
      <w:outlineLvl w:val="2"/>
    </w:pPr>
    <w:rPr>
      <w:b/>
      <w:bCs/>
      <w:sz w:val="32"/>
      <w:szCs w:val="32"/>
    </w:rPr>
  </w:style>
  <w:style w:type="character" w:default="1" w:styleId="17">
    <w:name w:val="Default Paragraph Font"/>
    <w:autoRedefine/>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next w:val="1"/>
    <w:link w:val="26"/>
    <w:autoRedefine/>
    <w:qFormat/>
    <w:uiPriority w:val="99"/>
    <w:pPr>
      <w:spacing w:beforeLines="30"/>
    </w:pPr>
    <w:rPr>
      <w:rFonts w:ascii="仿宋_GB2312" w:eastAsia="仿宋_GB2312"/>
      <w:kern w:val="0"/>
      <w:sz w:val="30"/>
    </w:rPr>
  </w:style>
  <w:style w:type="paragraph" w:styleId="6">
    <w:name w:val="Body Text Indent"/>
    <w:basedOn w:val="1"/>
    <w:next w:val="7"/>
    <w:autoRedefine/>
    <w:qFormat/>
    <w:uiPriority w:val="0"/>
    <w:pPr>
      <w:spacing w:after="120"/>
      <w:ind w:leftChars="200"/>
    </w:pPr>
    <w:rPr>
      <w:rFonts w:ascii="仿宋_GB2312"/>
      <w:szCs w:val="32"/>
    </w:rPr>
  </w:style>
  <w:style w:type="paragraph" w:styleId="7">
    <w:name w:val="Body Text First Indent 2"/>
    <w:basedOn w:val="6"/>
    <w:next w:val="1"/>
    <w:autoRedefine/>
    <w:unhideWhenUsed/>
    <w:qFormat/>
    <w:uiPriority w:val="99"/>
    <w:pPr>
      <w:ind w:firstLine="420" w:firstLineChars="200"/>
    </w:pPr>
  </w:style>
  <w:style w:type="paragraph" w:styleId="8">
    <w:name w:val="toc 3"/>
    <w:basedOn w:val="1"/>
    <w:next w:val="1"/>
    <w:autoRedefine/>
    <w:unhideWhenUsed/>
    <w:qFormat/>
    <w:uiPriority w:val="39"/>
    <w:pPr>
      <w:tabs>
        <w:tab w:val="right" w:leader="dot" w:pos="8296"/>
      </w:tabs>
      <w:ind w:left="840" w:leftChars="400"/>
    </w:pPr>
  </w:style>
  <w:style w:type="paragraph" w:styleId="9">
    <w:name w:val="Balloon Text"/>
    <w:basedOn w:val="1"/>
    <w:link w:val="32"/>
    <w:autoRedefine/>
    <w:semiHidden/>
    <w:unhideWhenUsed/>
    <w:qFormat/>
    <w:uiPriority w:val="99"/>
    <w:rPr>
      <w:sz w:val="18"/>
      <w:szCs w:val="18"/>
    </w:rPr>
  </w:style>
  <w:style w:type="paragraph" w:styleId="10">
    <w:name w:val="footer"/>
    <w:basedOn w:val="1"/>
    <w:link w:val="24"/>
    <w:autoRedefine/>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autoRedefine/>
    <w:semiHidden/>
    <w:qFormat/>
    <w:uiPriority w:val="0"/>
    <w:pPr>
      <w:snapToGrid w:val="0"/>
      <w:jc w:val="left"/>
    </w:pPr>
    <w:rPr>
      <w:sz w:val="18"/>
      <w:szCs w:val="18"/>
    </w:rPr>
  </w:style>
  <w:style w:type="paragraph" w:styleId="14">
    <w:name w:val="toc 2"/>
    <w:basedOn w:val="1"/>
    <w:next w:val="1"/>
    <w:autoRedefine/>
    <w:unhideWhenUsed/>
    <w:qFormat/>
    <w:uiPriority w:val="39"/>
    <w:pPr>
      <w:tabs>
        <w:tab w:val="right" w:leader="dot" w:pos="8296"/>
      </w:tabs>
      <w:ind w:left="420" w:leftChars="200"/>
    </w:pPr>
  </w:style>
  <w:style w:type="paragraph" w:styleId="15">
    <w:name w:val="Normal (Web)"/>
    <w:basedOn w:val="1"/>
    <w:autoRedefine/>
    <w:unhideWhenUsed/>
    <w:qFormat/>
    <w:uiPriority w:val="99"/>
    <w:pPr>
      <w:spacing w:beforeLines="0" w:afterLines="0"/>
    </w:pPr>
    <w:rPr>
      <w:rFonts w:hint="default"/>
      <w:sz w:val="24"/>
      <w:szCs w:val="24"/>
    </w:rPr>
  </w:style>
  <w:style w:type="character" w:styleId="18">
    <w:name w:val="Strong"/>
    <w:basedOn w:val="17"/>
    <w:autoRedefine/>
    <w:qFormat/>
    <w:uiPriority w:val="99"/>
    <w:rPr>
      <w:b/>
    </w:rPr>
  </w:style>
  <w:style w:type="character" w:styleId="19">
    <w:name w:val="Hyperlink"/>
    <w:basedOn w:val="17"/>
    <w:autoRedefine/>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autoRedefine/>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autoRedefine/>
    <w:semiHidden/>
    <w:qFormat/>
    <w:uiPriority w:val="99"/>
    <w:rPr>
      <w:rFonts w:ascii="Times New Roman" w:hAnsi="Times New Roman"/>
      <w:sz w:val="18"/>
      <w:szCs w:val="18"/>
    </w:rPr>
  </w:style>
  <w:style w:type="character" w:customStyle="1" w:styleId="22">
    <w:name w:val="页眉 Char"/>
    <w:link w:val="11"/>
    <w:autoRedefine/>
    <w:semiHidden/>
    <w:qFormat/>
    <w:locked/>
    <w:uiPriority w:val="99"/>
    <w:rPr>
      <w:sz w:val="18"/>
    </w:rPr>
  </w:style>
  <w:style w:type="character" w:customStyle="1" w:styleId="23">
    <w:name w:val="Footer Char"/>
    <w:basedOn w:val="17"/>
    <w:autoRedefine/>
    <w:semiHidden/>
    <w:qFormat/>
    <w:uiPriority w:val="99"/>
    <w:rPr>
      <w:rFonts w:ascii="Times New Roman" w:hAnsi="Times New Roman"/>
      <w:sz w:val="18"/>
      <w:szCs w:val="18"/>
    </w:rPr>
  </w:style>
  <w:style w:type="character" w:customStyle="1" w:styleId="24">
    <w:name w:val="页脚 Char"/>
    <w:link w:val="10"/>
    <w:autoRedefine/>
    <w:qFormat/>
    <w:locked/>
    <w:uiPriority w:val="99"/>
    <w:rPr>
      <w:sz w:val="18"/>
    </w:rPr>
  </w:style>
  <w:style w:type="character" w:customStyle="1" w:styleId="25">
    <w:name w:val="Body Text Char"/>
    <w:basedOn w:val="17"/>
    <w:autoRedefine/>
    <w:semiHidden/>
    <w:qFormat/>
    <w:uiPriority w:val="99"/>
    <w:rPr>
      <w:rFonts w:ascii="Times New Roman" w:hAnsi="Times New Roman"/>
      <w:szCs w:val="24"/>
    </w:rPr>
  </w:style>
  <w:style w:type="character" w:customStyle="1" w:styleId="26">
    <w:name w:val="正文文本 Char"/>
    <w:link w:val="5"/>
    <w:autoRedefine/>
    <w:qFormat/>
    <w:locked/>
    <w:uiPriority w:val="99"/>
    <w:rPr>
      <w:rFonts w:ascii="仿宋_GB2312" w:hAnsi="Times New Roman" w:eastAsia="仿宋_GB2312"/>
      <w:sz w:val="24"/>
    </w:rPr>
  </w:style>
  <w:style w:type="paragraph" w:customStyle="1" w:styleId="27">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autoRedefine/>
    <w:qFormat/>
    <w:uiPriority w:val="34"/>
    <w:pPr>
      <w:ind w:firstLine="420" w:firstLineChars="200"/>
    </w:pPr>
  </w:style>
  <w:style w:type="character" w:customStyle="1" w:styleId="29">
    <w:name w:val="标题 1 Char"/>
    <w:basedOn w:val="17"/>
    <w:link w:val="2"/>
    <w:autoRedefine/>
    <w:qFormat/>
    <w:uiPriority w:val="9"/>
    <w:rPr>
      <w:rFonts w:ascii="Times New Roman" w:hAnsi="Times New Roman"/>
      <w:b/>
      <w:bCs/>
      <w:kern w:val="44"/>
      <w:sz w:val="44"/>
      <w:szCs w:val="44"/>
    </w:rPr>
  </w:style>
  <w:style w:type="character" w:customStyle="1" w:styleId="30">
    <w:name w:val="标题 2 Char"/>
    <w:basedOn w:val="17"/>
    <w:link w:val="3"/>
    <w:autoRedefine/>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autoRedefine/>
    <w:semiHidden/>
    <w:qFormat/>
    <w:uiPriority w:val="99"/>
    <w:rPr>
      <w:rFonts w:ascii="Times New Roman" w:hAnsi="Times New Roman"/>
      <w:kern w:val="2"/>
      <w:sz w:val="18"/>
      <w:szCs w:val="18"/>
    </w:rPr>
  </w:style>
  <w:style w:type="character" w:customStyle="1" w:styleId="33">
    <w:name w:val="标题 3 Char"/>
    <w:basedOn w:val="17"/>
    <w:link w:val="4"/>
    <w:autoRedefine/>
    <w:qFormat/>
    <w:uiPriority w:val="9"/>
    <w:rPr>
      <w:rFonts w:ascii="Times New Roman" w:hAnsi="Times New Roman"/>
      <w:b/>
      <w:bCs/>
      <w:kern w:val="2"/>
      <w:sz w:val="32"/>
      <w:szCs w:val="32"/>
    </w:rPr>
  </w:style>
  <w:style w:type="paragraph" w:customStyle="1" w:styleId="34">
    <w:name w:val="TOC Heading"/>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autoRedefine/>
    <w:qFormat/>
    <w:uiPriority w:val="0"/>
    <w:pPr>
      <w:spacing w:line="360" w:lineRule="auto"/>
    </w:pPr>
    <w:rPr>
      <w:rFonts w:ascii="??" w:hAnsi="??" w:eastAsia="宋体"/>
      <w:color w:val="000000"/>
      <w:kern w:val="0"/>
      <w:sz w:val="28"/>
      <w:szCs w:val="21"/>
      <w:lang w:val="zh-CN" w:eastAsia="zh-CN"/>
    </w:rPr>
  </w:style>
  <w:style w:type="paragraph" w:customStyle="1" w:styleId="36">
    <w:name w:val="〖B02〗二级标题"/>
    <w:next w:val="1"/>
    <w:autoRedefine/>
    <w:qFormat/>
    <w:uiPriority w:val="99"/>
    <w:pPr>
      <w:widowControl w:val="0"/>
      <w:numPr>
        <w:ilvl w:val="0"/>
        <w:numId w:val="1"/>
      </w:numPr>
      <w:spacing w:line="600" w:lineRule="exact"/>
      <w:outlineLvl w:val="1"/>
    </w:pPr>
    <w:rPr>
      <w:rFonts w:ascii="楷体_GB2312" w:hAnsi="Calibri" w:eastAsia="楷体_GB2312" w:cs="Times New Roman"/>
      <w:kern w:val="2"/>
      <w:sz w:val="32"/>
      <w:szCs w:val="21"/>
      <w:lang w:val="zh-CN" w:eastAsia="zh-CN" w:bidi="ar-SA"/>
    </w:rPr>
  </w:style>
  <w:style w:type="paragraph" w:customStyle="1" w:styleId="37">
    <w:name w:val="汇政正文-最终版"/>
    <w:basedOn w:val="1"/>
    <w:autoRedefine/>
    <w:qFormat/>
    <w:uiPriority w:val="3"/>
    <w:pPr>
      <w:spacing w:line="600" w:lineRule="exact"/>
      <w:ind w:firstLine="200" w:firstLineChars="200"/>
    </w:pPr>
    <w:rPr>
      <w:rFonts w:eastAsia="仿宋_GB2312"/>
      <w:kern w:val="0"/>
      <w:szCs w:val="28"/>
      <w:lang w:val="zh-CN"/>
    </w:rPr>
  </w:style>
  <w:style w:type="paragraph" w:customStyle="1" w:styleId="38">
    <w:name w:val="〖B01〗一级标题"/>
    <w:next w:val="1"/>
    <w:autoRedefine/>
    <w:qFormat/>
    <w:uiPriority w:val="99"/>
    <w:pPr>
      <w:numPr>
        <w:ilvl w:val="0"/>
        <w:numId w:val="2"/>
      </w:numPr>
      <w:topLinePunct/>
      <w:spacing w:line="600" w:lineRule="exact"/>
      <w:outlineLvl w:val="0"/>
    </w:pPr>
    <w:rPr>
      <w:rFonts w:ascii="黑体" w:hAnsi="Calibri" w:eastAsia="黑体" w:cs="Times New Roman"/>
      <w:kern w:val="2"/>
      <w:sz w:val="32"/>
      <w:szCs w:val="32"/>
      <w:lang w:val="en-US" w:eastAsia="zh-CN" w:bidi="ar-SA"/>
    </w:rPr>
  </w:style>
  <w:style w:type="paragraph" w:customStyle="1" w:styleId="39">
    <w:name w:val="汇政正文"/>
    <w:basedOn w:val="1"/>
    <w:autoRedefine/>
    <w:qFormat/>
    <w:uiPriority w:val="3"/>
    <w:pPr>
      <w:spacing w:line="600" w:lineRule="exact"/>
      <w:ind w:firstLine="640" w:firstLineChars="200"/>
    </w:pPr>
    <w:rPr>
      <w:rFonts w:eastAsia="仿宋_GB2312"/>
      <w:kern w:val="0"/>
      <w:szCs w:val="28"/>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24&#24180;&#20915;&#31639;&#20844;&#24320;\&#20915;&#31639;&#20844;&#24320;&#38468;&#22270;(&#27169;&#26495;)&#20165;&#20379;&#21442;&#3277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24&#24180;&#20915;&#31639;&#20844;&#24320;\&#20915;&#31639;&#20844;&#24320;&#38468;&#22270;(&#27169;&#26495;)&#20165;&#20379;&#21442;&#3277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24&#24180;&#20915;&#31639;&#20844;&#24320;\&#20915;&#31639;&#20844;&#24320;&#38468;&#22270;(&#27169;&#26495;)&#20165;&#20379;&#21442;&#3277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Desktop\24&#24180;&#20915;&#31639;&#20844;&#24320;\&#20915;&#31639;&#20844;&#24320;&#38468;&#22270;(&#27169;&#26495;)&#20165;&#20379;&#21442;&#3277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Desktop\24&#24180;&#20915;&#31639;&#20844;&#24320;\&#20915;&#31639;&#20844;&#24320;&#38468;&#22270;(&#27169;&#26495;)&#20165;&#20379;&#21442;&#3277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Desktop\24&#24180;&#20915;&#31639;&#20844;&#24320;\&#20915;&#31639;&#20844;&#24320;&#38468;&#22270;(&#27169;&#26495;)&#20165;&#20379;&#21442;&#327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ltLang="en-US"/>
              <a:t>收、支决算总计变动情况图</a:t>
            </a:r>
            <a:endParaRPr lang="zh-CN" altLang="en-US"/>
          </a:p>
        </c:rich>
      </c:tx>
      <c:layout/>
      <c:overlay val="0"/>
    </c:title>
    <c:autoTitleDeleted val="0"/>
    <c:plotArea>
      <c:layout/>
      <c:barChart>
        <c:barDir val="col"/>
        <c:grouping val="clustered"/>
        <c:varyColors val="0"/>
        <c:ser>
          <c:idx val="0"/>
          <c:order val="0"/>
          <c:tx>
            <c:strRef>
              <c:f>'[决算公开附图(模板)仅供参考.xlsx]收、支决算总计变动情况图1'!$C$4</c:f>
              <c:strCache>
                <c:ptCount val="1"/>
                <c:pt idx="0">
                  <c:v>金额</c:v>
                </c:pt>
              </c:strCache>
            </c:strRef>
          </c:tx>
          <c:invertIfNegative val="0"/>
          <c:dPt>
            <c:idx val="1"/>
            <c:invertIfNegative val="0"/>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'[决算公开附图(模板)仅供参考.xlsx]收、支决算总计变动情况图1'!$B$5:$B$6</c:f>
              <c:strCache>
                <c:ptCount val="2"/>
                <c:pt idx="0">
                  <c:v>2023年</c:v>
                </c:pt>
                <c:pt idx="1">
                  <c:v>2024年</c:v>
                </c:pt>
              </c:strCache>
            </c:strRef>
          </c:cat>
          <c:val>
            <c:numRef>
              <c:f>'[决算公开附图(模板)仅供参考.xlsx]收、支决算总计变动情况图1'!$C$5:$C$6</c:f>
              <c:numCache>
                <c:formatCode>0.00_ </c:formatCode>
                <c:ptCount val="2"/>
                <c:pt idx="0">
                  <c:v>193.39</c:v>
                </c:pt>
                <c:pt idx="1">
                  <c:v>200.87</c:v>
                </c:pt>
              </c:numCache>
            </c:numRef>
          </c:val>
        </c:ser>
        <c:dLbls>
          <c:showLegendKey val="0"/>
          <c:showVal val="1"/>
          <c:showCatName val="0"/>
          <c:showSerName val="0"/>
          <c:showPercent val="0"/>
          <c:showBubbleSize val="0"/>
        </c:dLbls>
        <c:gapWidth val="150"/>
        <c:axId val="57603200"/>
        <c:axId val="57604736"/>
      </c:barChart>
      <c:catAx>
        <c:axId val="5760320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57604736"/>
        <c:crosses val="autoZero"/>
        <c:auto val="1"/>
        <c:lblAlgn val="ctr"/>
        <c:lblOffset val="100"/>
        <c:noMultiLvlLbl val="0"/>
      </c:catAx>
      <c:valAx>
        <c:axId val="57604736"/>
        <c:scaling>
          <c:orientation val="minMax"/>
        </c:scaling>
        <c:delete val="0"/>
        <c:axPos val="l"/>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57603200"/>
        <c:crosses val="autoZero"/>
        <c:crossBetween val="between"/>
      </c:valAx>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extLst>
      <c:ext uri="{0b15fc19-7d7d-44ad-8c2d-2c3a37ce22c3}">
        <chartProps xmlns="https://web.wps.cn/et/2018/main" chartId="{e34c99b1-f0be-4c42-abdf-fdf187407b55}"/>
      </c:ext>
    </c:extLst>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en-US"/>
              <a:t>2024</a:t>
            </a:r>
            <a:r>
              <a:rPr lang="zh-CN"/>
              <a:t>年收入决算结构图</a:t>
            </a:r>
            <a:endParaRPr lang="zh-CN"/>
          </a:p>
        </c:rich>
      </c:tx>
      <c:layout/>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'[决算公开附图(模板)仅供参考.xlsx]收入决算结构图2'!$B$6</c:f>
              <c:strCache>
                <c:ptCount val="1"/>
                <c:pt idx="0">
                  <c:v>占比</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extLst>
                <c:ext xmlns:c15="http://schemas.microsoft.com/office/drawing/2012/chart" uri="{02D57815-91ED-43cb-92C2-25804820EDAC}">
                  <c15:fullRef>
                    <c15:sqref>'[决算公开附图(模板)仅供参考.xlsx]收入决算结构图2'!$A$7:$A$9</c15:sqref>
                  </c15:fullRef>
                </c:ext>
              </c:extLst>
              <c:f>'[决算公开附图(模板)仅供参考.xlsx]收入决算结构图2'!$A$7</c:f>
              <c:strCache>
                <c:ptCount val="1"/>
                <c:pt idx="0">
                  <c:v>一般公共预算财政拨款收入200.87万元</c:v>
                </c:pt>
              </c:strCache>
            </c:strRef>
          </c:cat>
          <c:val>
            <c:numRef>
              <c:extLst>
                <c:ext xmlns:c15="http://schemas.microsoft.com/office/drawing/2012/chart" uri="{02D57815-91ED-43cb-92C2-25804820EDAC}">
                  <c15:fullRef>
                    <c15:sqref>收入决算结构图2!$B$7:$B$9</c15:sqref>
                  </c15:fullRef>
                </c:ext>
              </c:extLst>
              <c:f>'[决算公开附图(模板)仅供参考.xlsx]收入决算结构图2'!$B$7</c:f>
              <c:numCache>
                <c:formatCode>0.00%</c:formatCode>
                <c:ptCount val="1"/>
                <c:pt idx="0">
                  <c:v>1</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extLst>
      <c:ext uri="{0b15fc19-7d7d-44ad-8c2d-2c3a37ce22c3}">
        <chartProps xmlns="https://web.wps.cn/et/2018/main" chartId="{ea7bfd2f-5413-49b4-9144-2c9912d3374b}"/>
      </c:ext>
    </c:extLst>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en-US"/>
              <a:t>2024</a:t>
            </a:r>
            <a:r>
              <a:rPr lang="zh-CN"/>
              <a:t>年支出决算结构图</a:t>
            </a:r>
            <a:endParaRPr lang="zh-CN"/>
          </a:p>
        </c:rich>
      </c:tx>
      <c:layout/>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'[决算公开附图(模板)仅供参考.xlsx]支出决算结构图3'!$B$9</c:f>
              <c:strCache>
                <c:ptCount val="1"/>
                <c:pt idx="0">
                  <c:v>占比</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'[决算公开附图(模板)仅供参考.xlsx]支出决算结构图3'!$A$10:$A$11</c:f>
              <c:strCache>
                <c:ptCount val="2"/>
                <c:pt idx="0">
                  <c:v>基本支出183.65万元</c:v>
                </c:pt>
                <c:pt idx="1">
                  <c:v>项目支出17.22万元</c:v>
                </c:pt>
              </c:strCache>
            </c:strRef>
          </c:cat>
          <c:val>
            <c:numRef>
              <c:f>'[决算公开附图(模板)仅供参考.xlsx]支出决算结构图3'!$B$10:$B$11</c:f>
              <c:numCache>
                <c:formatCode>0.00%</c:formatCode>
                <c:ptCount val="2"/>
                <c:pt idx="0">
                  <c:v>0.914272912829193</c:v>
                </c:pt>
                <c:pt idx="1">
                  <c:v>0.085727087170807</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extLst>
      <c:ext uri="{0b15fc19-7d7d-44ad-8c2d-2c3a37ce22c3}">
        <chartProps xmlns="https://web.wps.cn/et/2018/main" chartId="{e34228a6-03a8-4067-8f5a-3547945f93f1}"/>
      </c:ext>
    </c:extLst>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ltLang="en-US"/>
              <a:t>收、支决算总计变动情况图</a:t>
            </a:r>
            <a:endParaRPr lang="zh-CN" altLang="en-US"/>
          </a:p>
        </c:rich>
      </c:tx>
      <c:layout>
        <c:manualLayout>
          <c:xMode val="edge"/>
          <c:yMode val="edge"/>
          <c:x val="0.235160363810436"/>
          <c:y val="0.0209580838323353"/>
        </c:manualLayout>
      </c:layout>
      <c:overlay val="0"/>
    </c:title>
    <c:autoTitleDeleted val="0"/>
    <c:plotArea>
      <c:layout/>
      <c:barChart>
        <c:barDir val="col"/>
        <c:grouping val="clustered"/>
        <c:varyColors val="0"/>
        <c:ser>
          <c:idx val="0"/>
          <c:order val="0"/>
          <c:tx>
            <c:strRef>
              <c:f>'[决算公开附图(模板)仅供参考.xlsx]财政拨款收、支决算总计变动情况图4'!$C$4</c:f>
              <c:strCache>
                <c:ptCount val="1"/>
                <c:pt idx="0">
                  <c:v>金额</c:v>
                </c:pt>
              </c:strCache>
            </c:strRef>
          </c:tx>
          <c:invertIfNegative val="0"/>
          <c:dPt>
            <c:idx val="1"/>
            <c:invertIfNegative val="0"/>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'[决算公开附图(模板)仅供参考.xlsx]财政拨款收、支决算总计变动情况图4'!$B$5:$B$6</c:f>
              <c:strCache>
                <c:ptCount val="2"/>
                <c:pt idx="0">
                  <c:v>2023年</c:v>
                </c:pt>
                <c:pt idx="1">
                  <c:v>2024年</c:v>
                </c:pt>
              </c:strCache>
            </c:strRef>
          </c:cat>
          <c:val>
            <c:numRef>
              <c:f>'[决算公开附图(模板)仅供参考.xlsx]财政拨款收、支决算总计变动情况图4'!$C$5:$C$6</c:f>
              <c:numCache>
                <c:formatCode>0.00_ </c:formatCode>
                <c:ptCount val="2"/>
                <c:pt idx="0">
                  <c:v>193.39</c:v>
                </c:pt>
                <c:pt idx="1">
                  <c:v>200.87</c:v>
                </c:pt>
              </c:numCache>
            </c:numRef>
          </c:val>
        </c:ser>
        <c:dLbls>
          <c:showLegendKey val="0"/>
          <c:showVal val="1"/>
          <c:showCatName val="0"/>
          <c:showSerName val="0"/>
          <c:showPercent val="0"/>
          <c:showBubbleSize val="0"/>
        </c:dLbls>
        <c:gapWidth val="150"/>
        <c:axId val="57603200"/>
        <c:axId val="57604736"/>
      </c:barChart>
      <c:catAx>
        <c:axId val="5760320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57604736"/>
        <c:crosses val="autoZero"/>
        <c:auto val="1"/>
        <c:lblAlgn val="ctr"/>
        <c:lblOffset val="100"/>
        <c:noMultiLvlLbl val="0"/>
      </c:catAx>
      <c:valAx>
        <c:axId val="57604736"/>
        <c:scaling>
          <c:orientation val="minMax"/>
        </c:scaling>
        <c:delete val="0"/>
        <c:axPos val="l"/>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57603200"/>
        <c:crosses val="autoZero"/>
        <c:crossBetween val="between"/>
      </c:valAx>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extLst>
      <c:ext uri="{0b15fc19-7d7d-44ad-8c2d-2c3a37ce22c3}">
        <chartProps xmlns="https://web.wps.cn/et/2018/main" chartId="{7fa625f4-6547-4de6-baaf-6b7374ec070b}"/>
      </c:ext>
    </c:extLst>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ltLang="en-US"/>
              <a:t>收、支决算总计变动情况图</a:t>
            </a:r>
            <a:endParaRPr lang="zh-CN" altLang="en-US"/>
          </a:p>
        </c:rich>
      </c:tx>
      <c:layout/>
      <c:overlay val="0"/>
    </c:title>
    <c:autoTitleDeleted val="0"/>
    <c:plotArea>
      <c:layout/>
      <c:barChart>
        <c:barDir val="col"/>
        <c:grouping val="clustered"/>
        <c:varyColors val="0"/>
        <c:ser>
          <c:idx val="0"/>
          <c:order val="0"/>
          <c:tx>
            <c:strRef>
              <c:f>'[决算公开附图(模板)仅供参考.xlsx]一般公共预算财政拨款收、支决算总计变动情况图5'!$C$4</c:f>
              <c:strCache>
                <c:ptCount val="1"/>
                <c:pt idx="0">
                  <c:v>金额</c:v>
                </c:pt>
              </c:strCache>
            </c:strRef>
          </c:tx>
          <c:invertIfNegative val="0"/>
          <c:dPt>
            <c:idx val="1"/>
            <c:invertIfNegative val="0"/>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'[决算公开附图(模板)仅供参考.xlsx]一般公共预算财政拨款收、支决算总计变动情况图5'!$B$5:$B$6</c:f>
              <c:strCache>
                <c:ptCount val="2"/>
                <c:pt idx="0">
                  <c:v>2023年</c:v>
                </c:pt>
                <c:pt idx="1">
                  <c:v>2024年</c:v>
                </c:pt>
              </c:strCache>
            </c:strRef>
          </c:cat>
          <c:val>
            <c:numRef>
              <c:f>'[决算公开附图(模板)仅供参考.xlsx]一般公共预算财政拨款收、支决算总计变动情况图5'!$C$5:$C$6</c:f>
              <c:numCache>
                <c:formatCode>0.00_ </c:formatCode>
                <c:ptCount val="2"/>
                <c:pt idx="0">
                  <c:v>193.39</c:v>
                </c:pt>
                <c:pt idx="1">
                  <c:v>200.87</c:v>
                </c:pt>
              </c:numCache>
            </c:numRef>
          </c:val>
        </c:ser>
        <c:dLbls>
          <c:showLegendKey val="0"/>
          <c:showVal val="1"/>
          <c:showCatName val="0"/>
          <c:showSerName val="0"/>
          <c:showPercent val="0"/>
          <c:showBubbleSize val="0"/>
        </c:dLbls>
        <c:gapWidth val="150"/>
        <c:axId val="57603200"/>
        <c:axId val="57604736"/>
      </c:barChart>
      <c:catAx>
        <c:axId val="5760320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57604736"/>
        <c:crosses val="autoZero"/>
        <c:auto val="1"/>
        <c:lblAlgn val="ctr"/>
        <c:lblOffset val="100"/>
        <c:noMultiLvlLbl val="0"/>
      </c:catAx>
      <c:valAx>
        <c:axId val="57604736"/>
        <c:scaling>
          <c:orientation val="minMax"/>
        </c:scaling>
        <c:delete val="0"/>
        <c:axPos val="l"/>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57603200"/>
        <c:crosses val="autoZero"/>
        <c:crossBetween val="between"/>
      </c:valAx>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extLst>
      <c:ext uri="{0b15fc19-7d7d-44ad-8c2d-2c3a37ce22c3}">
        <chartProps xmlns="https://web.wps.cn/et/2018/main" chartId="{3a468330-c216-4904-96b3-fe90e47cf858}"/>
      </c:ext>
    </c:extLst>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en-US"/>
              <a:t>2024</a:t>
            </a:r>
            <a:r>
              <a:rPr lang="zh-CN"/>
              <a:t>年一般公共预算</a:t>
            </a:r>
            <a:r>
              <a:rPr lang="zh-CN" altLang="en-US"/>
              <a:t>财政拨款支出决算</a:t>
            </a:r>
            <a:r>
              <a:rPr lang="zh-CN"/>
              <a:t>结构图</a:t>
            </a:r>
            <a:endParaRPr lang="zh-CN"/>
          </a:p>
        </c:rich>
      </c:tx>
      <c:layout/>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'[决算公开附图(模板)仅供参考.xlsx]一般公共预算财政拨款支出决算结构图6'!$A$9:$A$11</c:f>
              <c:strCache>
                <c:ptCount val="3"/>
                <c:pt idx="0">
                  <c:v>社会保障和就业支出180.68万元</c:v>
                </c:pt>
                <c:pt idx="1">
                  <c:v>卫生健康支出5.19万元</c:v>
                </c:pt>
                <c:pt idx="2">
                  <c:v>住房保障支出15万元</c:v>
                </c:pt>
              </c:strCache>
            </c:strRef>
          </c:cat>
          <c:val>
            <c:numRef>
              <c:f>'[决算公开附图(模板)仅供参考.xlsx]一般公共预算财政拨款支出决算结构图6'!$B$9:$B$11</c:f>
              <c:numCache>
                <c:formatCode>0.00%</c:formatCode>
                <c:ptCount val="3"/>
                <c:pt idx="0">
                  <c:v>0.89948723054712</c:v>
                </c:pt>
                <c:pt idx="1">
                  <c:v>0.0258376064121073</c:v>
                </c:pt>
                <c:pt idx="2">
                  <c:v>0.0746751630407726</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extLst>
      <c:ext uri="{0b15fc19-7d7d-44ad-8c2d-2c3a37ce22c3}">
        <chartProps xmlns="https://web.wps.cn/et/2018/main" chartId="{3c393c67-dbda-4087-9064-4c74f026b4ea}"/>
      </c:ext>
    </c:extLst>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4439</Words>
  <Characters>4803</Characters>
  <Lines>61</Lines>
  <Paragraphs>17</Paragraphs>
  <TotalTime>1</TotalTime>
  <ScaleCrop>false</ScaleCrop>
  <LinksUpToDate>false</LinksUpToDate>
  <CharactersWithSpaces>4975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简1387767049</cp:lastModifiedBy>
  <cp:lastPrinted>2025-08-06T17:34:00Z</cp:lastPrinted>
  <dcterms:modified xsi:type="dcterms:W3CDTF">2025-10-29T02:26:22Z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C77A9E8E52C245569E9FC904D17C7330_13</vt:lpwstr>
  </property>
  <property fmtid="{D5CDD505-2E9C-101B-9397-08002B2CF9AE}" pid="4" name="KSOTemplateDocerSaveRecord">
    <vt:lpwstr>eyJoZGlkIjoiM2IzZjM0ZWM5MmZkMjI2ZjIxMWRhMThlYjVjNGNmYjMiLCJ1c2VySWQiOiI5ODI2NDQ4In0=</vt:lpwstr>
  </property>
</Properties>
</file>