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BBAD8B">
      <w:pPr>
        <w:spacing w:line="600" w:lineRule="exact"/>
        <w:jc w:val="left"/>
        <w:outlineLvl w:val="0"/>
        <w:rPr>
          <w:rFonts w:ascii="方正小标宋简体" w:hAnsi="宋体" w:eastAsia="方正小标宋简体"/>
          <w:szCs w:val="21"/>
        </w:rPr>
      </w:pPr>
      <w:bookmarkStart w:id="0" w:name="_Toc15306267"/>
    </w:p>
    <w:p w14:paraId="0359E6A6">
      <w:pPr>
        <w:pStyle w:val="8"/>
        <w:spacing w:before="93"/>
      </w:pPr>
    </w:p>
    <w:p w14:paraId="5392CD1A">
      <w:pPr>
        <w:spacing w:line="600" w:lineRule="exact"/>
        <w:jc w:val="center"/>
        <w:outlineLvl w:val="0"/>
        <w:rPr>
          <w:rFonts w:ascii="方正小标宋简体" w:hAnsi="宋体" w:eastAsia="方正小标宋简体"/>
          <w:sz w:val="72"/>
          <w:szCs w:val="72"/>
        </w:rPr>
      </w:pPr>
    </w:p>
    <w:p w14:paraId="1F96054F">
      <w:pPr>
        <w:spacing w:line="600" w:lineRule="exact"/>
        <w:jc w:val="center"/>
        <w:outlineLvl w:val="0"/>
        <w:rPr>
          <w:rFonts w:ascii="方正小标宋简体" w:hAnsi="宋体" w:eastAsia="方正小标宋简体"/>
          <w:sz w:val="72"/>
          <w:szCs w:val="72"/>
        </w:rPr>
      </w:pPr>
    </w:p>
    <w:p w14:paraId="566066CF">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96597"/>
      <w:bookmarkStart w:id="2" w:name="_Toc15377425"/>
      <w:bookmarkStart w:id="3" w:name="_Toc15377193"/>
      <w:bookmarkStart w:id="4" w:name="_Toc15378441"/>
      <w:bookmarkStart w:id="5" w:name="_Toc15396475"/>
      <w:r>
        <w:rPr>
          <w:rFonts w:hint="eastAsia" w:ascii="方正小标宋简体" w:hAnsi="方正小标宋简体" w:eastAsia="方正小标宋简体" w:cs="方正小标宋简体"/>
          <w:sz w:val="72"/>
          <w:szCs w:val="72"/>
        </w:rPr>
        <w:t>202</w:t>
      </w:r>
      <w:r>
        <w:rPr>
          <w:rFonts w:hint="eastAsia" w:ascii="方正小标宋简体" w:hAnsi="方正小标宋简体" w:eastAsia="方正小标宋简体" w:cs="方正小标宋简体"/>
          <w:sz w:val="72"/>
          <w:szCs w:val="72"/>
          <w:lang w:val="en-US" w:eastAsia="zh-CN"/>
        </w:rPr>
        <w:t>4</w:t>
      </w:r>
      <w:r>
        <w:rPr>
          <w:rFonts w:hint="eastAsia" w:ascii="方正小标宋简体" w:hAnsi="方正小标宋简体" w:eastAsia="方正小标宋简体" w:cs="方正小标宋简体"/>
          <w:sz w:val="72"/>
          <w:szCs w:val="72"/>
        </w:rPr>
        <w:t>年度</w:t>
      </w:r>
      <w:bookmarkEnd w:id="1"/>
      <w:bookmarkEnd w:id="2"/>
      <w:bookmarkEnd w:id="3"/>
      <w:bookmarkEnd w:id="4"/>
      <w:bookmarkEnd w:id="5"/>
    </w:p>
    <w:bookmarkEnd w:id="0"/>
    <w:p w14:paraId="6ACCD9FF">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96598"/>
      <w:bookmarkStart w:id="7" w:name="_Toc15377426"/>
      <w:bookmarkStart w:id="8" w:name="_Toc15396476"/>
      <w:bookmarkStart w:id="9" w:name="_Toc15378442"/>
      <w:bookmarkStart w:id="10" w:name="_Toc15306268"/>
      <w:bookmarkStart w:id="11" w:name="_Toc15377194"/>
      <w:r>
        <w:rPr>
          <w:rFonts w:hint="eastAsia" w:ascii="方正小标宋简体" w:hAnsi="方正小标宋简体" w:eastAsia="方正小标宋简体" w:cs="方正小标宋简体"/>
          <w:sz w:val="72"/>
          <w:szCs w:val="72"/>
        </w:rPr>
        <w:t>乐山市市中区社会保险事务中心单位决算</w:t>
      </w:r>
      <w:bookmarkEnd w:id="6"/>
      <w:bookmarkEnd w:id="7"/>
      <w:bookmarkEnd w:id="8"/>
      <w:bookmarkEnd w:id="9"/>
      <w:bookmarkEnd w:id="10"/>
      <w:bookmarkEnd w:id="11"/>
    </w:p>
    <w:p w14:paraId="0533C4F1">
      <w:pPr>
        <w:adjustRightInd w:val="0"/>
        <w:snapToGrid w:val="0"/>
        <w:spacing w:line="360" w:lineRule="auto"/>
        <w:jc w:val="center"/>
        <w:outlineLvl w:val="0"/>
        <w:rPr>
          <w:rFonts w:ascii="方正小标宋简体" w:hAnsi="宋体" w:eastAsia="方正小标宋简体"/>
          <w:sz w:val="52"/>
          <w:szCs w:val="52"/>
        </w:rPr>
      </w:pPr>
    </w:p>
    <w:p w14:paraId="5FA2859C">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62776F0C">
      <w:pPr>
        <w:widowControl/>
        <w:jc w:val="center"/>
        <w:rPr>
          <w:rFonts w:ascii="黑体" w:hAnsi="黑体" w:eastAsia="黑体" w:cstheme="minorBidi"/>
          <w:sz w:val="28"/>
          <w:szCs w:val="28"/>
        </w:rPr>
      </w:pPr>
    </w:p>
    <w:p w14:paraId="14743257">
      <w:pPr>
        <w:pStyle w:val="13"/>
        <w:rPr>
          <w:rFonts w:hint="eastAsia"/>
        </w:rPr>
      </w:pPr>
      <w:r>
        <w:rPr>
          <w:rFonts w:hint="eastAsia"/>
        </w:rPr>
        <w:t>公开时间：202</w:t>
      </w:r>
      <w:r>
        <w:rPr>
          <w:rFonts w:hint="eastAsia"/>
          <w:lang w:val="en-US" w:eastAsia="zh-CN"/>
        </w:rPr>
        <w:t>5</w:t>
      </w:r>
      <w:r>
        <w:rPr>
          <w:rFonts w:hint="eastAsia"/>
        </w:rPr>
        <w:t>年10月</w:t>
      </w:r>
      <w:r>
        <w:rPr>
          <w:rFonts w:hint="eastAsia"/>
          <w:lang w:val="en-US" w:eastAsia="zh-CN"/>
        </w:rPr>
        <w:t>29</w:t>
      </w:r>
      <w:r>
        <w:rPr>
          <w:rFonts w:hint="eastAsia"/>
        </w:rPr>
        <w:t>日</w:t>
      </w:r>
    </w:p>
    <w:p w14:paraId="3023C214">
      <w:pPr>
        <w:pStyle w:val="13"/>
        <w:keepNext w:val="0"/>
        <w:keepLines w:val="0"/>
        <w:pageBreakBefore w:val="0"/>
        <w:widowControl w:val="0"/>
        <w:tabs>
          <w:tab w:val="clear" w:pos="8296"/>
        </w:tabs>
        <w:kinsoku/>
        <w:wordWrap/>
        <w:overflowPunct/>
        <w:topLinePunct w:val="0"/>
        <w:autoSpaceDE/>
        <w:autoSpaceDN/>
        <w:bidi w:val="0"/>
        <w:adjustRightInd w:val="0"/>
        <w:snapToGrid w:val="0"/>
        <w:spacing w:before="0" w:line="560" w:lineRule="exact"/>
        <w:ind w:right="0" w:rightChars="0"/>
        <w:jc w:val="both"/>
        <w:textAlignment w:val="auto"/>
        <w:rPr>
          <w:rFonts w:hint="default"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rPr>
        <w:t xml:space="preserve">第一部分 </w:t>
      </w:r>
      <w:r>
        <w:rPr>
          <w:rFonts w:hint="eastAsia" w:ascii="Times New Roman" w:hAnsi="Times New Roman" w:eastAsia="黑体" w:cs="黑体"/>
          <w:color w:val="auto"/>
          <w:sz w:val="32"/>
          <w:szCs w:val="32"/>
          <w:highlight w:val="none"/>
          <w:lang w:eastAsia="zh-CN"/>
        </w:rPr>
        <w:t>单位</w:t>
      </w:r>
      <w:r>
        <w:rPr>
          <w:rFonts w:hint="eastAsia" w:ascii="Times New Roman" w:hAnsi="Times New Roman" w:eastAsia="黑体" w:cs="黑体"/>
          <w:color w:val="auto"/>
          <w:sz w:val="32"/>
          <w:szCs w:val="32"/>
          <w:highlight w:val="none"/>
        </w:rPr>
        <w:t>概况</w:t>
      </w:r>
      <w:r>
        <w:rPr>
          <w:rFonts w:hint="eastAsia" w:ascii="Times New Roman" w:hAnsi="Times New Roman" w:eastAsia="仿宋_GB2312" w:cs="仿宋_GB2312"/>
          <w:color w:val="auto"/>
          <w:sz w:val="32"/>
          <w:szCs w:val="32"/>
          <w:highlight w:val="none"/>
          <w:lang w:val="en-US" w:eastAsia="zh-CN"/>
        </w:rPr>
        <w:t xml:space="preserve"> …………………………</w:t>
      </w:r>
      <w:bookmarkStart w:id="67" w:name="_GoBack"/>
      <w:bookmarkEnd w:id="67"/>
      <w:r>
        <w:rPr>
          <w:rFonts w:hint="eastAsia" w:ascii="Times New Roman" w:hAnsi="Times New Roman" w:eastAsia="仿宋_GB2312" w:cs="仿宋_GB2312"/>
          <w:color w:val="auto"/>
          <w:sz w:val="32"/>
          <w:szCs w:val="32"/>
          <w:highlight w:val="none"/>
          <w:lang w:val="en-US" w:eastAsia="zh-CN"/>
        </w:rPr>
        <w:t>…………………4</w:t>
      </w:r>
    </w:p>
    <w:p w14:paraId="7529C6B7">
      <w:pPr>
        <w:pStyle w:val="14"/>
        <w:keepNext w:val="0"/>
        <w:keepLines w:val="0"/>
        <w:pageBreakBefore w:val="0"/>
        <w:widowControl w:val="0"/>
        <w:tabs>
          <w:tab w:val="clear" w:pos="8296"/>
        </w:tab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主要职责……………………………………………</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4</w:t>
      </w:r>
    </w:p>
    <w:p w14:paraId="6054D040">
      <w:pPr>
        <w:pStyle w:val="14"/>
        <w:keepNext w:val="0"/>
        <w:keepLines w:val="0"/>
        <w:pageBreakBefore w:val="0"/>
        <w:widowControl w:val="0"/>
        <w:tabs>
          <w:tab w:val="clear" w:pos="8296"/>
        </w:tab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二、机构设置</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5</w:t>
      </w:r>
    </w:p>
    <w:p w14:paraId="454AC01E">
      <w:pPr>
        <w:pStyle w:val="13"/>
        <w:keepNext w:val="0"/>
        <w:keepLines w:val="0"/>
        <w:pageBreakBefore w:val="0"/>
        <w:widowControl w:val="0"/>
        <w:tabs>
          <w:tab w:val="clear" w:pos="8296"/>
        </w:tabs>
        <w:kinsoku/>
        <w:wordWrap/>
        <w:overflowPunct/>
        <w:topLinePunct w:val="0"/>
        <w:autoSpaceDE/>
        <w:autoSpaceDN/>
        <w:bidi w:val="0"/>
        <w:adjustRightInd w:val="0"/>
        <w:snapToGrid w:val="0"/>
        <w:spacing w:before="0" w:line="560" w:lineRule="exact"/>
        <w:ind w:right="-420" w:rightChars="-200"/>
        <w:jc w:val="both"/>
        <w:textAlignment w:val="auto"/>
        <w:rPr>
          <w:rFonts w:hint="default"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2024年度</w:t>
      </w:r>
      <w:r>
        <w:rPr>
          <w:rFonts w:hint="eastAsia" w:ascii="Times New Roman" w:hAnsi="Times New Roman" w:eastAsia="黑体" w:cs="黑体"/>
          <w:color w:val="auto"/>
          <w:sz w:val="32"/>
          <w:szCs w:val="32"/>
          <w:highlight w:val="none"/>
          <w:lang w:eastAsia="zh-CN"/>
        </w:rPr>
        <w:t>单位</w:t>
      </w:r>
      <w:r>
        <w:rPr>
          <w:rFonts w:hint="eastAsia" w:ascii="Times New Roman" w:hAnsi="Times New Roman" w:eastAsia="黑体" w:cs="黑体"/>
          <w:color w:val="auto"/>
          <w:sz w:val="32"/>
          <w:szCs w:val="32"/>
          <w:highlight w:val="none"/>
        </w:rPr>
        <w:t>决算情况说明</w:t>
      </w:r>
      <w:r>
        <w:rPr>
          <w:rFonts w:hint="eastAsia" w:ascii="Times New Roman" w:hAnsi="Times New Roman" w:eastAsia="黑体" w:cs="黑体"/>
          <w:color w:val="auto"/>
          <w:sz w:val="32"/>
          <w:szCs w:val="32"/>
          <w:highlight w:val="none"/>
          <w:lang w:val="en-US" w:eastAsia="zh-CN"/>
        </w:rPr>
        <w:t xml:space="preserve"> </w:t>
      </w:r>
      <w:r>
        <w:rPr>
          <w:rFonts w:hint="eastAsia" w:ascii="Times New Roman" w:hAnsi="Times New Roman" w:eastAsia="仿宋_GB2312" w:cs="仿宋_GB2312"/>
          <w:color w:val="auto"/>
          <w:kern w:val="2"/>
          <w:sz w:val="32"/>
          <w:szCs w:val="32"/>
          <w:highlight w:val="none"/>
          <w:lang w:val="en-US" w:eastAsia="zh-CN" w:bidi="ar-SA"/>
        </w:rPr>
        <w:t>………………………6</w:t>
      </w:r>
    </w:p>
    <w:p w14:paraId="173CCA30">
      <w:pPr>
        <w:pStyle w:val="14"/>
        <w:keepNext w:val="0"/>
        <w:keepLines w:val="0"/>
        <w:pageBreakBefore w:val="0"/>
        <w:widowControl w:val="0"/>
        <w:tabs>
          <w:tab w:val="clear" w:pos="8296"/>
        </w:tab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一、收入支出决算总体情况说明</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6</w:t>
      </w:r>
    </w:p>
    <w:p w14:paraId="5F2D0568">
      <w:pPr>
        <w:pStyle w:val="14"/>
        <w:keepNext w:val="0"/>
        <w:keepLines w:val="0"/>
        <w:pageBreakBefore w:val="0"/>
        <w:widowControl w:val="0"/>
        <w:tabs>
          <w:tab w:val="clear" w:pos="8296"/>
        </w:tab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二、收入决算情况说明</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6</w:t>
      </w:r>
    </w:p>
    <w:p w14:paraId="3338BBAC">
      <w:pPr>
        <w:pStyle w:val="14"/>
        <w:keepNext w:val="0"/>
        <w:keepLines w:val="0"/>
        <w:pageBreakBefore w:val="0"/>
        <w:widowControl w:val="0"/>
        <w:tabs>
          <w:tab w:val="clear" w:pos="8296"/>
        </w:tab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三、支出决算情况说明</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7</w:t>
      </w:r>
    </w:p>
    <w:p w14:paraId="07A862CC">
      <w:pPr>
        <w:pStyle w:val="14"/>
        <w:keepNext w:val="0"/>
        <w:keepLines w:val="0"/>
        <w:pageBreakBefore w:val="0"/>
        <w:widowControl w:val="0"/>
        <w:tabs>
          <w:tab w:val="clear" w:pos="8296"/>
        </w:tab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四、财政拨款收入支出决算总体情况说明</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8</w:t>
      </w:r>
    </w:p>
    <w:p w14:paraId="2B709E66">
      <w:pPr>
        <w:pStyle w:val="14"/>
        <w:keepNext w:val="0"/>
        <w:keepLines w:val="0"/>
        <w:pageBreakBefore w:val="0"/>
        <w:widowControl w:val="0"/>
        <w:tabs>
          <w:tab w:val="clear" w:pos="8296"/>
        </w:tab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五、一般公共预算财政拨款支出决算情况说明</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8</w:t>
      </w:r>
    </w:p>
    <w:p w14:paraId="65C9D235">
      <w:pPr>
        <w:pStyle w:val="14"/>
        <w:keepNext w:val="0"/>
        <w:keepLines w:val="0"/>
        <w:pageBreakBefore w:val="0"/>
        <w:widowControl w:val="0"/>
        <w:tabs>
          <w:tab w:val="clear" w:pos="8296"/>
        </w:tabs>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六、一般公共预算财政拨款基本支出决算情况说明</w:t>
      </w:r>
      <w:r>
        <w:rPr>
          <w:rFonts w:hint="eastAsia"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lang w:val="en-US" w:eastAsia="zh-CN"/>
        </w:rPr>
        <w:t>…12</w:t>
      </w:r>
    </w:p>
    <w:p w14:paraId="5DEFB8A1">
      <w:pPr>
        <w:pStyle w:val="14"/>
        <w:keepNext w:val="0"/>
        <w:keepLines w:val="0"/>
        <w:pageBreakBefore w:val="0"/>
        <w:widowControl w:val="0"/>
        <w:tabs>
          <w:tab w:val="right" w:leader="dot" w:pos="7980"/>
          <w:tab w:val="clear" w:pos="8296"/>
        </w:tabs>
        <w:kinsoku/>
        <w:wordWrap/>
        <w:overflowPunct/>
        <w:topLinePunct w:val="0"/>
        <w:autoSpaceDE/>
        <w:autoSpaceDN/>
        <w:bidi w:val="0"/>
        <w:adjustRightInd w:val="0"/>
        <w:snapToGrid w:val="0"/>
        <w:spacing w:line="560" w:lineRule="exact"/>
        <w:ind w:left="0" w:leftChars="0" w:right="-313" w:rightChars="-149"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r>
        <w:rPr>
          <w:rFonts w:hint="eastAsia"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12</w:t>
      </w:r>
    </w:p>
    <w:p w14:paraId="56A84C32">
      <w:pPr>
        <w:pStyle w:val="14"/>
        <w:keepNext w:val="0"/>
        <w:keepLines w:val="0"/>
        <w:pageBreakBefore w:val="0"/>
        <w:widowControl w:val="0"/>
        <w:tabs>
          <w:tab w:val="right" w:leader="dot" w:pos="7980"/>
          <w:tab w:val="clear" w:pos="8296"/>
        </w:tabs>
        <w:kinsoku/>
        <w:wordWrap/>
        <w:overflowPunct/>
        <w:topLinePunct w:val="0"/>
        <w:autoSpaceDE/>
        <w:autoSpaceDN/>
        <w:bidi w:val="0"/>
        <w:adjustRightInd w:val="0"/>
        <w:snapToGrid w:val="0"/>
        <w:spacing w:line="560" w:lineRule="exact"/>
        <w:ind w:left="0" w:leftChars="0" w:right="-313" w:rightChars="-149"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八、政府性基金预算支出决算情况说明</w:t>
      </w:r>
      <w:r>
        <w:rPr>
          <w:rFonts w:hint="eastAsia" w:ascii="Times New Roman" w:hAnsi="Times New Roman"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14</w:t>
      </w:r>
    </w:p>
    <w:p w14:paraId="62E89973">
      <w:pPr>
        <w:pStyle w:val="14"/>
        <w:keepNext w:val="0"/>
        <w:keepLines w:val="0"/>
        <w:pageBreakBefore w:val="0"/>
        <w:widowControl w:val="0"/>
        <w:tabs>
          <w:tab w:val="right" w:leader="dot" w:pos="7980"/>
          <w:tab w:val="clear" w:pos="8296"/>
        </w:tabs>
        <w:kinsoku/>
        <w:wordWrap/>
        <w:overflowPunct/>
        <w:topLinePunct w:val="0"/>
        <w:autoSpaceDE/>
        <w:autoSpaceDN/>
        <w:bidi w:val="0"/>
        <w:adjustRightInd w:val="0"/>
        <w:snapToGrid w:val="0"/>
        <w:spacing w:line="560" w:lineRule="exact"/>
        <w:ind w:left="0" w:leftChars="0" w:right="-313" w:rightChars="-149" w:firstLine="640" w:firstLineChars="200"/>
        <w:jc w:val="both"/>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r>
        <w:rPr>
          <w:rFonts w:hint="eastAsia" w:ascii="Times New Roman" w:hAnsi="Times New Roman"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1</w:t>
      </w:r>
      <w:r>
        <w:rPr>
          <w:rFonts w:hint="eastAsia" w:eastAsia="仿宋_GB2312" w:cs="仿宋_GB2312"/>
          <w:color w:val="auto"/>
          <w:sz w:val="32"/>
          <w:szCs w:val="32"/>
          <w:highlight w:val="none"/>
          <w:lang w:val="en-US" w:eastAsia="zh-CN"/>
        </w:rPr>
        <w:t>4</w:t>
      </w:r>
    </w:p>
    <w:p w14:paraId="6BE1006A">
      <w:pPr>
        <w:pStyle w:val="14"/>
        <w:keepNext w:val="0"/>
        <w:keepLines w:val="0"/>
        <w:pageBreakBefore w:val="0"/>
        <w:widowControl w:val="0"/>
        <w:tabs>
          <w:tab w:val="right" w:leader="dot" w:pos="7980"/>
          <w:tab w:val="clear" w:pos="8296"/>
        </w:tabs>
        <w:kinsoku/>
        <w:wordWrap/>
        <w:overflowPunct/>
        <w:topLinePunct w:val="0"/>
        <w:autoSpaceDE/>
        <w:autoSpaceDN/>
        <w:bidi w:val="0"/>
        <w:adjustRightInd w:val="0"/>
        <w:snapToGrid w:val="0"/>
        <w:spacing w:line="560" w:lineRule="exact"/>
        <w:ind w:left="0" w:leftChars="0" w:right="-313" w:rightChars="-149" w:firstLine="640" w:firstLineChars="200"/>
        <w:jc w:val="both"/>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r>
        <w:rPr>
          <w:rFonts w:hint="eastAsia" w:ascii="Times New Roman" w:hAnsi="Times New Roman"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lang w:eastAsia="zh-CN"/>
        </w:rPr>
        <w:t>………………………</w:t>
      </w:r>
      <w:r>
        <w:rPr>
          <w:rFonts w:hint="eastAsia"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15</w:t>
      </w:r>
    </w:p>
    <w:p w14:paraId="5E840072">
      <w:pPr>
        <w:pStyle w:val="13"/>
        <w:keepNext w:val="0"/>
        <w:keepLines w:val="0"/>
        <w:pageBreakBefore w:val="0"/>
        <w:widowControl w:val="0"/>
        <w:tabs>
          <w:tab w:val="right" w:leader="dot" w:pos="7980"/>
          <w:tab w:val="clear" w:pos="8296"/>
        </w:tabs>
        <w:kinsoku/>
        <w:wordWrap/>
        <w:overflowPunct/>
        <w:topLinePunct w:val="0"/>
        <w:autoSpaceDE/>
        <w:autoSpaceDN/>
        <w:bidi w:val="0"/>
        <w:adjustRightInd w:val="0"/>
        <w:snapToGrid w:val="0"/>
        <w:spacing w:before="0" w:line="560" w:lineRule="exact"/>
        <w:ind w:right="-313" w:rightChars="-149"/>
        <w:jc w:val="both"/>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第三部分 名词解释</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黑体" w:cs="黑体"/>
          <w:color w:val="auto"/>
          <w:sz w:val="32"/>
          <w:szCs w:val="32"/>
          <w:highlight w:val="none"/>
          <w:lang w:val="en-US" w:eastAsia="zh-CN"/>
        </w:rPr>
        <w:t>17</w:t>
      </w:r>
    </w:p>
    <w:p w14:paraId="05C9DCEF">
      <w:pPr>
        <w:pStyle w:val="13"/>
        <w:keepNext w:val="0"/>
        <w:keepLines w:val="0"/>
        <w:pageBreakBefore w:val="0"/>
        <w:widowControl w:val="0"/>
        <w:tabs>
          <w:tab w:val="right" w:leader="dot" w:pos="7980"/>
          <w:tab w:val="clear" w:pos="8296"/>
        </w:tabs>
        <w:kinsoku/>
        <w:wordWrap/>
        <w:overflowPunct/>
        <w:topLinePunct w:val="0"/>
        <w:autoSpaceDE/>
        <w:autoSpaceDN/>
        <w:bidi w:val="0"/>
        <w:adjustRightInd w:val="0"/>
        <w:snapToGrid w:val="0"/>
        <w:spacing w:before="0" w:line="560" w:lineRule="exact"/>
        <w:ind w:right="-313" w:rightChars="-149"/>
        <w:jc w:val="both"/>
        <w:textAlignment w:val="auto"/>
        <w:rPr>
          <w:rFonts w:hint="default"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rPr>
        <w:t>第四部分 附件</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20</w:t>
      </w:r>
    </w:p>
    <w:p w14:paraId="1DBBCA3E">
      <w:pPr>
        <w:pStyle w:val="13"/>
        <w:keepNext w:val="0"/>
        <w:keepLines w:val="0"/>
        <w:pageBreakBefore w:val="0"/>
        <w:widowControl w:val="0"/>
        <w:tabs>
          <w:tab w:val="right" w:leader="dot" w:pos="7980"/>
          <w:tab w:val="clear" w:pos="8296"/>
        </w:tabs>
        <w:kinsoku/>
        <w:wordWrap/>
        <w:overflowPunct/>
        <w:topLinePunct w:val="0"/>
        <w:autoSpaceDE/>
        <w:autoSpaceDN/>
        <w:bidi w:val="0"/>
        <w:adjustRightInd w:val="0"/>
        <w:snapToGrid w:val="0"/>
        <w:spacing w:before="0" w:line="560" w:lineRule="exact"/>
        <w:ind w:right="0" w:rightChars="0"/>
        <w:jc w:val="both"/>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第五部分 附表</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26</w:t>
      </w:r>
    </w:p>
    <w:p w14:paraId="79F3548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3E254CEC">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6055D325">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14:paraId="4D8ACC4E">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045CD7F4">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718EC1F2">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61747899">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七、一般公共预算财政拨款支出决算明细表</w:t>
      </w:r>
    </w:p>
    <w:p w14:paraId="5A57AC7A">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p>
    <w:p w14:paraId="3C4122AE">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70FD15E8">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4F879D94">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p>
    <w:p w14:paraId="63D8F7A3">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p>
    <w:p w14:paraId="14B5A357">
      <w:pPr>
        <w:pStyle w:val="1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十三、财政拨款“三公”经费支出决算表</w:t>
      </w:r>
      <w:r>
        <w:rPr>
          <w:rFonts w:hint="eastAsia" w:ascii="Times New Roman" w:hAnsi="Times New Roman" w:eastAsia="仿宋_GB2312" w:cs="仿宋_GB2312"/>
          <w:color w:val="auto"/>
          <w:sz w:val="32"/>
          <w:szCs w:val="32"/>
          <w:highlight w:val="none"/>
          <w:lang w:val="en-US" w:eastAsia="zh-CN"/>
        </w:rPr>
        <w:t xml:space="preserve"> </w:t>
      </w:r>
    </w:p>
    <w:p w14:paraId="736B615B">
      <w:pPr>
        <w:rPr>
          <w:rFonts w:hint="eastAsia" w:ascii="Times New Roman" w:hAnsi="Times New Roman" w:eastAsia="仿宋_GB2312" w:cs="仿宋_GB2312"/>
          <w:color w:val="auto"/>
          <w:sz w:val="32"/>
          <w:szCs w:val="32"/>
          <w:highlight w:val="none"/>
          <w:lang w:val="en-US" w:eastAsia="zh-CN"/>
        </w:rPr>
      </w:pPr>
    </w:p>
    <w:p w14:paraId="3E191D41">
      <w:pPr>
        <w:pStyle w:val="2"/>
        <w:rPr>
          <w:rFonts w:hint="eastAsia" w:ascii="Times New Roman" w:hAnsi="Times New Roman" w:eastAsia="仿宋_GB2312" w:cs="仿宋_GB2312"/>
          <w:color w:val="auto"/>
          <w:sz w:val="32"/>
          <w:szCs w:val="32"/>
          <w:highlight w:val="none"/>
          <w:lang w:val="en-US" w:eastAsia="zh-CN"/>
        </w:rPr>
      </w:pPr>
    </w:p>
    <w:p w14:paraId="2D4B8601">
      <w:pPr>
        <w:pStyle w:val="3"/>
        <w:rPr>
          <w:rFonts w:hint="eastAsia" w:ascii="Times New Roman" w:hAnsi="Times New Roman" w:eastAsia="仿宋_GB2312" w:cs="仿宋_GB2312"/>
          <w:color w:val="auto"/>
          <w:sz w:val="32"/>
          <w:szCs w:val="32"/>
          <w:highlight w:val="none"/>
          <w:lang w:val="en-US" w:eastAsia="zh-CN"/>
        </w:rPr>
      </w:pPr>
    </w:p>
    <w:p w14:paraId="749AA821">
      <w:pPr>
        <w:rPr>
          <w:rFonts w:hint="eastAsia" w:ascii="Times New Roman" w:hAnsi="Times New Roman" w:eastAsia="仿宋_GB2312" w:cs="仿宋_GB2312"/>
          <w:color w:val="auto"/>
          <w:sz w:val="32"/>
          <w:szCs w:val="32"/>
          <w:highlight w:val="none"/>
          <w:lang w:val="en-US" w:eastAsia="zh-CN"/>
        </w:rPr>
      </w:pPr>
    </w:p>
    <w:p w14:paraId="36BED99E">
      <w:pPr>
        <w:pStyle w:val="2"/>
        <w:rPr>
          <w:rFonts w:hint="eastAsia" w:ascii="Times New Roman" w:hAnsi="Times New Roman" w:eastAsia="仿宋_GB2312" w:cs="仿宋_GB2312"/>
          <w:color w:val="auto"/>
          <w:sz w:val="32"/>
          <w:szCs w:val="32"/>
          <w:highlight w:val="none"/>
          <w:lang w:val="en-US" w:eastAsia="zh-CN"/>
        </w:rPr>
      </w:pPr>
    </w:p>
    <w:p w14:paraId="211CF617">
      <w:pPr>
        <w:pStyle w:val="3"/>
        <w:rPr>
          <w:rFonts w:hint="eastAsia" w:ascii="Times New Roman" w:hAnsi="Times New Roman" w:eastAsia="仿宋_GB2312" w:cs="仿宋_GB2312"/>
          <w:color w:val="auto"/>
          <w:sz w:val="32"/>
          <w:szCs w:val="32"/>
          <w:highlight w:val="none"/>
          <w:lang w:val="en-US" w:eastAsia="zh-CN"/>
        </w:rPr>
      </w:pPr>
    </w:p>
    <w:p w14:paraId="4E644D67">
      <w:pPr>
        <w:rPr>
          <w:rFonts w:hint="eastAsia" w:ascii="Times New Roman" w:hAnsi="Times New Roman" w:eastAsia="仿宋_GB2312" w:cs="仿宋_GB2312"/>
          <w:color w:val="auto"/>
          <w:sz w:val="32"/>
          <w:szCs w:val="32"/>
          <w:highlight w:val="none"/>
          <w:lang w:val="en-US" w:eastAsia="zh-CN"/>
        </w:rPr>
      </w:pPr>
    </w:p>
    <w:p w14:paraId="0393EAD7">
      <w:pPr>
        <w:pStyle w:val="5"/>
        <w:spacing w:before="0" w:after="0" w:line="240" w:lineRule="auto"/>
        <w:jc w:val="center"/>
        <w:rPr>
          <w:rFonts w:hint="eastAsia" w:ascii="黑体" w:hAnsi="黑体" w:eastAsia="黑体"/>
          <w:b w:val="0"/>
        </w:rPr>
      </w:pPr>
      <w:bookmarkStart w:id="12" w:name="_Toc15377196"/>
      <w:bookmarkStart w:id="13" w:name="_Toc15396599"/>
    </w:p>
    <w:p w14:paraId="50A3F4B7">
      <w:pPr>
        <w:pStyle w:val="5"/>
        <w:jc w:val="center"/>
        <w:rPr>
          <w:rFonts w:hint="eastAsia" w:ascii="黑体" w:hAnsi="黑体" w:eastAsia="黑体"/>
          <w:b w:val="0"/>
        </w:rPr>
      </w:pPr>
    </w:p>
    <w:p w14:paraId="12852A21">
      <w:pPr>
        <w:rPr>
          <w:rFonts w:hint="eastAsia"/>
        </w:rPr>
      </w:pPr>
    </w:p>
    <w:p w14:paraId="10B8E4DD">
      <w:pPr>
        <w:pStyle w:val="5"/>
        <w:jc w:val="center"/>
      </w:pPr>
      <w:r>
        <w:rPr>
          <w:rFonts w:hint="eastAsia" w:ascii="黑体" w:hAnsi="黑体" w:eastAsia="黑体"/>
          <w:b w:val="0"/>
        </w:rPr>
        <w:t>第一部分 单位</w:t>
      </w:r>
      <w:r>
        <w:rPr>
          <w:rStyle w:val="28"/>
          <w:rFonts w:hint="eastAsia" w:ascii="黑体" w:hAnsi="黑体" w:eastAsia="黑体"/>
          <w:b w:val="0"/>
          <w:bCs w:val="0"/>
        </w:rPr>
        <w:t>概况</w:t>
      </w:r>
      <w:bookmarkEnd w:id="12"/>
      <w:bookmarkEnd w:id="13"/>
    </w:p>
    <w:p w14:paraId="74F2158A">
      <w:pPr>
        <w:pStyle w:val="6"/>
        <w:numPr>
          <w:ilvl w:val="0"/>
          <w:numId w:val="1"/>
        </w:numPr>
        <w:rPr>
          <w:rStyle w:val="29"/>
          <w:rFonts w:ascii="黑体" w:hAnsi="黑体" w:eastAsia="黑体"/>
          <w:b w:val="0"/>
          <w:bCs w:val="0"/>
        </w:rPr>
      </w:pPr>
      <w:bookmarkStart w:id="14" w:name="_Toc15396600"/>
      <w:bookmarkStart w:id="15" w:name="_Toc15377197"/>
      <w:r>
        <w:rPr>
          <w:rStyle w:val="29"/>
          <w:rFonts w:hint="eastAsia" w:ascii="黑体" w:hAnsi="黑体" w:eastAsia="黑体"/>
          <w:b w:val="0"/>
          <w:bCs w:val="0"/>
        </w:rPr>
        <w:t>主要职责</w:t>
      </w:r>
    </w:p>
    <w:p w14:paraId="77BC60EA">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1、宣传、贯彻、执行国家、省、市有关社会保险（含养老保险、工伤保险、失业保险，下同）的路线、方针、政策和法律、法规，参与拟订相关实施办法。</w:t>
      </w:r>
    </w:p>
    <w:p w14:paraId="5FB2B4E7">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2、负责贯彻落实全区社会保险事业发展规划、计划。组织开展社会保险经办管理服务工作。</w:t>
      </w:r>
    </w:p>
    <w:p w14:paraId="1489A33C">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3、负责全区范围内社会保险的参保登记、缴费申报及个人参保权益记录查询、关系转续等经办工作。</w:t>
      </w:r>
    </w:p>
    <w:p w14:paraId="08692C7E">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4、负责全区范围内养老保险、工伤保险的待遇核定、基金管理和支付等工作。</w:t>
      </w:r>
    </w:p>
    <w:p w14:paraId="5976829A">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5、负责做好社保扶贫、社保卡管理及全区范围内被征地农民养老保障经办工作。</w:t>
      </w:r>
    </w:p>
    <w:p w14:paraId="1211EC24">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6、认真贯彻执行社会保险基金财务管理制度、会计制度，编制市中区社会保险基金年度预决算和季、月执行报告。</w:t>
      </w:r>
    </w:p>
    <w:p w14:paraId="6C3EC762">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7、负责对全区社会保险参保缴费等工作进行稽核检查。</w:t>
      </w:r>
    </w:p>
    <w:p w14:paraId="4FB090EE">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8、负责制定市中区社会保险经办机构业务操作规范和职工业务培训规划，定期开展培训，提高业务人员业务素质和政治素质。</w:t>
      </w:r>
    </w:p>
    <w:p w14:paraId="2F1B6430">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9、负责制定市中区养老保险待遇领取人员社会化管理服务工作规划，指导街道、镇劳动保障所（站）开展社会化管理服务工作。</w:t>
      </w:r>
    </w:p>
    <w:p w14:paraId="3E60C615">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10、负责开展社会保险法律法规宣传工作，普及社会保险知识。</w:t>
      </w:r>
    </w:p>
    <w:p w14:paraId="36A0978B">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11、承办区政府、区人社局和市社保中心交办的其他工作。</w:t>
      </w:r>
    </w:p>
    <w:p w14:paraId="212FF0B7">
      <w:pPr>
        <w:pStyle w:val="6"/>
        <w:rPr>
          <w:rFonts w:ascii="黑体" w:hAnsi="黑体" w:eastAsia="黑体"/>
          <w:b w:val="0"/>
        </w:rPr>
      </w:pPr>
      <w:r>
        <w:rPr>
          <w:rFonts w:hint="eastAsia" w:ascii="黑体" w:hAnsi="黑体" w:eastAsia="黑体"/>
          <w:b w:val="0"/>
        </w:rPr>
        <w:t>二、机构设置</w:t>
      </w:r>
    </w:p>
    <w:bookmarkEnd w:id="14"/>
    <w:bookmarkEnd w:id="15"/>
    <w:p w14:paraId="1F1477D3">
      <w:pPr>
        <w:numPr>
          <w:ilvl w:val="0"/>
          <w:numId w:val="0"/>
        </w:numPr>
        <w:spacing w:line="520" w:lineRule="exact"/>
        <w:ind w:firstLine="640" w:firstLineChars="200"/>
        <w:jc w:val="both"/>
        <w:rPr>
          <w:rFonts w:hint="eastAsia" w:ascii="仿宋_GB2312" w:hAnsi="仿宋_GB2312" w:eastAsia="仿宋_GB2312" w:cs="仿宋_GB2312"/>
          <w:color w:val="000000"/>
          <w:sz w:val="32"/>
          <w:szCs w:val="32"/>
          <w:highlight w:val="none"/>
          <w:lang w:val="zh-CN" w:eastAsia="zh-CN"/>
        </w:rPr>
      </w:pPr>
      <w:r>
        <w:rPr>
          <w:rFonts w:hint="eastAsia" w:ascii="仿宋_GB2312" w:hAnsi="仿宋_GB2312" w:eastAsia="仿宋_GB2312" w:cs="仿宋_GB2312"/>
          <w:color w:val="000000"/>
          <w:sz w:val="32"/>
          <w:szCs w:val="32"/>
          <w:highlight w:val="none"/>
          <w:lang w:val="zh-CN" w:eastAsia="zh-CN"/>
        </w:rPr>
        <w:t>根据上述职责，乐山市市中区社会保险事务中心设11个内设机构，与去年无变化。分别是办公室、综合业务股、基金财务管理股、审计稽查和信息化建设股、基金征缴股、机关事业养老保险股、城乡居民养老保险股、养老待遇核定股、工伤待遇核定股、待遇支付和人员管理股和被征地农民养老保障股。</w:t>
      </w:r>
    </w:p>
    <w:p w14:paraId="4A2620D8">
      <w:pPr>
        <w:widowControl/>
        <w:jc w:val="left"/>
        <w:rPr>
          <w:rFonts w:ascii="仿宋" w:hAnsi="仿宋" w:eastAsia="仿宋"/>
          <w:kern w:val="0"/>
          <w:sz w:val="32"/>
          <w:szCs w:val="32"/>
        </w:rPr>
      </w:pPr>
      <w:r>
        <w:rPr>
          <w:rFonts w:ascii="仿宋" w:hAnsi="仿宋" w:eastAsia="仿宋"/>
          <w:sz w:val="32"/>
          <w:szCs w:val="32"/>
        </w:rPr>
        <w:br w:type="page"/>
      </w:r>
    </w:p>
    <w:p w14:paraId="28F80137">
      <w:pPr>
        <w:pStyle w:val="5"/>
        <w:ind w:right="440"/>
        <w:jc w:val="center"/>
        <w:rPr>
          <w:rStyle w:val="28"/>
          <w:rFonts w:ascii="黑体" w:hAnsi="黑体" w:eastAsia="黑体"/>
          <w:b w:val="0"/>
          <w:bCs/>
        </w:rPr>
      </w:pPr>
      <w:bookmarkStart w:id="16" w:name="_Toc15396602"/>
      <w:bookmarkStart w:id="17" w:name="_Toc15377204"/>
      <w:r>
        <w:rPr>
          <w:rFonts w:hint="eastAsia" w:ascii="黑体" w:hAnsi="黑体" w:eastAsia="黑体"/>
          <w:b w:val="0"/>
        </w:rPr>
        <w:t>第二部分 202</w:t>
      </w:r>
      <w:r>
        <w:rPr>
          <w:rFonts w:hint="eastAsia" w:ascii="黑体" w:hAnsi="黑体" w:eastAsia="黑体"/>
          <w:b w:val="0"/>
          <w:lang w:val="en-US" w:eastAsia="zh-CN"/>
        </w:rPr>
        <w:t>4</w:t>
      </w:r>
      <w:r>
        <w:rPr>
          <w:rFonts w:hint="eastAsia" w:ascii="黑体" w:hAnsi="黑体" w:eastAsia="黑体"/>
          <w:b w:val="0"/>
        </w:rPr>
        <w:t>年度</w:t>
      </w:r>
      <w:r>
        <w:rPr>
          <w:rStyle w:val="28"/>
          <w:rFonts w:hint="eastAsia" w:ascii="黑体" w:hAnsi="黑体" w:eastAsia="黑体"/>
          <w:b w:val="0"/>
          <w:bCs/>
        </w:rPr>
        <w:t>单位决算情况说明</w:t>
      </w:r>
      <w:bookmarkEnd w:id="16"/>
      <w:bookmarkEnd w:id="17"/>
    </w:p>
    <w:p w14:paraId="32714C78"/>
    <w:p w14:paraId="3F126B5A">
      <w:pPr>
        <w:pStyle w:val="27"/>
        <w:numPr>
          <w:ilvl w:val="0"/>
          <w:numId w:val="2"/>
        </w:numPr>
        <w:spacing w:line="600" w:lineRule="exact"/>
        <w:ind w:firstLineChars="0"/>
        <w:outlineLvl w:val="1"/>
        <w:rPr>
          <w:rStyle w:val="29"/>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29"/>
          <w:rFonts w:hint="eastAsia" w:ascii="黑体" w:hAnsi="黑体" w:eastAsia="黑体"/>
          <w:b w:val="0"/>
        </w:rPr>
        <w:t>入支出决算总体情况说明</w:t>
      </w:r>
      <w:bookmarkEnd w:id="18"/>
      <w:bookmarkEnd w:id="19"/>
    </w:p>
    <w:p w14:paraId="6FA7A527">
      <w:pPr>
        <w:numPr>
          <w:ilvl w:val="0"/>
          <w:numId w:val="0"/>
        </w:numPr>
        <w:spacing w:line="520" w:lineRule="exact"/>
        <w:jc w:val="both"/>
        <w:rPr>
          <w:rFonts w:hint="eastAsia" w:ascii="仿宋_GB2312" w:hAnsi="仿宋_GB2312" w:eastAsia="仿宋_GB2312" w:cs="仿宋_GB2312"/>
          <w:color w:val="auto"/>
          <w:kern w:val="2"/>
          <w:sz w:val="32"/>
          <w:szCs w:val="32"/>
          <w:highlight w:val="none"/>
          <w:lang w:val="en-US" w:eastAsia="zh-CN" w:bidi="ar-SA"/>
        </w:rPr>
      </w:pPr>
      <w:r>
        <w:rPr>
          <w:rFonts w:hint="eastAsia" w:ascii="仿宋" w:hAnsi="仿宋" w:eastAsia="仿宋"/>
          <w:sz w:val="32"/>
          <w:szCs w:val="32"/>
        </w:rPr>
        <w:t>　　</w:t>
      </w:r>
      <w:r>
        <w:rPr>
          <w:rFonts w:hint="eastAsia" w:ascii="仿宋_GB2312" w:hAnsi="仿宋_GB2312" w:eastAsia="仿宋_GB2312" w:cs="仿宋_GB2312"/>
          <w:color w:val="auto"/>
          <w:kern w:val="2"/>
          <w:sz w:val="32"/>
          <w:szCs w:val="32"/>
          <w:highlight w:val="none"/>
          <w:lang w:val="en-US" w:eastAsia="zh-CN" w:bidi="ar-SA"/>
        </w:rPr>
        <w:t>2024年度收、支总计均为1301.45万元。与2023年度相比，收、支总计各增加152.81万元，增长13.3%。主要变动原因是一是今年新招2人和因机构改革原劳动监察大队4人编制划入社保中心导致支出增加。二是预发了提标工资。三是增加了省、市、区级财政代缴困难群众参加城乡居民养老保险补助。四是调增了建国初期老干部的生活补助。</w:t>
      </w:r>
    </w:p>
    <w:p w14:paraId="2172EBB9">
      <w:pPr>
        <w:spacing w:line="600" w:lineRule="exact"/>
        <w:ind w:firstLine="640" w:firstLineChars="200"/>
        <w:rPr>
          <w:rFonts w:ascii="仿宋" w:hAnsi="仿宋" w:eastAsia="仿宋"/>
          <w:sz w:val="32"/>
          <w:szCs w:val="32"/>
        </w:rPr>
      </w:pPr>
    </w:p>
    <w:p w14:paraId="55F4B205">
      <w:pPr>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834890" cy="3321685"/>
            <wp:effectExtent l="0" t="0" r="3810" b="12065"/>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6"/>
                    <a:stretch>
                      <a:fillRect/>
                    </a:stretch>
                  </pic:blipFill>
                  <pic:spPr>
                    <a:xfrm>
                      <a:off x="0" y="0"/>
                      <a:ext cx="4834890" cy="3321685"/>
                    </a:xfrm>
                    <a:prstGeom prst="rect">
                      <a:avLst/>
                    </a:prstGeom>
                  </pic:spPr>
                </pic:pic>
              </a:graphicData>
            </a:graphic>
          </wp:inline>
        </w:drawing>
      </w:r>
    </w:p>
    <w:p w14:paraId="29190693">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769B8DF7">
      <w:pPr>
        <w:spacing w:line="600" w:lineRule="exact"/>
        <w:ind w:firstLine="640" w:firstLineChars="200"/>
        <w:jc w:val="left"/>
        <w:rPr>
          <w:rFonts w:ascii="仿宋_GB2312" w:eastAsia="仿宋_GB2312"/>
          <w:sz w:val="32"/>
          <w:szCs w:val="32"/>
        </w:rPr>
      </w:pPr>
    </w:p>
    <w:p w14:paraId="76E0A5EF">
      <w:pPr>
        <w:pStyle w:val="27"/>
        <w:numPr>
          <w:ilvl w:val="0"/>
          <w:numId w:val="2"/>
        </w:numPr>
        <w:spacing w:line="600" w:lineRule="exact"/>
        <w:ind w:firstLineChars="0"/>
        <w:outlineLvl w:val="1"/>
        <w:rPr>
          <w:rStyle w:val="29"/>
          <w:rFonts w:ascii="黑体" w:hAnsi="黑体" w:eastAsia="黑体"/>
          <w:b w:val="0"/>
        </w:rPr>
      </w:pPr>
      <w:bookmarkStart w:id="20" w:name="_Toc15377206"/>
      <w:bookmarkStart w:id="21" w:name="_Toc15396604"/>
      <w:r>
        <w:rPr>
          <w:rFonts w:hint="eastAsia" w:ascii="黑体" w:hAnsi="黑体" w:eastAsia="黑体"/>
          <w:sz w:val="32"/>
          <w:szCs w:val="32"/>
        </w:rPr>
        <w:t>收</w:t>
      </w:r>
      <w:r>
        <w:rPr>
          <w:rStyle w:val="29"/>
          <w:rFonts w:hint="eastAsia" w:ascii="黑体" w:hAnsi="黑体" w:eastAsia="黑体"/>
          <w:b w:val="0"/>
        </w:rPr>
        <w:t>入决算情况说明</w:t>
      </w:r>
      <w:bookmarkEnd w:id="20"/>
      <w:bookmarkEnd w:id="21"/>
    </w:p>
    <w:p w14:paraId="783F8E34">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2024年度本年收入合计1301.45万元，为一般公共预算财政拨款收入1301.45万元，占100%。</w:t>
      </w:r>
    </w:p>
    <w:p w14:paraId="0DCE648F">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542FD7B8">
      <w:pPr>
        <w:ind w:firstLine="640" w:firstLineChars="200"/>
        <w:outlineLvl w:val="1"/>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900295" cy="3017520"/>
            <wp:effectExtent l="0" t="0" r="14605" b="11430"/>
            <wp:docPr id="16"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
                    <pic:cNvPicPr>
                      <a:picLocks noChangeAspect="1"/>
                    </pic:cNvPicPr>
                  </pic:nvPicPr>
                  <pic:blipFill>
                    <a:blip r:embed="rId7"/>
                    <a:stretch>
                      <a:fillRect/>
                    </a:stretch>
                  </pic:blipFill>
                  <pic:spPr>
                    <a:xfrm>
                      <a:off x="0" y="0"/>
                      <a:ext cx="4900295" cy="3017520"/>
                    </a:xfrm>
                    <a:prstGeom prst="rect">
                      <a:avLst/>
                    </a:prstGeom>
                  </pic:spPr>
                </pic:pic>
              </a:graphicData>
            </a:graphic>
          </wp:inline>
        </w:drawing>
      </w:r>
    </w:p>
    <w:p w14:paraId="329C50E5">
      <w:pPr>
        <w:spacing w:line="600" w:lineRule="exact"/>
        <w:ind w:firstLine="640" w:firstLineChars="200"/>
        <w:rPr>
          <w:rFonts w:ascii="仿宋" w:hAnsi="仿宋" w:eastAsia="仿宋"/>
          <w:sz w:val="32"/>
          <w:szCs w:val="32"/>
        </w:rPr>
      </w:pPr>
      <w:r>
        <w:rPr>
          <w:rFonts w:hint="eastAsia" w:ascii="仿宋" w:hAnsi="仿宋" w:eastAsia="仿宋"/>
          <w:sz w:val="32"/>
          <w:szCs w:val="32"/>
        </w:rPr>
        <w:t>　　　　（图2：收入决算结构图）（饼状图）</w:t>
      </w:r>
    </w:p>
    <w:p w14:paraId="5D30A169">
      <w:pPr>
        <w:pStyle w:val="27"/>
        <w:spacing w:line="600" w:lineRule="exact"/>
        <w:ind w:left="640" w:firstLine="0" w:firstLineChars="0"/>
        <w:outlineLvl w:val="1"/>
        <w:rPr>
          <w:rStyle w:val="29"/>
          <w:rFonts w:ascii="黑体" w:hAnsi="黑体" w:eastAsia="黑体"/>
          <w:b w:val="0"/>
        </w:rPr>
      </w:pPr>
      <w:bookmarkStart w:id="22" w:name="_Toc15377207"/>
      <w:bookmarkStart w:id="23" w:name="_Toc15396605"/>
    </w:p>
    <w:p w14:paraId="4953D8BB">
      <w:pPr>
        <w:pStyle w:val="27"/>
        <w:spacing w:line="600" w:lineRule="exact"/>
        <w:ind w:left="640" w:firstLine="0" w:firstLineChars="0"/>
        <w:outlineLvl w:val="1"/>
        <w:rPr>
          <w:rStyle w:val="29"/>
          <w:rFonts w:ascii="黑体" w:hAnsi="黑体" w:eastAsia="黑体"/>
          <w:b w:val="0"/>
        </w:rPr>
      </w:pPr>
      <w:r>
        <w:rPr>
          <w:rFonts w:hint="eastAsia" w:ascii="黑体" w:hAnsi="黑体" w:eastAsia="黑体"/>
          <w:sz w:val="32"/>
          <w:szCs w:val="32"/>
        </w:rPr>
        <w:t>三、支</w:t>
      </w:r>
      <w:r>
        <w:rPr>
          <w:rStyle w:val="29"/>
          <w:rFonts w:hint="eastAsia" w:ascii="黑体" w:hAnsi="黑体" w:eastAsia="黑体"/>
          <w:b w:val="0"/>
        </w:rPr>
        <w:t>出决算情况说明</w:t>
      </w:r>
      <w:bookmarkEnd w:id="22"/>
      <w:bookmarkEnd w:id="23"/>
    </w:p>
    <w:p w14:paraId="77D065C4">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1301.45</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796.89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61.23</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rPr>
        <w:t>504.56</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38.7</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color w:val="auto"/>
          <w:sz w:val="32"/>
          <w:szCs w:val="32"/>
          <w:highlight w:val="none"/>
          <w:lang w:eastAsia="zh-CN"/>
        </w:rPr>
        <w:t>%。</w:t>
      </w:r>
    </w:p>
    <w:p w14:paraId="29715C4C">
      <w:pPr>
        <w:ind w:firstLine="640"/>
        <w:rPr>
          <w:rFonts w:hint="eastAsia" w:ascii="仿宋" w:hAnsi="仿宋" w:eastAsia="仿宋"/>
          <w:sz w:val="32"/>
          <w:szCs w:val="32"/>
          <w:shd w:val="pct10" w:color="auto" w:fill="FFFFFF"/>
          <w:lang w:eastAsia="zh-CN"/>
        </w:rPr>
      </w:pPr>
      <w:r>
        <w:rPr>
          <w:rFonts w:hint="eastAsia" w:ascii="仿宋" w:hAnsi="仿宋" w:eastAsia="仿宋"/>
          <w:sz w:val="32"/>
          <w:szCs w:val="32"/>
          <w:shd w:val="pct10" w:color="auto" w:fill="FFFFFF"/>
          <w:lang w:eastAsia="zh-CN"/>
        </w:rPr>
        <w:drawing>
          <wp:inline distT="0" distB="0" distL="114300" distR="114300">
            <wp:extent cx="4890770" cy="2958465"/>
            <wp:effectExtent l="0" t="0" r="5080" b="13335"/>
            <wp:docPr id="17"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3"/>
                    <pic:cNvPicPr>
                      <a:picLocks noChangeAspect="1"/>
                    </pic:cNvPicPr>
                  </pic:nvPicPr>
                  <pic:blipFill>
                    <a:blip r:embed="rId8"/>
                    <a:stretch>
                      <a:fillRect/>
                    </a:stretch>
                  </pic:blipFill>
                  <pic:spPr>
                    <a:xfrm>
                      <a:off x="0" y="0"/>
                      <a:ext cx="4890770" cy="2958465"/>
                    </a:xfrm>
                    <a:prstGeom prst="rect">
                      <a:avLst/>
                    </a:prstGeom>
                  </pic:spPr>
                </pic:pic>
              </a:graphicData>
            </a:graphic>
          </wp:inline>
        </w:drawing>
      </w:r>
    </w:p>
    <w:p w14:paraId="1554EEB5">
      <w:pPr>
        <w:spacing w:line="600" w:lineRule="exact"/>
        <w:ind w:firstLine="640" w:firstLineChars="200"/>
        <w:rPr>
          <w:rFonts w:ascii="仿宋" w:hAnsi="仿宋" w:eastAsia="仿宋"/>
          <w:sz w:val="32"/>
          <w:szCs w:val="32"/>
        </w:rPr>
      </w:pPr>
      <w:r>
        <w:rPr>
          <w:rFonts w:hint="eastAsia" w:ascii="仿宋" w:hAnsi="仿宋" w:eastAsia="仿宋"/>
          <w:sz w:val="32"/>
          <w:szCs w:val="32"/>
        </w:rPr>
        <w:t>　　　（图3：支出决算结构图）（饼状图）</w:t>
      </w:r>
    </w:p>
    <w:p w14:paraId="3B49CA46">
      <w:pPr>
        <w:spacing w:line="600" w:lineRule="exact"/>
        <w:ind w:firstLine="640" w:firstLineChars="200"/>
        <w:outlineLvl w:val="1"/>
        <w:rPr>
          <w:rFonts w:hint="eastAsia" w:ascii="黑体" w:hAnsi="黑体" w:eastAsia="黑体"/>
          <w:sz w:val="32"/>
          <w:szCs w:val="32"/>
        </w:rPr>
      </w:pPr>
      <w:bookmarkStart w:id="24" w:name="_Toc15377208"/>
      <w:bookmarkStart w:id="25" w:name="_Toc15396606"/>
    </w:p>
    <w:p w14:paraId="573334F9">
      <w:pPr>
        <w:spacing w:line="600" w:lineRule="exact"/>
        <w:ind w:firstLine="640" w:firstLineChars="200"/>
        <w:outlineLvl w:val="1"/>
        <w:rPr>
          <w:rStyle w:val="29"/>
          <w:rFonts w:ascii="黑体" w:hAnsi="黑体" w:eastAsia="黑体"/>
          <w:b w:val="0"/>
        </w:rPr>
      </w:pPr>
      <w:r>
        <w:rPr>
          <w:rFonts w:hint="eastAsia" w:ascii="黑体" w:hAnsi="黑体" w:eastAsia="黑体"/>
          <w:sz w:val="32"/>
          <w:szCs w:val="32"/>
        </w:rPr>
        <w:t>四、财</w:t>
      </w:r>
      <w:r>
        <w:rPr>
          <w:rStyle w:val="29"/>
          <w:rFonts w:hint="eastAsia" w:ascii="黑体" w:hAnsi="黑体" w:eastAsia="黑体"/>
          <w:b w:val="0"/>
        </w:rPr>
        <w:t>政拨款收入支出决算总体情况说明</w:t>
      </w:r>
      <w:bookmarkEnd w:id="24"/>
      <w:bookmarkEnd w:id="25"/>
    </w:p>
    <w:p w14:paraId="12D2011B">
      <w:pPr>
        <w:numPr>
          <w:ilvl w:val="0"/>
          <w:numId w:val="0"/>
        </w:numPr>
        <w:spacing w:line="520" w:lineRule="exact"/>
        <w:ind w:firstLine="640" w:firstLineChars="200"/>
        <w:jc w:val="both"/>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财政拨款收入、支出总计均为1301.45万元。与2023年度相比，财政拨款收入总计、支出总计各增加152.81万元，增长13.3%。主要变动原因是一是今年新招2人和因机构改革原劳动监察大队4人编制划入社保中心导致支出增加。二是预发了提标工资。三是增加了省、市、区级财政代缴困难群众参加城乡居民养老保险补助。四是调增了建国初期老干部的生活补助。</w:t>
      </w:r>
    </w:p>
    <w:p w14:paraId="2EB4651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564EBC6">
      <w:pPr>
        <w:rPr>
          <w:rFonts w:hint="eastAsia" w:eastAsia="宋体"/>
          <w:lang w:eastAsia="zh-CN"/>
        </w:rPr>
      </w:pPr>
      <w:r>
        <w:rPr>
          <w:rFonts w:hint="eastAsia" w:eastAsia="宋体"/>
          <w:lang w:val="en-US" w:eastAsia="zh-CN"/>
        </w:rPr>
        <w:t xml:space="preserve">     </w:t>
      </w:r>
      <w:r>
        <w:rPr>
          <w:rFonts w:hint="eastAsia" w:eastAsia="宋体"/>
          <w:lang w:eastAsia="zh-CN"/>
        </w:rPr>
        <w:drawing>
          <wp:inline distT="0" distB="0" distL="114300" distR="114300">
            <wp:extent cx="4909820" cy="3097530"/>
            <wp:effectExtent l="0" t="0" r="5080" b="7620"/>
            <wp:docPr id="18" name="图片 1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4"/>
                    <pic:cNvPicPr>
                      <a:picLocks noChangeAspect="1"/>
                    </pic:cNvPicPr>
                  </pic:nvPicPr>
                  <pic:blipFill>
                    <a:blip r:embed="rId9"/>
                    <a:stretch>
                      <a:fillRect/>
                    </a:stretch>
                  </pic:blipFill>
                  <pic:spPr>
                    <a:xfrm>
                      <a:off x="0" y="0"/>
                      <a:ext cx="4909820" cy="3097530"/>
                    </a:xfrm>
                    <a:prstGeom prst="rect">
                      <a:avLst/>
                    </a:prstGeom>
                  </pic:spPr>
                </pic:pic>
              </a:graphicData>
            </a:graphic>
          </wp:inline>
        </w:drawing>
      </w:r>
    </w:p>
    <w:p w14:paraId="5A807038">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14:paraId="0D020415">
      <w:pPr>
        <w:spacing w:line="600" w:lineRule="exact"/>
        <w:ind w:firstLine="640"/>
        <w:rPr>
          <w:rFonts w:ascii="仿宋" w:hAnsi="仿宋" w:eastAsia="仿宋"/>
          <w:b/>
          <w:sz w:val="32"/>
          <w:szCs w:val="32"/>
        </w:rPr>
      </w:pPr>
    </w:p>
    <w:p w14:paraId="6B7F6D57">
      <w:pPr>
        <w:spacing w:line="600" w:lineRule="exact"/>
        <w:ind w:firstLine="640" w:firstLineChars="200"/>
        <w:outlineLvl w:val="1"/>
        <w:rPr>
          <w:rStyle w:val="29"/>
          <w:rFonts w:ascii="黑体" w:hAnsi="黑体" w:eastAsia="黑体"/>
          <w:b w:val="0"/>
        </w:rPr>
      </w:pPr>
      <w:bookmarkStart w:id="26" w:name="_Toc15377209"/>
      <w:bookmarkStart w:id="27" w:name="_Toc15396607"/>
      <w:r>
        <w:rPr>
          <w:rFonts w:hint="eastAsia" w:ascii="黑体" w:hAnsi="黑体" w:eastAsia="黑体"/>
          <w:sz w:val="32"/>
          <w:szCs w:val="32"/>
        </w:rPr>
        <w:t>五、</w:t>
      </w:r>
      <w:r>
        <w:rPr>
          <w:rFonts w:hint="eastAsia" w:ascii="黑体" w:hAnsi="黑体" w:eastAsia="黑体"/>
          <w:b/>
          <w:sz w:val="32"/>
          <w:szCs w:val="32"/>
        </w:rPr>
        <w:t>一</w:t>
      </w:r>
      <w:r>
        <w:rPr>
          <w:rStyle w:val="29"/>
          <w:rFonts w:hint="eastAsia" w:ascii="黑体" w:hAnsi="黑体" w:eastAsia="黑体"/>
          <w:b w:val="0"/>
        </w:rPr>
        <w:t>般公共预算财政拨款支出决算情况说明</w:t>
      </w:r>
      <w:bookmarkEnd w:id="26"/>
      <w:bookmarkEnd w:id="27"/>
    </w:p>
    <w:p w14:paraId="35C48E00">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39DBC68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1301.45万元，占本年支出合计的100%。与2023年度相比，一般公共预算财政拨款支出增加152.81万元，增长13.3%。主要变动原因是一是今年新招2人和因机构改革原劳动监察大队4人编制划入社保中心导致支出增加。二是预发了提标工资。三是增加了省、市、区级财政代缴困难群众参加城乡居民养老保险补助。四是调增了建国初期老干部的生活补助。</w:t>
      </w:r>
    </w:p>
    <w:p w14:paraId="2498FBEA">
      <w:pPr>
        <w:pStyle w:val="2"/>
        <w:rPr>
          <w:rFonts w:hint="eastAsia"/>
          <w:lang w:eastAsia="zh-CN"/>
        </w:rPr>
      </w:pPr>
    </w:p>
    <w:p w14:paraId="3A41CB98">
      <w:pPr>
        <w:pStyle w:val="2"/>
        <w:rPr>
          <w:rFonts w:hint="eastAsia"/>
        </w:rPr>
      </w:pPr>
    </w:p>
    <w:p w14:paraId="0AD9D9C7">
      <w:pPr>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824095" cy="3114675"/>
            <wp:effectExtent l="0" t="0" r="14605" b="9525"/>
            <wp:docPr id="20" name="图片 2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5"/>
                    <pic:cNvPicPr>
                      <a:picLocks noChangeAspect="1"/>
                    </pic:cNvPicPr>
                  </pic:nvPicPr>
                  <pic:blipFill>
                    <a:blip r:embed="rId10"/>
                    <a:stretch>
                      <a:fillRect/>
                    </a:stretch>
                  </pic:blipFill>
                  <pic:spPr>
                    <a:xfrm>
                      <a:off x="0" y="0"/>
                      <a:ext cx="4824095" cy="3114675"/>
                    </a:xfrm>
                    <a:prstGeom prst="rect">
                      <a:avLst/>
                    </a:prstGeom>
                  </pic:spPr>
                </pic:pic>
              </a:graphicData>
            </a:graphic>
          </wp:inline>
        </w:drawing>
      </w:r>
    </w:p>
    <w:p w14:paraId="3CACA984">
      <w:pPr>
        <w:spacing w:line="600" w:lineRule="exact"/>
        <w:ind w:firstLine="640" w:firstLineChars="200"/>
        <w:rPr>
          <w:rFonts w:ascii="仿宋" w:hAnsi="仿宋" w:eastAsia="仿宋"/>
          <w:b/>
          <w:sz w:val="32"/>
          <w:szCs w:val="32"/>
        </w:rPr>
      </w:pPr>
      <w:r>
        <w:rPr>
          <w:rFonts w:hint="eastAsia" w:ascii="仿宋" w:hAnsi="仿宋" w:eastAsia="仿宋"/>
          <w:sz w:val="32"/>
          <w:szCs w:val="32"/>
        </w:rPr>
        <w:t>（图5：一般公共预算财政拨款支出决算变动情况）（柱状图）</w:t>
      </w:r>
      <w:bookmarkStart w:id="29" w:name="_Toc15377211"/>
    </w:p>
    <w:p w14:paraId="2C926312">
      <w:pPr>
        <w:spacing w:line="600" w:lineRule="exact"/>
        <w:ind w:firstLine="643" w:firstLineChars="200"/>
        <w:outlineLvl w:val="2"/>
        <w:rPr>
          <w:rFonts w:hint="eastAsia" w:ascii="仿宋" w:hAnsi="仿宋" w:eastAsia="仿宋"/>
          <w:b/>
          <w:sz w:val="32"/>
          <w:szCs w:val="32"/>
        </w:rPr>
      </w:pPr>
    </w:p>
    <w:p w14:paraId="4EDECB5B">
      <w:pPr>
        <w:spacing w:line="600" w:lineRule="exact"/>
        <w:ind w:firstLine="643" w:firstLineChars="200"/>
        <w:outlineLvl w:val="2"/>
        <w:rPr>
          <w:rFonts w:ascii="仿宋" w:hAnsi="仿宋" w:eastAsia="仿宋"/>
          <w:b/>
          <w:sz w:val="32"/>
          <w:szCs w:val="32"/>
        </w:rPr>
      </w:pPr>
      <w:r>
        <w:rPr>
          <w:rFonts w:hint="eastAsia" w:ascii="仿宋" w:hAnsi="仿宋" w:eastAsia="仿宋"/>
          <w:b/>
          <w:sz w:val="32"/>
          <w:szCs w:val="32"/>
        </w:rPr>
        <w:t>（二）一般公共预算财政拨款支出决算结构情况</w:t>
      </w:r>
      <w:bookmarkEnd w:id="29"/>
    </w:p>
    <w:p w14:paraId="764349F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1301.45</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社会保障和就业支出1224.72万元，占94.11%；卫生健康支出25.8万元，占1.98%；住房保障支出50.93万元，占3.91%。</w:t>
      </w:r>
    </w:p>
    <w:p w14:paraId="41F83FA7">
      <w:pPr>
        <w:pStyle w:val="2"/>
        <w:rPr>
          <w:rFonts w:hint="eastAsia" w:ascii="Times New Roman" w:hAnsi="Times New Roman" w:eastAsia="仿宋_GB2312" w:cs="仿宋_GB2312"/>
          <w:color w:val="auto"/>
          <w:kern w:val="2"/>
          <w:sz w:val="32"/>
          <w:szCs w:val="32"/>
          <w:highlight w:val="none"/>
          <w:lang w:val="en-US" w:eastAsia="zh-CN" w:bidi="ar-SA"/>
        </w:rPr>
      </w:pPr>
    </w:p>
    <w:p w14:paraId="50DB39A0">
      <w:pPr>
        <w:pStyle w:val="2"/>
        <w:rPr>
          <w:rFonts w:hint="eastAsia"/>
          <w:lang w:val="en-US" w:eastAsia="zh-CN"/>
        </w:rPr>
      </w:pPr>
    </w:p>
    <w:p w14:paraId="7AA531FE">
      <w:pPr>
        <w:ind w:firstLine="64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837430" cy="3425825"/>
            <wp:effectExtent l="0" t="0" r="1270" b="3175"/>
            <wp:docPr id="21" name="图片 2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6"/>
                    <pic:cNvPicPr>
                      <a:picLocks noChangeAspect="1"/>
                    </pic:cNvPicPr>
                  </pic:nvPicPr>
                  <pic:blipFill>
                    <a:blip r:embed="rId11"/>
                    <a:stretch>
                      <a:fillRect/>
                    </a:stretch>
                  </pic:blipFill>
                  <pic:spPr>
                    <a:xfrm>
                      <a:off x="0" y="0"/>
                      <a:ext cx="4837430" cy="3425825"/>
                    </a:xfrm>
                    <a:prstGeom prst="rect">
                      <a:avLst/>
                    </a:prstGeom>
                  </pic:spPr>
                </pic:pic>
              </a:graphicData>
            </a:graphic>
          </wp:inline>
        </w:drawing>
      </w:r>
    </w:p>
    <w:p w14:paraId="6F906C16">
      <w:pPr>
        <w:spacing w:line="600" w:lineRule="exact"/>
        <w:ind w:firstLine="320" w:firstLineChars="100"/>
        <w:rPr>
          <w:rFonts w:ascii="仿宋" w:hAnsi="仿宋" w:eastAsia="仿宋"/>
          <w:sz w:val="32"/>
          <w:szCs w:val="32"/>
        </w:rPr>
      </w:pPr>
      <w:r>
        <w:rPr>
          <w:rFonts w:hint="eastAsia" w:ascii="仿宋" w:hAnsi="仿宋" w:eastAsia="仿宋"/>
          <w:sz w:val="32"/>
          <w:szCs w:val="32"/>
        </w:rPr>
        <w:t>（图6：一般公共预算财政拨款支出决算结构）（饼状图）</w:t>
      </w:r>
    </w:p>
    <w:p w14:paraId="2E3176F6">
      <w:pPr>
        <w:spacing w:line="600" w:lineRule="exact"/>
        <w:ind w:firstLine="640" w:firstLineChars="200"/>
        <w:rPr>
          <w:rFonts w:ascii="仿宋" w:hAnsi="仿宋" w:eastAsia="仿宋"/>
          <w:sz w:val="32"/>
          <w:szCs w:val="32"/>
        </w:rPr>
      </w:pPr>
    </w:p>
    <w:p w14:paraId="726FE514">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522E995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31" w:name="_Toc15377444"/>
      <w:bookmarkStart w:id="32" w:name="_Toc15377213"/>
      <w:bookmarkStart w:id="33" w:name="_Toc15378460"/>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2024年度一般公共预算财政拨款支出决算数为1301.45万元，完成预算100%。其中：</w:t>
      </w:r>
    </w:p>
    <w:p w14:paraId="5CFCD50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1.社会保障和就业（类）人力资源和社会保障管理事务（款）综合业务管理（项）:支出决算为4.21万元，完成预算100%。</w:t>
      </w:r>
    </w:p>
    <w:p w14:paraId="6431EA4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2.社会保障和就业（类）人力资源和社会保障管理事务（款）社会保险经办机构（项）:支出决算为513.36万元，完成预算100%。</w:t>
      </w:r>
    </w:p>
    <w:p w14:paraId="3C4C9E5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３.社会保障和就业（类）人力资源和社会保障管理事务（款）其他人力资源和社会保障管理事务（项）:支出决算为64.56万元，完成预算100%。</w:t>
      </w:r>
    </w:p>
    <w:p w14:paraId="7E4B638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4.社会保障和就业（类）行政事业单位养老（款）机关事业单位基本养老保险缴费（项）:支出决算为61.94万元，完成预算100%。</w:t>
      </w:r>
    </w:p>
    <w:p w14:paraId="16E4E9C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5.社会保障和就业（类）行政事业单位养老（款）机关事业单位职业年金缴费（项）:支出决算为30.9万元，完成预算100%。</w:t>
      </w:r>
    </w:p>
    <w:p w14:paraId="1C8E6C1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6.社会保障和就业（类）行政事业单位养老（款）其他行政事业单位养老（项）:支出决算为465.97万元，完成预算100%。</w:t>
      </w:r>
    </w:p>
    <w:p w14:paraId="25EA911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7.社会保障和就业（类）财政代缴社会保险费（款）财政代缴城乡居民基本养老保险费（项）:支出决算为78.93万元，完成预算100%。</w:t>
      </w:r>
    </w:p>
    <w:p w14:paraId="075E5C2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8.社会保障和就业（类）其他社会保障和就业（款）其他社会保障和就业（项）:支出决算为4.86万元，完成预算100%。</w:t>
      </w:r>
    </w:p>
    <w:p w14:paraId="266E167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9.卫生健康（类）行政事业单位医疗（款）行政单位医疗（项）:支出决算为18.15万元，完成预算100%。</w:t>
      </w:r>
    </w:p>
    <w:p w14:paraId="0062DB8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10.卫生健康（类）行政事业单位医疗（款）公务员医疗补助（项）:支出决算为7.65万元，完成预算100%。</w:t>
      </w:r>
    </w:p>
    <w:p w14:paraId="1F888B0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11.住房保障（类）住房改革（款）住房公积金（项）:支出决算为50.93万元，完成预算100%。</w:t>
      </w:r>
    </w:p>
    <w:p w14:paraId="5EAFB1F8">
      <w:pPr>
        <w:pStyle w:val="2"/>
        <w:numPr>
          <w:ilvl w:val="0"/>
          <w:numId w:val="0"/>
        </w:numPr>
        <w:rPr>
          <w:rFonts w:hint="eastAsia"/>
          <w:lang w:val="en-US" w:eastAsia="zh-CN"/>
        </w:rPr>
      </w:pPr>
    </w:p>
    <w:bookmarkEnd w:id="31"/>
    <w:bookmarkEnd w:id="32"/>
    <w:bookmarkEnd w:id="33"/>
    <w:p w14:paraId="1162FDB5">
      <w:pPr>
        <w:tabs>
          <w:tab w:val="right" w:pos="8306"/>
        </w:tabs>
        <w:spacing w:line="600" w:lineRule="exact"/>
        <w:ind w:firstLine="640"/>
        <w:outlineLvl w:val="1"/>
        <w:rPr>
          <w:rFonts w:hint="eastAsia" w:ascii="黑体" w:eastAsia="黑体"/>
          <w:sz w:val="32"/>
          <w:szCs w:val="32"/>
        </w:rPr>
      </w:pPr>
      <w:bookmarkStart w:id="34" w:name="_Toc15396608"/>
      <w:bookmarkStart w:id="35" w:name="_Toc15377214"/>
    </w:p>
    <w:p w14:paraId="1351C251">
      <w:pPr>
        <w:tabs>
          <w:tab w:val="right" w:pos="8306"/>
        </w:tabs>
        <w:spacing w:line="600" w:lineRule="exact"/>
        <w:ind w:firstLine="640"/>
        <w:outlineLvl w:val="1"/>
        <w:rPr>
          <w:rStyle w:val="29"/>
        </w:rPr>
      </w:pPr>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9"/>
          <w:rFonts w:hint="eastAsia" w:ascii="黑体" w:hAnsi="黑体" w:eastAsia="黑体"/>
          <w:b w:val="0"/>
        </w:rPr>
        <w:t>般公共预算财政拨款基本支出决算情况说明</w:t>
      </w:r>
      <w:bookmarkEnd w:id="34"/>
      <w:bookmarkEnd w:id="35"/>
      <w:r>
        <w:rPr>
          <w:rStyle w:val="29"/>
          <w:rFonts w:ascii="黑体" w:hAnsi="黑体" w:eastAsia="黑体"/>
          <w:b w:val="0"/>
        </w:rPr>
        <w:tab/>
      </w:r>
    </w:p>
    <w:p w14:paraId="2453C83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2024年度一般公共预算财政拨款基本支出796.89万元，其中：</w:t>
      </w:r>
    </w:p>
    <w:p w14:paraId="1AB3ADF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721.77万元，主要包括：基本工资、津贴补贴、奖金、伙食补助费、机关事业单位基本养老保险缴费、职业年金缴费、职工基本医疗保险缴费、公务员医疗补助缴费、其他社会保障缴费、住房公积金、其他工资福利支出、生活补助、奖励金、其他对个人和家庭的补助支出。</w:t>
      </w:r>
    </w:p>
    <w:p w14:paraId="5DC40CD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公用经费75.12万元，主要包括：办公费、印刷费、水费、电费、维修（护）费、公务接待费、工会经费、福利费、其他交通费、其他商品和服务支出。</w:t>
      </w:r>
    </w:p>
    <w:p w14:paraId="7E3B6814">
      <w:pPr>
        <w:spacing w:line="600" w:lineRule="exact"/>
        <w:ind w:firstLine="640"/>
        <w:rPr>
          <w:rFonts w:ascii="仿宋" w:hAnsi="仿宋" w:eastAsia="仿宋"/>
          <w:b/>
          <w:sz w:val="32"/>
          <w:szCs w:val="32"/>
        </w:rPr>
      </w:pPr>
    </w:p>
    <w:p w14:paraId="70BEC05E">
      <w:pPr>
        <w:spacing w:line="600" w:lineRule="exact"/>
        <w:ind w:firstLine="640"/>
        <w:outlineLvl w:val="1"/>
        <w:rPr>
          <w:rStyle w:val="29"/>
          <w:rFonts w:ascii="黑体" w:hAnsi="黑体" w:eastAsia="黑体"/>
          <w:b w:val="0"/>
        </w:rPr>
      </w:pPr>
      <w:bookmarkStart w:id="36" w:name="_Toc15377215"/>
      <w:bookmarkStart w:id="37" w:name="_Toc15396609"/>
      <w:r>
        <w:rPr>
          <w:rFonts w:hint="eastAsia" w:ascii="黑体" w:eastAsia="黑体"/>
          <w:sz w:val="32"/>
          <w:szCs w:val="32"/>
        </w:rPr>
        <w:t>七、</w:t>
      </w:r>
      <w:r>
        <w:rPr>
          <w:rStyle w:val="29"/>
          <w:rFonts w:hint="eastAsia" w:ascii="黑体" w:hAnsi="黑体" w:eastAsia="黑体"/>
          <w:b w:val="0"/>
        </w:rPr>
        <w:t>财政拨款</w:t>
      </w:r>
      <w:r>
        <w:rPr>
          <w:rStyle w:val="29"/>
          <w:rFonts w:hint="eastAsia" w:ascii="黑体" w:hAnsi="黑体" w:eastAsia="黑体"/>
        </w:rPr>
        <w:t>“</w:t>
      </w:r>
      <w:r>
        <w:rPr>
          <w:rStyle w:val="29"/>
          <w:rFonts w:hint="eastAsia" w:ascii="黑体" w:hAnsi="黑体" w:eastAsia="黑体"/>
          <w:b w:val="0"/>
        </w:rPr>
        <w:t>三公”经费支出决算情况说明</w:t>
      </w:r>
      <w:bookmarkEnd w:id="36"/>
      <w:bookmarkEnd w:id="37"/>
    </w:p>
    <w:p w14:paraId="6C6C4247">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209AA70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2024年度“三公”经费财政拨款支出决算为0.33万元，完成预算100%，较上年度减少0.07万元，下降17.5%。主要原因是我单位厉行节约，落实“过紧日子”要求，公务接待费减少。</w:t>
      </w:r>
    </w:p>
    <w:p w14:paraId="6ACF58F2">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2F615C9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2024年度“三公”经费财政拨款支出决算中，因公出国（境）费支出决算0万元，占0%；公务用车购置及运行维护费支出决算0万元，占0%；公务接待费支出决算0.33万元，占100%。具体情况如下：</w:t>
      </w:r>
    </w:p>
    <w:p w14:paraId="560BC480">
      <w:pPr>
        <w:pStyle w:val="2"/>
        <w:rPr>
          <w:rFonts w:hint="eastAsia"/>
          <w:lang w:val="en-US" w:eastAsia="zh-CN"/>
        </w:rPr>
      </w:pPr>
    </w:p>
    <w:p w14:paraId="2ED893E3">
      <w:pPr>
        <w:pStyle w:val="2"/>
        <w:rPr>
          <w:rFonts w:hint="eastAsia"/>
          <w:lang w:val="en-US" w:eastAsia="zh-CN"/>
        </w:rPr>
      </w:pPr>
    </w:p>
    <w:p w14:paraId="16979C0B">
      <w:pPr>
        <w:ind w:firstLine="640"/>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796790" cy="2839720"/>
            <wp:effectExtent l="0" t="0" r="3810" b="17780"/>
            <wp:docPr id="22" name="图片 2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7"/>
                    <pic:cNvPicPr>
                      <a:picLocks noChangeAspect="1"/>
                    </pic:cNvPicPr>
                  </pic:nvPicPr>
                  <pic:blipFill>
                    <a:blip r:embed="rId12"/>
                    <a:stretch>
                      <a:fillRect/>
                    </a:stretch>
                  </pic:blipFill>
                  <pic:spPr>
                    <a:xfrm>
                      <a:off x="0" y="0"/>
                      <a:ext cx="4796790" cy="2839720"/>
                    </a:xfrm>
                    <a:prstGeom prst="rect">
                      <a:avLst/>
                    </a:prstGeom>
                  </pic:spPr>
                </pic:pic>
              </a:graphicData>
            </a:graphic>
          </wp:inline>
        </w:drawing>
      </w:r>
    </w:p>
    <w:p w14:paraId="36B4B7F3">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0A7B0777">
      <w:pPr>
        <w:spacing w:line="600" w:lineRule="exact"/>
        <w:ind w:firstLine="640"/>
        <w:rPr>
          <w:rFonts w:ascii="仿宋_GB2312" w:eastAsia="仿宋_GB2312"/>
          <w:b/>
          <w:sz w:val="32"/>
          <w:szCs w:val="32"/>
        </w:rPr>
      </w:pPr>
      <w:bookmarkStart w:id="40" w:name="_Toc15396610"/>
      <w:bookmarkStart w:id="41" w:name="_Toc15377218"/>
    </w:p>
    <w:p w14:paraId="019ACA4B">
      <w:pPr>
        <w:spacing w:line="600" w:lineRule="exact"/>
        <w:ind w:firstLine="64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_GB2312" w:hAnsi="Times New Roman" w:eastAsia="仿宋_GB2312" w:cs="Times New Roman"/>
          <w:b/>
          <w:sz w:val="32"/>
          <w:szCs w:val="32"/>
        </w:rPr>
        <w:t>0万元，完成预算0%。</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人。因公出国（境）支出决算与202</w:t>
      </w:r>
      <w:r>
        <w:rPr>
          <w:rFonts w:hint="eastAsia" w:ascii="仿宋_GB2312" w:eastAsia="仿宋_GB2312"/>
          <w:sz w:val="32"/>
          <w:szCs w:val="32"/>
          <w:lang w:val="en-US" w:eastAsia="zh-CN"/>
        </w:rPr>
        <w:t>3</w:t>
      </w:r>
      <w:r>
        <w:rPr>
          <w:rFonts w:hint="eastAsia" w:ascii="仿宋_GB2312" w:eastAsia="仿宋_GB2312"/>
          <w:sz w:val="32"/>
          <w:szCs w:val="32"/>
        </w:rPr>
        <w:t>年持平，主要原因是我单位没发生。</w:t>
      </w:r>
    </w:p>
    <w:p w14:paraId="4DC71F78">
      <w:pPr>
        <w:spacing w:line="600" w:lineRule="exact"/>
        <w:ind w:firstLine="640"/>
        <w:rPr>
          <w:rFonts w:hint="eastAsia" w:ascii="仿宋_GB2312" w:hAnsi="Times New Roman" w:eastAsia="仿宋_GB2312" w:cs="Times New Roman"/>
          <w:sz w:val="32"/>
          <w:szCs w:val="32"/>
        </w:rPr>
      </w:pPr>
      <w:r>
        <w:rPr>
          <w:rFonts w:ascii="仿宋_GB2312" w:eastAsia="仿宋_GB2312"/>
          <w:b/>
          <w:sz w:val="32"/>
          <w:szCs w:val="32"/>
        </w:rPr>
        <w:t>2.</w:t>
      </w:r>
      <w:r>
        <w:rPr>
          <w:rFonts w:hint="eastAsia" w:ascii="仿宋_GB2312" w:eastAsia="仿宋_GB2312"/>
          <w:b/>
          <w:sz w:val="32"/>
          <w:szCs w:val="32"/>
        </w:rPr>
        <w:t>公务用车购置及运行维</w:t>
      </w:r>
      <w:r>
        <w:rPr>
          <w:rFonts w:hint="eastAsia" w:ascii="仿宋_GB2312" w:hAnsi="Times New Roman" w:eastAsia="仿宋_GB2312" w:cs="Times New Roman"/>
          <w:b/>
          <w:sz w:val="32"/>
          <w:szCs w:val="32"/>
        </w:rPr>
        <w:t>护费支出0万元,完成预算0%。</w:t>
      </w:r>
      <w:r>
        <w:rPr>
          <w:rFonts w:hint="eastAsia" w:ascii="仿宋_GB2312" w:hAnsi="Times New Roman" w:eastAsia="仿宋_GB2312" w:cs="Times New Roman"/>
          <w:sz w:val="32"/>
          <w:szCs w:val="32"/>
        </w:rPr>
        <w:t>公务用车购置及运行维护费支出决算与202</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rPr>
        <w:t>年持平，主要原因是我单位没发生。</w:t>
      </w:r>
    </w:p>
    <w:p w14:paraId="34FA1D0C">
      <w:pPr>
        <w:spacing w:line="600" w:lineRule="exact"/>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其中：公务用车购置支出0万元。全年按规定更新购置公务用车0辆，其中：轿车0辆、金额0万元，越野车0辆、金额0万元，载客汽车0辆、金额0万元。截至2024年12月31日，单位共有公务用车0辆，其中：轿车0辆、越野车0辆、载客汽车0辆。</w:t>
      </w:r>
    </w:p>
    <w:p w14:paraId="46789CC2">
      <w:pPr>
        <w:spacing w:line="600" w:lineRule="exact"/>
        <w:ind w:firstLine="64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公务用车运行维护费支出0万元。</w:t>
      </w:r>
    </w:p>
    <w:p w14:paraId="72FA476D">
      <w:pPr>
        <w:numPr>
          <w:ilvl w:val="0"/>
          <w:numId w:val="0"/>
        </w:numPr>
        <w:spacing w:line="600" w:lineRule="exact"/>
        <w:ind w:firstLine="643" w:firstLineChars="200"/>
        <w:rPr>
          <w:rFonts w:hint="eastAsia" w:ascii="仿宋_GB2312" w:hAnsi="Times New Roman" w:eastAsia="仿宋_GB2312" w:cs="Times New Roman"/>
          <w:sz w:val="32"/>
          <w:szCs w:val="32"/>
          <w:lang w:val="en-US" w:eastAsia="zh-CN"/>
        </w:rPr>
      </w:pPr>
      <w:r>
        <w:rPr>
          <w:rFonts w:hint="eastAsia" w:eastAsia="仿宋_GB2312" w:cs="仿宋_GB2312"/>
          <w:b/>
          <w:bCs/>
          <w:color w:val="auto"/>
          <w:kern w:val="2"/>
          <w:sz w:val="32"/>
          <w:szCs w:val="32"/>
          <w:highlight w:val="none"/>
          <w:lang w:val="en-US" w:eastAsia="zh-CN" w:bidi="ar-SA"/>
        </w:rPr>
        <w:t>3.</w:t>
      </w:r>
      <w:r>
        <w:rPr>
          <w:rFonts w:hint="eastAsia" w:ascii="Times New Roman" w:hAnsi="Times New Roman" w:eastAsia="仿宋_GB2312" w:cs="仿宋_GB2312"/>
          <w:b/>
          <w:bCs/>
          <w:color w:val="auto"/>
          <w:kern w:val="2"/>
          <w:sz w:val="32"/>
          <w:szCs w:val="32"/>
          <w:highlight w:val="none"/>
          <w:lang w:val="en-US" w:eastAsia="zh-CN" w:bidi="ar-SA"/>
        </w:rPr>
        <w:t>公务接待费支出</w:t>
      </w:r>
      <w:r>
        <w:rPr>
          <w:rFonts w:hint="eastAsia" w:ascii="仿宋_GB2312" w:hAnsi="仿宋_GB2312" w:eastAsia="仿宋_GB2312" w:cs="仿宋_GB2312"/>
          <w:b/>
          <w:bCs/>
          <w:color w:val="auto"/>
          <w:kern w:val="2"/>
          <w:sz w:val="32"/>
          <w:szCs w:val="32"/>
          <w:highlight w:val="none"/>
          <w:lang w:val="en-US" w:eastAsia="zh-CN" w:bidi="ar-SA"/>
        </w:rPr>
        <w:t>0.33万</w:t>
      </w:r>
      <w:r>
        <w:rPr>
          <w:rFonts w:hint="eastAsia" w:ascii="Times New Roman" w:hAnsi="Times New Roman" w:eastAsia="仿宋_GB2312" w:cs="仿宋_GB2312"/>
          <w:b/>
          <w:bCs/>
          <w:color w:val="auto"/>
          <w:kern w:val="2"/>
          <w:sz w:val="32"/>
          <w:szCs w:val="32"/>
          <w:highlight w:val="none"/>
          <w:lang w:val="en-US" w:eastAsia="zh-CN" w:bidi="ar-SA"/>
        </w:rPr>
        <w:t>元，完成预算100%。</w:t>
      </w:r>
      <w:r>
        <w:rPr>
          <w:rFonts w:hint="eastAsia" w:ascii="仿宋_GB2312" w:hAnsi="Times New Roman" w:eastAsia="仿宋_GB2312" w:cs="Times New Roman"/>
          <w:sz w:val="32"/>
          <w:szCs w:val="32"/>
          <w:lang w:val="en-US" w:eastAsia="zh-CN"/>
        </w:rPr>
        <w:t>公务接待费支出决算比2023年度减少0.07万元，下降17.50%。主要原因是我单位厉行节约，落实“过紧日子”要求，公务接待费减少。</w:t>
      </w:r>
    </w:p>
    <w:p w14:paraId="49F85F81">
      <w:pPr>
        <w:ind w:firstLine="640" w:firstLineChars="200"/>
        <w:rPr>
          <w:rFonts w:hint="eastAsia" w:ascii="仿宋_GB2312" w:hAnsi="仿宋" w:eastAsia="仿宋_GB2312" w:cs="仿宋"/>
          <w:bCs/>
          <w:color w:val="000000"/>
          <w:sz w:val="32"/>
          <w:szCs w:val="32"/>
          <w:lang w:val="en-US" w:eastAsia="zh-CN"/>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0.33</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w:t>
      </w:r>
      <w:r>
        <w:rPr>
          <w:rFonts w:hint="eastAsia" w:ascii="仿宋_GB2312" w:eastAsia="仿宋_GB2312"/>
          <w:color w:val="000000" w:themeColor="text1"/>
          <w:sz w:val="32"/>
          <w:szCs w:val="32"/>
        </w:rPr>
        <w:t>开展业务活动开支的用餐费。</w:t>
      </w:r>
      <w:r>
        <w:rPr>
          <w:rFonts w:hint="eastAsia" w:ascii="Times New Roman" w:hAnsi="Times New Roman" w:eastAsia="仿宋_GB2312" w:cs="仿宋_GB2312"/>
          <w:color w:val="auto"/>
          <w:kern w:val="2"/>
          <w:sz w:val="32"/>
          <w:szCs w:val="32"/>
          <w:highlight w:val="none"/>
          <w:lang w:val="en-US" w:eastAsia="zh-CN" w:bidi="ar-SA"/>
        </w:rPr>
        <w:t>国内公务接</w:t>
      </w:r>
      <w:r>
        <w:rPr>
          <w:rFonts w:hint="eastAsia" w:ascii="仿宋_GB2312" w:hAnsi="仿宋_GB2312" w:eastAsia="仿宋_GB2312" w:cs="仿宋_GB2312"/>
          <w:color w:val="auto"/>
          <w:kern w:val="2"/>
          <w:sz w:val="32"/>
          <w:szCs w:val="32"/>
          <w:highlight w:val="none"/>
          <w:lang w:val="en-US" w:eastAsia="zh-CN" w:bidi="ar-SA"/>
        </w:rPr>
        <w:t>待</w:t>
      </w:r>
      <w:r>
        <w:rPr>
          <w:rFonts w:hint="eastAsia" w:ascii="仿宋_GB2312" w:hAnsi="仿宋_GB2312" w:eastAsia="仿宋_GB2312" w:cs="仿宋_GB2312"/>
          <w:sz w:val="32"/>
          <w:szCs w:val="32"/>
        </w:rPr>
        <w:t>4</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28</w:t>
      </w:r>
      <w:r>
        <w:rPr>
          <w:rFonts w:hint="eastAsia" w:ascii="Times New Roman" w:hAnsi="Times New Roman" w:eastAsia="仿宋_GB2312" w:cs="仿宋_GB2312"/>
          <w:color w:val="auto"/>
          <w:kern w:val="2"/>
          <w:sz w:val="32"/>
          <w:szCs w:val="32"/>
          <w:highlight w:val="none"/>
          <w:lang w:val="en-US" w:eastAsia="zh-CN" w:bidi="ar-SA"/>
        </w:rPr>
        <w:t>人次（不包括陪同人员），共计支出0.33万元，具体内容包括：</w:t>
      </w:r>
      <w:r>
        <w:rPr>
          <w:rFonts w:hint="eastAsia" w:ascii="仿宋_GB2312" w:hAnsi="仿宋" w:eastAsia="仿宋_GB2312" w:cs="仿宋"/>
          <w:bCs/>
          <w:color w:val="000000"/>
          <w:sz w:val="32"/>
          <w:szCs w:val="32"/>
          <w:lang w:val="en-US" w:eastAsia="zh-CN"/>
        </w:rPr>
        <w:t>2月</w:t>
      </w:r>
      <w:r>
        <w:rPr>
          <w:rFonts w:hint="eastAsia" w:ascii="仿宋_GB2312" w:hAnsi="仿宋" w:eastAsia="仿宋_GB2312" w:cs="仿宋"/>
          <w:bCs/>
          <w:color w:val="000000"/>
          <w:sz w:val="32"/>
          <w:szCs w:val="32"/>
          <w:lang w:val="zh-CN" w:eastAsia="zh-CN"/>
        </w:rPr>
        <w:t>接待夹江县社会保险事务中心来开展关于社保基金风险防控、社保稽核、社保基金征缴扩面等交流工作用餐费</w:t>
      </w:r>
      <w:r>
        <w:rPr>
          <w:rFonts w:hint="eastAsia" w:ascii="仿宋_GB2312" w:hAnsi="仿宋" w:eastAsia="仿宋_GB2312" w:cs="仿宋"/>
          <w:bCs/>
          <w:color w:val="000000"/>
          <w:sz w:val="32"/>
          <w:szCs w:val="32"/>
          <w:lang w:val="en-US" w:eastAsia="zh-CN"/>
        </w:rPr>
        <w:t>0.06万元（接待4人+作陪3人）；4月</w:t>
      </w:r>
      <w:r>
        <w:rPr>
          <w:rFonts w:hint="eastAsia" w:ascii="仿宋_GB2312" w:hAnsi="仿宋" w:eastAsia="仿宋_GB2312" w:cs="仿宋"/>
          <w:bCs/>
          <w:color w:val="000000"/>
          <w:sz w:val="32"/>
          <w:szCs w:val="32"/>
          <w:lang w:val="zh-CN" w:eastAsia="zh-CN"/>
        </w:rPr>
        <w:t>接待</w:t>
      </w:r>
      <w:r>
        <w:rPr>
          <w:rFonts w:hint="eastAsia" w:ascii="仿宋_GB2312" w:hAnsi="仿宋" w:eastAsia="仿宋_GB2312" w:cs="仿宋"/>
          <w:bCs/>
          <w:color w:val="000000"/>
          <w:sz w:val="32"/>
          <w:szCs w:val="32"/>
          <w:lang w:val="en-US" w:eastAsia="zh-CN"/>
        </w:rPr>
        <w:t>马边县社保中心来学习失地农民养老保险工作经验用餐费0.07万元（接待8人+作陪3人）；4月</w:t>
      </w:r>
      <w:r>
        <w:rPr>
          <w:rFonts w:hint="eastAsia" w:ascii="仿宋_GB2312" w:hAnsi="仿宋" w:eastAsia="仿宋_GB2312" w:cs="仿宋"/>
          <w:bCs/>
          <w:color w:val="000000"/>
          <w:sz w:val="32"/>
          <w:szCs w:val="32"/>
          <w:lang w:val="zh-CN" w:eastAsia="zh-CN"/>
        </w:rPr>
        <w:t>接待沙湾区社</w:t>
      </w:r>
      <w:r>
        <w:rPr>
          <w:rFonts w:hint="eastAsia" w:ascii="仿宋_GB2312" w:hAnsi="仿宋" w:eastAsia="仿宋_GB2312" w:cs="仿宋"/>
          <w:bCs/>
          <w:color w:val="000000"/>
          <w:sz w:val="32"/>
          <w:szCs w:val="32"/>
          <w:lang w:val="en-US" w:eastAsia="zh-CN"/>
        </w:rPr>
        <w:t>保中心来学习机关事业单位养老保险、国企教师待遇计算等业务交流用餐费0.08万元（接待7人+作陪3人）；7月</w:t>
      </w:r>
      <w:r>
        <w:rPr>
          <w:rFonts w:hint="eastAsia" w:ascii="仿宋_GB2312" w:hAnsi="仿宋" w:eastAsia="仿宋_GB2312" w:cs="仿宋"/>
          <w:bCs/>
          <w:color w:val="000000"/>
          <w:sz w:val="32"/>
          <w:szCs w:val="32"/>
          <w:lang w:val="zh-CN" w:eastAsia="zh-CN"/>
        </w:rPr>
        <w:t>接待眉山市东坡区职工社会保险事务</w:t>
      </w:r>
      <w:r>
        <w:rPr>
          <w:rFonts w:hint="eastAsia" w:ascii="仿宋_GB2312" w:hAnsi="仿宋" w:eastAsia="仿宋_GB2312" w:cs="仿宋"/>
          <w:bCs/>
          <w:color w:val="000000"/>
          <w:sz w:val="32"/>
          <w:szCs w:val="32"/>
          <w:lang w:val="en-US" w:eastAsia="zh-CN"/>
        </w:rPr>
        <w:t>中心来交流学习综合柜员制工作经验用餐费0.12万元（接待9人+作陪3人）。</w:t>
      </w:r>
    </w:p>
    <w:p w14:paraId="2F065AE3">
      <w:pPr>
        <w:spacing w:line="600" w:lineRule="exact"/>
        <w:ind w:firstLine="640" w:firstLineChars="200"/>
        <w:rPr>
          <w:rFonts w:ascii="仿宋_GB2312" w:eastAsia="仿宋_GB2312"/>
          <w:sz w:val="32"/>
          <w:szCs w:val="32"/>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仿宋_GB2312" w:eastAsia="仿宋_GB2312"/>
          <w:sz w:val="32"/>
          <w:szCs w:val="32"/>
        </w:rPr>
        <w:t>外事接待0批次，0人次（不包括陪同人员），共计支出0万元。</w:t>
      </w:r>
    </w:p>
    <w:p w14:paraId="0BD66BBB">
      <w:pPr>
        <w:spacing w:line="600" w:lineRule="exact"/>
        <w:ind w:firstLine="640"/>
        <w:outlineLvl w:val="1"/>
        <w:rPr>
          <w:rFonts w:ascii="黑体" w:eastAsia="黑体"/>
          <w:sz w:val="32"/>
          <w:szCs w:val="32"/>
        </w:rPr>
      </w:pPr>
    </w:p>
    <w:p w14:paraId="640EEA42">
      <w:pPr>
        <w:spacing w:line="600" w:lineRule="exact"/>
        <w:ind w:firstLine="640"/>
        <w:outlineLvl w:val="1"/>
        <w:rPr>
          <w:rStyle w:val="29"/>
          <w:rFonts w:ascii="黑体" w:hAnsi="黑体" w:eastAsia="黑体"/>
        </w:rPr>
      </w:pPr>
      <w:r>
        <w:rPr>
          <w:rFonts w:hint="eastAsia" w:ascii="黑体" w:eastAsia="黑体"/>
          <w:sz w:val="32"/>
          <w:szCs w:val="32"/>
        </w:rPr>
        <w:t>八、</w:t>
      </w:r>
      <w:r>
        <w:rPr>
          <w:rStyle w:val="29"/>
          <w:rFonts w:hint="eastAsia" w:ascii="黑体" w:hAnsi="黑体" w:eastAsia="黑体"/>
          <w:b w:val="0"/>
        </w:rPr>
        <w:t>政府性基金预算支出决算情况说明</w:t>
      </w:r>
      <w:bookmarkEnd w:id="40"/>
      <w:bookmarkEnd w:id="41"/>
    </w:p>
    <w:p w14:paraId="72B02F7F">
      <w:pPr>
        <w:spacing w:line="600" w:lineRule="exact"/>
        <w:ind w:firstLine="640"/>
        <w:rPr>
          <w:rFonts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4</w:t>
      </w:r>
      <w:r>
        <w:rPr>
          <w:rFonts w:hint="eastAsia" w:ascii="仿宋_GB2312" w:eastAsia="仿宋_GB2312"/>
          <w:sz w:val="32"/>
          <w:szCs w:val="32"/>
        </w:rPr>
        <w:t>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6A2016A2">
      <w:pPr>
        <w:spacing w:line="600" w:lineRule="exact"/>
        <w:ind w:firstLine="640"/>
        <w:rPr>
          <w:rFonts w:ascii="仿宋_GB2312" w:eastAsia="仿宋_GB2312"/>
          <w:sz w:val="32"/>
          <w:szCs w:val="32"/>
        </w:rPr>
      </w:pPr>
    </w:p>
    <w:p w14:paraId="698C6E91">
      <w:pPr>
        <w:numPr>
          <w:ilvl w:val="0"/>
          <w:numId w:val="3"/>
        </w:numPr>
        <w:spacing w:line="600" w:lineRule="exact"/>
        <w:ind w:firstLine="640"/>
        <w:outlineLvl w:val="1"/>
        <w:rPr>
          <w:rStyle w:val="29"/>
          <w:rFonts w:ascii="黑体" w:hAnsi="黑体" w:eastAsia="黑体"/>
          <w:b w:val="0"/>
        </w:rPr>
      </w:pPr>
      <w:bookmarkStart w:id="42" w:name="_Toc15396611"/>
      <w:bookmarkStart w:id="43" w:name="_Toc15377219"/>
      <w:r>
        <w:rPr>
          <w:rStyle w:val="29"/>
          <w:rFonts w:hint="eastAsia" w:ascii="黑体" w:hAnsi="黑体" w:eastAsia="黑体"/>
          <w:b w:val="0"/>
        </w:rPr>
        <w:t>国有资本经营预算支出决算情况说明</w:t>
      </w:r>
      <w:bookmarkEnd w:id="42"/>
      <w:bookmarkEnd w:id="43"/>
    </w:p>
    <w:p w14:paraId="558CE5B0">
      <w:pPr>
        <w:spacing w:line="600" w:lineRule="exact"/>
        <w:ind w:firstLine="640"/>
        <w:rPr>
          <w:rFonts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4</w:t>
      </w:r>
      <w:r>
        <w:rPr>
          <w:rFonts w:hint="eastAsia" w:ascii="仿宋_GB2312" w:eastAsia="仿宋_GB2312"/>
          <w:sz w:val="32"/>
          <w:szCs w:val="32"/>
        </w:rPr>
        <w:t>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38949FA9">
      <w:pPr>
        <w:spacing w:line="580" w:lineRule="exact"/>
        <w:jc w:val="center"/>
        <w:rPr>
          <w:rFonts w:ascii="方正小标宋简体" w:hAnsi="方正小标宋简体" w:eastAsia="方正小标宋简体" w:cs="方正小标宋简体"/>
          <w:sz w:val="44"/>
          <w:szCs w:val="44"/>
        </w:rPr>
      </w:pPr>
    </w:p>
    <w:p w14:paraId="47B5F5C5">
      <w:pPr>
        <w:numPr>
          <w:ilvl w:val="0"/>
          <w:numId w:val="3"/>
        </w:numPr>
        <w:spacing w:line="600" w:lineRule="exact"/>
        <w:ind w:firstLine="640"/>
        <w:outlineLvl w:val="1"/>
        <w:rPr>
          <w:rStyle w:val="29"/>
          <w:rFonts w:ascii="黑体" w:hAnsi="黑体" w:eastAsia="黑体"/>
          <w:b w:val="0"/>
        </w:rPr>
      </w:pPr>
      <w:bookmarkStart w:id="44" w:name="_Toc15396612"/>
      <w:bookmarkStart w:id="45" w:name="_Toc15377221"/>
      <w:r>
        <w:rPr>
          <w:rStyle w:val="29"/>
          <w:rFonts w:hint="eastAsia" w:ascii="黑体" w:hAnsi="黑体" w:eastAsia="黑体"/>
          <w:b w:val="0"/>
        </w:rPr>
        <w:t>其他重要事项的情况说明</w:t>
      </w:r>
      <w:bookmarkEnd w:id="44"/>
      <w:bookmarkEnd w:id="45"/>
    </w:p>
    <w:p w14:paraId="6DAA7A1A">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3CD73522">
      <w:pPr>
        <w:ind w:firstLine="709"/>
        <w:rPr>
          <w:rFonts w:ascii="仿宋_GB2312" w:hAnsi="仿宋" w:eastAsia="仿宋_GB2312" w:cs="仿宋"/>
          <w:bCs/>
          <w:sz w:val="32"/>
          <w:szCs w:val="32"/>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乐山市市中区社会保险事务中心</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75.12</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元，比2023年度增加7.55万元，增长1.12%。主要原因是</w:t>
      </w:r>
      <w:r>
        <w:rPr>
          <w:rFonts w:hint="eastAsia" w:ascii="仿宋_GB2312" w:hAnsi="仿宋" w:eastAsia="仿宋_GB2312" w:cs="仿宋"/>
          <w:color w:val="000000"/>
          <w:sz w:val="32"/>
          <w:szCs w:val="32"/>
          <w:lang w:eastAsia="zh-CN"/>
        </w:rPr>
        <w:t>单位今年</w:t>
      </w:r>
      <w:r>
        <w:rPr>
          <w:rFonts w:hint="eastAsia" w:ascii="仿宋_GB2312" w:hAnsi="仿宋" w:eastAsia="仿宋_GB2312" w:cs="仿宋"/>
          <w:color w:val="000000"/>
          <w:sz w:val="32"/>
          <w:szCs w:val="32"/>
        </w:rPr>
        <w:t>新招2人及机构改革原劳动监察大队4人编制划入社保中心导致</w:t>
      </w:r>
      <w:r>
        <w:rPr>
          <w:rFonts w:hint="eastAsia" w:ascii="仿宋_GB2312" w:hAnsi="仿宋" w:eastAsia="仿宋_GB2312" w:cs="仿宋"/>
          <w:color w:val="000000"/>
          <w:sz w:val="32"/>
          <w:szCs w:val="32"/>
          <w:lang w:eastAsia="zh-CN"/>
        </w:rPr>
        <w:t>机关运行经费</w:t>
      </w:r>
      <w:r>
        <w:rPr>
          <w:rFonts w:hint="eastAsia" w:ascii="仿宋_GB2312" w:hAnsi="仿宋" w:eastAsia="仿宋_GB2312" w:cs="仿宋"/>
          <w:color w:val="000000"/>
          <w:sz w:val="32"/>
          <w:szCs w:val="32"/>
        </w:rPr>
        <w:t>增加</w:t>
      </w:r>
      <w:r>
        <w:rPr>
          <w:rFonts w:hint="eastAsia" w:ascii="仿宋_GB2312" w:hAnsi="仿宋" w:eastAsia="仿宋_GB2312" w:cs="仿宋"/>
          <w:color w:val="000000"/>
          <w:sz w:val="32"/>
          <w:szCs w:val="32"/>
          <w:lang w:eastAsia="zh-CN"/>
        </w:rPr>
        <w:t>。</w:t>
      </w:r>
    </w:p>
    <w:p w14:paraId="08735ACA">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6690503D">
      <w:pPr>
        <w:spacing w:line="600" w:lineRule="exact"/>
        <w:ind w:firstLine="640" w:firstLineChars="20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乐山市市中区社会保险事务中心</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1755E46F">
      <w:pPr>
        <w:autoSpaceDE w:val="0"/>
        <w:autoSpaceDN w:val="0"/>
        <w:adjustRightInd w:val="0"/>
        <w:spacing w:line="600" w:lineRule="exact"/>
        <w:ind w:firstLine="643" w:firstLineChars="200"/>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14:paraId="528E2B4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乐山市市中区社会保险事务中心</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辆，单价100万元（含）以上设备（不含车辆）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14:paraId="33B6FE67">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0653BD68">
      <w:pPr>
        <w:spacing w:line="312" w:lineRule="auto"/>
        <w:ind w:firstLine="643"/>
        <w:rPr>
          <w:rFonts w:hint="eastAsia" w:ascii="仿宋_GB2312" w:hAnsi="仿宋_GB2312" w:eastAsia="仿宋_GB2312"/>
          <w:sz w:val="32"/>
        </w:r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ascii="仿宋_GB2312" w:hAnsi="仿宋_GB2312" w:eastAsia="仿宋_GB2312"/>
          <w:sz w:val="32"/>
        </w:rPr>
        <w:t>本单位</w:t>
      </w:r>
      <w:r>
        <w:rPr>
          <w:rFonts w:hint="eastAsia" w:ascii="Times New Roman" w:hAnsi="Times New Roman" w:eastAsia="仿宋_GB2312" w:cs="仿宋_GB2312"/>
          <w:color w:val="auto"/>
          <w:kern w:val="2"/>
          <w:sz w:val="32"/>
          <w:szCs w:val="32"/>
          <w:highlight w:val="none"/>
          <w:lang w:val="en-US" w:eastAsia="zh-CN" w:bidi="ar-SA"/>
        </w:rPr>
        <w:t>在2024年度预算编制阶段，组织对0个项目开展了预算事前绩效评估，对6个项目编制了绩效目标，预算执行过程中，选取6个项目开展绩效监控，</w:t>
      </w:r>
      <w:r>
        <w:rPr>
          <w:rFonts w:hint="eastAsia" w:ascii="仿宋_GB2312" w:hAnsi="仿宋_GB2312" w:eastAsia="仿宋_GB2312"/>
          <w:sz w:val="32"/>
        </w:rPr>
        <w:t>组织对6个项目开展绩效自评，绩效自评表详见第四部分附件。</w:t>
      </w:r>
    </w:p>
    <w:p w14:paraId="3D245290">
      <w:pPr>
        <w:pStyle w:val="2"/>
        <w:rPr>
          <w:rFonts w:hint="eastAsia" w:ascii="仿宋_GB2312" w:hAnsi="仿宋_GB2312" w:eastAsia="仿宋_GB2312"/>
          <w:sz w:val="32"/>
        </w:rPr>
      </w:pPr>
    </w:p>
    <w:p w14:paraId="66F07B43">
      <w:pPr>
        <w:pStyle w:val="3"/>
        <w:rPr>
          <w:rFonts w:hint="eastAsia" w:ascii="仿宋_GB2312" w:hAnsi="仿宋_GB2312" w:eastAsia="仿宋_GB2312"/>
          <w:sz w:val="32"/>
        </w:rPr>
      </w:pPr>
    </w:p>
    <w:p w14:paraId="1EC6486B">
      <w:pPr>
        <w:rPr>
          <w:rFonts w:hint="eastAsia" w:ascii="仿宋_GB2312" w:hAnsi="仿宋_GB2312" w:eastAsia="仿宋_GB2312"/>
          <w:sz w:val="32"/>
        </w:rPr>
      </w:pPr>
    </w:p>
    <w:p w14:paraId="7A01C7EA">
      <w:pPr>
        <w:pStyle w:val="2"/>
        <w:rPr>
          <w:rFonts w:hint="eastAsia" w:ascii="仿宋_GB2312" w:hAnsi="仿宋_GB2312" w:eastAsia="仿宋_GB2312"/>
          <w:sz w:val="32"/>
        </w:rPr>
      </w:pPr>
    </w:p>
    <w:p w14:paraId="6178465E">
      <w:pPr>
        <w:pStyle w:val="3"/>
        <w:rPr>
          <w:rFonts w:hint="eastAsia" w:ascii="仿宋_GB2312" w:hAnsi="仿宋_GB2312" w:eastAsia="仿宋_GB2312"/>
          <w:sz w:val="32"/>
        </w:rPr>
      </w:pPr>
    </w:p>
    <w:p w14:paraId="6B95ABF2">
      <w:pPr>
        <w:rPr>
          <w:rFonts w:hint="eastAsia" w:ascii="仿宋_GB2312" w:hAnsi="仿宋_GB2312" w:eastAsia="仿宋_GB2312"/>
          <w:sz w:val="32"/>
        </w:rPr>
      </w:pPr>
    </w:p>
    <w:p w14:paraId="747A731D">
      <w:pPr>
        <w:pStyle w:val="2"/>
        <w:rPr>
          <w:rFonts w:hint="eastAsia" w:ascii="仿宋_GB2312" w:hAnsi="仿宋_GB2312" w:eastAsia="仿宋_GB2312"/>
          <w:sz w:val="32"/>
        </w:rPr>
      </w:pPr>
    </w:p>
    <w:p w14:paraId="25A1711C">
      <w:pPr>
        <w:pStyle w:val="3"/>
        <w:rPr>
          <w:rFonts w:hint="eastAsia" w:ascii="仿宋_GB2312" w:hAnsi="仿宋_GB2312" w:eastAsia="仿宋_GB2312"/>
          <w:sz w:val="32"/>
        </w:rPr>
      </w:pPr>
    </w:p>
    <w:p w14:paraId="5D216120">
      <w:pPr>
        <w:rPr>
          <w:rFonts w:hint="eastAsia" w:ascii="仿宋_GB2312" w:hAnsi="仿宋_GB2312" w:eastAsia="仿宋_GB2312"/>
          <w:sz w:val="32"/>
        </w:rPr>
      </w:pPr>
    </w:p>
    <w:p w14:paraId="42E83CEB">
      <w:pPr>
        <w:pStyle w:val="2"/>
        <w:rPr>
          <w:rFonts w:hint="eastAsia" w:ascii="仿宋_GB2312" w:hAnsi="仿宋_GB2312" w:eastAsia="仿宋_GB2312"/>
          <w:sz w:val="32"/>
        </w:rPr>
      </w:pPr>
    </w:p>
    <w:p w14:paraId="030B4815">
      <w:pPr>
        <w:pStyle w:val="3"/>
        <w:rPr>
          <w:rFonts w:hint="eastAsia" w:ascii="仿宋_GB2312" w:hAnsi="仿宋_GB2312" w:eastAsia="仿宋_GB2312"/>
          <w:sz w:val="32"/>
        </w:rPr>
      </w:pPr>
    </w:p>
    <w:p w14:paraId="2C84EBB3">
      <w:pPr>
        <w:rPr>
          <w:rFonts w:hint="eastAsia" w:ascii="仿宋_GB2312" w:hAnsi="仿宋_GB2312" w:eastAsia="仿宋_GB2312"/>
          <w:sz w:val="32"/>
        </w:rPr>
      </w:pPr>
    </w:p>
    <w:p w14:paraId="64D9C521">
      <w:pPr>
        <w:spacing w:line="312" w:lineRule="auto"/>
        <w:ind w:firstLine="643"/>
        <w:rPr>
          <w:rFonts w:ascii="仿宋_GB2312" w:eastAsia="仿宋_GB2312"/>
          <w:sz w:val="32"/>
          <w:szCs w:val="32"/>
        </w:rPr>
      </w:pPr>
    </w:p>
    <w:p w14:paraId="043B4B5D">
      <w:pPr>
        <w:pStyle w:val="2"/>
        <w:rPr>
          <w:rFonts w:ascii="仿宋_GB2312" w:eastAsia="仿宋_GB2312"/>
          <w:sz w:val="32"/>
          <w:szCs w:val="32"/>
        </w:rPr>
      </w:pPr>
    </w:p>
    <w:p w14:paraId="6BC98EEF">
      <w:pPr>
        <w:pStyle w:val="3"/>
        <w:rPr>
          <w:rFonts w:ascii="仿宋_GB2312" w:eastAsia="仿宋_GB2312"/>
          <w:sz w:val="32"/>
          <w:szCs w:val="32"/>
        </w:rPr>
      </w:pPr>
    </w:p>
    <w:p w14:paraId="38A2866A">
      <w:pPr>
        <w:rPr>
          <w:rFonts w:ascii="仿宋_GB2312" w:eastAsia="仿宋_GB2312"/>
          <w:sz w:val="32"/>
          <w:szCs w:val="32"/>
        </w:rPr>
      </w:pPr>
    </w:p>
    <w:p w14:paraId="47B2834D">
      <w:pPr>
        <w:pStyle w:val="2"/>
        <w:rPr>
          <w:rFonts w:ascii="仿宋_GB2312" w:eastAsia="仿宋_GB2312"/>
          <w:sz w:val="32"/>
          <w:szCs w:val="32"/>
        </w:rPr>
      </w:pPr>
    </w:p>
    <w:p w14:paraId="76EBDB02">
      <w:pPr>
        <w:pStyle w:val="3"/>
        <w:rPr>
          <w:rFonts w:ascii="仿宋_GB2312" w:eastAsia="仿宋_GB2312"/>
          <w:sz w:val="32"/>
          <w:szCs w:val="32"/>
        </w:rPr>
      </w:pPr>
    </w:p>
    <w:p w14:paraId="00F592A0"/>
    <w:p w14:paraId="23216B06">
      <w:pPr>
        <w:rPr>
          <w:rFonts w:ascii="仿宋_GB2312" w:eastAsia="仿宋_GB2312"/>
          <w:sz w:val="32"/>
          <w:szCs w:val="32"/>
        </w:rPr>
      </w:pPr>
    </w:p>
    <w:p w14:paraId="6C4D5C4C">
      <w:pPr>
        <w:pStyle w:val="2"/>
        <w:rPr>
          <w:rFonts w:ascii="仿宋_GB2312" w:eastAsia="仿宋_GB2312"/>
          <w:sz w:val="32"/>
          <w:szCs w:val="32"/>
        </w:rPr>
      </w:pPr>
    </w:p>
    <w:p w14:paraId="0A5C8051">
      <w:pPr>
        <w:pStyle w:val="3"/>
      </w:pPr>
    </w:p>
    <w:p w14:paraId="15545D1E"/>
    <w:p w14:paraId="0FD67CBD">
      <w:pPr>
        <w:numPr>
          <w:ilvl w:val="0"/>
          <w:numId w:val="4"/>
        </w:numPr>
        <w:spacing w:line="600" w:lineRule="exact"/>
        <w:ind w:firstLine="660" w:firstLineChars="150"/>
        <w:jc w:val="center"/>
        <w:outlineLvl w:val="0"/>
        <w:rPr>
          <w:rStyle w:val="28"/>
          <w:rFonts w:ascii="黑体" w:hAnsi="黑体" w:eastAsia="黑体"/>
          <w:b w:val="0"/>
        </w:rPr>
      </w:pPr>
      <w:bookmarkStart w:id="49" w:name="_Toc15396613"/>
      <w:bookmarkStart w:id="50" w:name="_Toc15377225"/>
      <w:r>
        <w:rPr>
          <w:rFonts w:hint="eastAsia" w:ascii="黑体" w:hAnsi="黑体" w:eastAsia="黑体"/>
          <w:sz w:val="44"/>
          <w:szCs w:val="44"/>
        </w:rPr>
        <w:t>名</w:t>
      </w:r>
      <w:r>
        <w:rPr>
          <w:rStyle w:val="28"/>
          <w:rFonts w:hint="eastAsia" w:ascii="黑体" w:hAnsi="黑体" w:eastAsia="黑体"/>
          <w:b w:val="0"/>
        </w:rPr>
        <w:t>词解释</w:t>
      </w:r>
      <w:bookmarkEnd w:id="49"/>
      <w:bookmarkEnd w:id="50"/>
    </w:p>
    <w:p w14:paraId="137D5653">
      <w:pPr>
        <w:spacing w:line="600" w:lineRule="exact"/>
        <w:jc w:val="left"/>
        <w:rPr>
          <w:rFonts w:ascii="宋体"/>
          <w:b/>
          <w:sz w:val="44"/>
          <w:szCs w:val="44"/>
        </w:rPr>
      </w:pPr>
    </w:p>
    <w:p w14:paraId="57E61D6D">
      <w:pPr>
        <w:ind w:firstLine="640" w:firstLineChars="200"/>
        <w:rPr>
          <w:rFonts w:ascii="仿宋_GB2312" w:eastAsia="仿宋_GB2312"/>
          <w:sz w:val="32"/>
          <w:szCs w:val="32"/>
        </w:rPr>
      </w:pPr>
      <w:r>
        <w:rPr>
          <w:rFonts w:hint="eastAsia" w:ascii="仿宋_GB2312" w:eastAsia="仿宋_GB2312"/>
          <w:sz w:val="32"/>
          <w:szCs w:val="32"/>
        </w:rPr>
        <w:t>1.财政拨款收入：指单位从同级财政部门取得的财政预算资金。</w:t>
      </w:r>
    </w:p>
    <w:p w14:paraId="11B67A88">
      <w:pPr>
        <w:ind w:firstLine="640" w:firstLineChars="200"/>
        <w:rPr>
          <w:rFonts w:ascii="仿宋_GB2312" w:eastAsia="仿宋_GB2312"/>
          <w:sz w:val="32"/>
          <w:szCs w:val="32"/>
        </w:rPr>
      </w:pPr>
      <w:r>
        <w:rPr>
          <w:rFonts w:hint="eastAsia" w:ascii="仿宋_GB2312" w:eastAsia="仿宋_GB2312"/>
          <w:sz w:val="32"/>
          <w:szCs w:val="32"/>
        </w:rPr>
        <w:t xml:space="preserve">2.年初结转和结余：指以前年度尚未完成、结转到本年按有关规定继续使用的资金。 </w:t>
      </w:r>
    </w:p>
    <w:p w14:paraId="7C3BD149">
      <w:pPr>
        <w:ind w:firstLine="640" w:firstLineChars="200"/>
        <w:rPr>
          <w:rFonts w:ascii="仿宋_GB2312" w:eastAsia="仿宋_GB2312"/>
          <w:sz w:val="32"/>
          <w:szCs w:val="32"/>
        </w:rPr>
      </w:pPr>
      <w:r>
        <w:rPr>
          <w:rFonts w:hint="eastAsia" w:ascii="仿宋_GB2312" w:eastAsia="仿宋_GB2312"/>
          <w:sz w:val="32"/>
          <w:szCs w:val="32"/>
        </w:rPr>
        <w:t>3.年末结转和结余：指单位按有关规定结转到下年或以后年度继续使用的资金。</w:t>
      </w:r>
    </w:p>
    <w:p w14:paraId="2B59E026">
      <w:pPr>
        <w:ind w:firstLine="640" w:firstLineChars="200"/>
        <w:rPr>
          <w:rFonts w:ascii="仿宋_GB2312" w:eastAsia="仿宋_GB2312"/>
          <w:sz w:val="32"/>
          <w:szCs w:val="32"/>
        </w:rPr>
      </w:pPr>
      <w:r>
        <w:rPr>
          <w:rFonts w:hint="eastAsia" w:ascii="仿宋_GB2312" w:eastAsia="仿宋_GB2312"/>
          <w:sz w:val="32"/>
          <w:szCs w:val="32"/>
        </w:rPr>
        <w:t>4.社会保障和就业支出（类）人力资源和社会保障管理事务（款） 综合业务管理（项）：指人力资源和社会保障管理方面综合性管理事务支出。</w:t>
      </w:r>
    </w:p>
    <w:p w14:paraId="72357642">
      <w:pPr>
        <w:ind w:firstLine="640" w:firstLineChars="200"/>
        <w:rPr>
          <w:rFonts w:ascii="仿宋_GB2312" w:eastAsia="仿宋_GB2312"/>
          <w:sz w:val="32"/>
          <w:szCs w:val="32"/>
        </w:rPr>
      </w:pPr>
      <w:r>
        <w:rPr>
          <w:rFonts w:hint="eastAsia" w:ascii="仿宋_GB2312" w:eastAsia="仿宋_GB2312"/>
          <w:sz w:val="32"/>
          <w:szCs w:val="32"/>
        </w:rPr>
        <w:t>5.社会保障和就业支出（类）人力资源和社会保障管理事务（款） 社会保险经办机构（项）：指社会保险经办机构开展业务工作的支出。。</w:t>
      </w:r>
    </w:p>
    <w:p w14:paraId="6CBC49BF">
      <w:pPr>
        <w:ind w:firstLine="640" w:firstLineChars="200"/>
        <w:rPr>
          <w:rFonts w:ascii="仿宋_GB2312" w:eastAsia="仿宋_GB2312"/>
          <w:sz w:val="32"/>
          <w:szCs w:val="32"/>
        </w:rPr>
      </w:pPr>
      <w:r>
        <w:rPr>
          <w:rFonts w:hint="eastAsia" w:ascii="仿宋_GB2312" w:eastAsia="仿宋_GB2312"/>
          <w:sz w:val="32"/>
          <w:szCs w:val="32"/>
        </w:rPr>
        <w:t>6.社会保障和就业支出（类）人力资源和社会保障管理事务（款）其他人力资源和社会保障管理事务支出（项）：指除上述以外其他用于人力资源和社会保障管理方面综合性管理事务方面的支出。</w:t>
      </w:r>
    </w:p>
    <w:p w14:paraId="0D4996F6">
      <w:pPr>
        <w:ind w:firstLine="640" w:firstLineChars="200"/>
        <w:rPr>
          <w:rFonts w:ascii="仿宋_GB2312" w:eastAsia="仿宋_GB2312"/>
          <w:sz w:val="32"/>
          <w:szCs w:val="32"/>
        </w:rPr>
      </w:pPr>
      <w:r>
        <w:rPr>
          <w:rFonts w:hint="eastAsia" w:ascii="仿宋_GB2312" w:eastAsia="仿宋_GB2312"/>
          <w:sz w:val="32"/>
          <w:szCs w:val="32"/>
        </w:rPr>
        <w:t>7.社会保障和就业支出（类）行政事业单位养老支出（款） 机关事业单位基本养老保险缴费支出（项）：指机关事业单位实施养老保险制度由单位缴纳的基本养老保险费支出。</w:t>
      </w:r>
    </w:p>
    <w:p w14:paraId="7C9E58CE">
      <w:pPr>
        <w:ind w:firstLine="640" w:firstLineChars="200"/>
        <w:rPr>
          <w:rFonts w:ascii="仿宋_GB2312" w:eastAsia="仿宋_GB2312"/>
          <w:sz w:val="32"/>
          <w:szCs w:val="32"/>
        </w:rPr>
      </w:pPr>
      <w:r>
        <w:rPr>
          <w:rFonts w:hint="eastAsia" w:ascii="仿宋_GB2312" w:eastAsia="仿宋_GB2312"/>
          <w:sz w:val="32"/>
          <w:szCs w:val="32"/>
        </w:rPr>
        <w:t>8.社会保障和就业支出（类）行政事业单位养老支出（款）机关事业单位职业年金缴费支出（项）：指机关事业单位实施养老保险制度由单位实际缴纳的职业年金支出。</w:t>
      </w:r>
    </w:p>
    <w:p w14:paraId="673B1E1E">
      <w:pPr>
        <w:ind w:firstLine="640" w:firstLineChars="200"/>
        <w:rPr>
          <w:rFonts w:ascii="仿宋_GB2312" w:eastAsia="仿宋_GB2312"/>
          <w:sz w:val="32"/>
          <w:szCs w:val="32"/>
        </w:rPr>
      </w:pPr>
      <w:r>
        <w:rPr>
          <w:rFonts w:hint="eastAsia" w:ascii="仿宋_GB2312" w:eastAsia="仿宋_GB2312"/>
          <w:sz w:val="32"/>
          <w:szCs w:val="32"/>
        </w:rPr>
        <w:t>9.社会保障和就业支出（类）行政事业单位养老支出（款）其他行政事业单位养老支出（项）：指除上述项目以外其他用于行政事业单位养老方面的支出。</w:t>
      </w:r>
    </w:p>
    <w:p w14:paraId="22B2E6D1">
      <w:pPr>
        <w:ind w:firstLine="640" w:firstLineChars="200"/>
        <w:rPr>
          <w:rFonts w:ascii="仿宋_GB2312" w:eastAsia="仿宋_GB2312"/>
          <w:color w:val="FF0000"/>
          <w:sz w:val="32"/>
          <w:szCs w:val="32"/>
        </w:rPr>
      </w:pPr>
      <w:r>
        <w:rPr>
          <w:rFonts w:hint="eastAsia" w:ascii="仿宋_GB2312" w:eastAsia="仿宋_GB2312"/>
          <w:sz w:val="32"/>
          <w:szCs w:val="32"/>
        </w:rPr>
        <w:t>10.社会保障和就业支出（类）财政代缴社会保险费支出（款）财政代缴城乡居民基本养老保险费支出（项）：指反映财政为生活困难人员缴纳的城乡居民基本养老保险费支出。</w:t>
      </w:r>
    </w:p>
    <w:p w14:paraId="383A97F6">
      <w:pPr>
        <w:ind w:firstLine="640" w:firstLineChars="200"/>
        <w:rPr>
          <w:rFonts w:ascii="仿宋_GB2312" w:eastAsia="仿宋_GB2312"/>
          <w:sz w:val="32"/>
          <w:szCs w:val="32"/>
        </w:rPr>
      </w:pPr>
      <w:r>
        <w:rPr>
          <w:rFonts w:hint="eastAsia" w:ascii="仿宋_GB2312" w:eastAsia="仿宋_GB2312"/>
          <w:sz w:val="32"/>
          <w:szCs w:val="32"/>
        </w:rPr>
        <w:t>11.社会保障和就业支出（类）</w:t>
      </w:r>
      <w:r>
        <w:rPr>
          <w:rFonts w:hint="eastAsia" w:ascii="仿宋_GB2312" w:eastAsia="仿宋_GB2312"/>
          <w:sz w:val="32"/>
          <w:szCs w:val="32"/>
          <w:lang w:eastAsia="zh-CN"/>
        </w:rPr>
        <w:t>其他社会保障和就业支出</w:t>
      </w:r>
      <w:r>
        <w:rPr>
          <w:rFonts w:hint="eastAsia" w:ascii="仿宋_GB2312" w:eastAsia="仿宋_GB2312"/>
          <w:sz w:val="32"/>
          <w:szCs w:val="32"/>
        </w:rPr>
        <w:t>（款）</w:t>
      </w:r>
      <w:r>
        <w:rPr>
          <w:rFonts w:hint="eastAsia" w:ascii="仿宋_GB2312" w:eastAsia="仿宋_GB2312"/>
          <w:sz w:val="32"/>
          <w:szCs w:val="32"/>
          <w:lang w:eastAsia="zh-CN"/>
        </w:rPr>
        <w:t>其他社会保障和就业支出</w:t>
      </w:r>
      <w:r>
        <w:rPr>
          <w:rFonts w:hint="eastAsia" w:ascii="仿宋_GB2312" w:eastAsia="仿宋_GB2312"/>
          <w:sz w:val="32"/>
          <w:szCs w:val="32"/>
        </w:rPr>
        <w:t>（项）：指</w:t>
      </w:r>
      <w:r>
        <w:rPr>
          <w:rFonts w:hint="eastAsia" w:ascii="仿宋_GB2312" w:eastAsia="仿宋_GB2312"/>
          <w:sz w:val="32"/>
          <w:szCs w:val="32"/>
          <w:lang w:eastAsia="zh-CN"/>
        </w:rPr>
        <w:t>除上述项目以外其他用于社会保障和就业方面的</w:t>
      </w:r>
      <w:r>
        <w:rPr>
          <w:rFonts w:hint="eastAsia" w:ascii="仿宋_GB2312" w:eastAsia="仿宋_GB2312"/>
          <w:sz w:val="32"/>
          <w:szCs w:val="32"/>
        </w:rPr>
        <w:t>支出。</w:t>
      </w:r>
    </w:p>
    <w:p w14:paraId="6BCC9FCA">
      <w:pPr>
        <w:ind w:firstLine="640" w:firstLineChars="200"/>
        <w:rPr>
          <w:rFonts w:ascii="仿宋_GB2312" w:eastAsia="仿宋_GB2312"/>
          <w:sz w:val="32"/>
          <w:szCs w:val="32"/>
        </w:rPr>
      </w:pPr>
      <w:r>
        <w:rPr>
          <w:rFonts w:hint="eastAsia" w:ascii="仿宋_GB2312" w:eastAsia="仿宋_GB2312"/>
          <w:sz w:val="32"/>
          <w:szCs w:val="32"/>
        </w:rPr>
        <w:t>12.卫生健康支出（类）行政事业单位医疗（款）行政单位医疗（项）：指财政部门安排的行政单位(包括实行公务员管理的事业单位)基本医疗保险缴费经费，未参加医疗保险的行政单位的公费医疗经费，按国家规定享受离休人员、红军老战士待遇人员的医疗经费。</w:t>
      </w:r>
    </w:p>
    <w:p w14:paraId="351ED392">
      <w:pPr>
        <w:ind w:firstLine="640" w:firstLineChars="200"/>
        <w:rPr>
          <w:rFonts w:ascii="仿宋_GB2312" w:eastAsia="仿宋_GB2312"/>
          <w:sz w:val="32"/>
          <w:szCs w:val="32"/>
        </w:rPr>
      </w:pPr>
      <w:r>
        <w:rPr>
          <w:rFonts w:hint="eastAsia" w:ascii="仿宋_GB2312" w:eastAsia="仿宋_GB2312"/>
          <w:sz w:val="32"/>
          <w:szCs w:val="32"/>
        </w:rPr>
        <w:t>13.卫生健康支出（类）行政事业单位医疗（款）公务员医疗补助（项）：指财政部门安排的公务员医疗补助经费。</w:t>
      </w:r>
    </w:p>
    <w:p w14:paraId="34EBEDFF">
      <w:pPr>
        <w:ind w:firstLine="640" w:firstLineChars="200"/>
        <w:rPr>
          <w:rFonts w:ascii="仿宋_GB2312" w:eastAsia="仿宋_GB2312"/>
          <w:sz w:val="32"/>
          <w:szCs w:val="32"/>
        </w:rPr>
      </w:pPr>
      <w:r>
        <w:rPr>
          <w:rFonts w:hint="eastAsia" w:ascii="仿宋_GB2312" w:eastAsia="仿宋_GB2312"/>
          <w:sz w:val="32"/>
          <w:szCs w:val="32"/>
        </w:rPr>
        <w:t>14.住房保障支出（类）住房改革支出（款）住房公积金（项）：指行政事业单位按人力资源和社会保障部、财政部规定的基本工资和津贴补贴以及按规定比例为职工缴纳的住房公积金。</w:t>
      </w:r>
    </w:p>
    <w:p w14:paraId="73C4B56F">
      <w:pPr>
        <w:ind w:firstLine="640" w:firstLineChars="200"/>
        <w:rPr>
          <w:rFonts w:ascii="仿宋_GB2312" w:eastAsia="仿宋_GB2312"/>
          <w:sz w:val="32"/>
          <w:szCs w:val="32"/>
        </w:rPr>
      </w:pPr>
      <w:r>
        <w:rPr>
          <w:rFonts w:hint="eastAsia" w:ascii="仿宋_GB2312" w:eastAsia="仿宋_GB2312"/>
          <w:sz w:val="32"/>
          <w:szCs w:val="32"/>
        </w:rPr>
        <w:t>15</w:t>
      </w:r>
      <w:r>
        <w:rPr>
          <w:rFonts w:ascii="仿宋_GB2312" w:eastAsia="仿宋_GB2312"/>
          <w:sz w:val="32"/>
          <w:szCs w:val="32"/>
        </w:rPr>
        <w:t>.</w:t>
      </w:r>
      <w:r>
        <w:rPr>
          <w:rFonts w:hint="eastAsia" w:ascii="仿宋_GB2312" w:eastAsia="仿宋_GB2312"/>
          <w:sz w:val="32"/>
          <w:szCs w:val="32"/>
        </w:rPr>
        <w:t>基本支出：指为保障机构正常运转、完成日常工作任务而发生的人员支出和公用支出。</w:t>
      </w:r>
    </w:p>
    <w:p w14:paraId="0C00A348">
      <w:pPr>
        <w:ind w:firstLine="640" w:firstLineChars="200"/>
        <w:rPr>
          <w:rFonts w:ascii="仿宋_GB2312" w:eastAsia="仿宋_GB2312"/>
          <w:sz w:val="32"/>
          <w:szCs w:val="32"/>
        </w:rPr>
      </w:pPr>
      <w:r>
        <w:rPr>
          <w:rFonts w:hint="eastAsia" w:ascii="仿宋_GB2312" w:eastAsia="仿宋_GB2312"/>
          <w:sz w:val="32"/>
          <w:szCs w:val="32"/>
        </w:rPr>
        <w:t>16</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14:paraId="1DCDA42B">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17</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4BE0C39">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18</w:t>
      </w:r>
      <w:r>
        <w:rPr>
          <w:rFonts w:ascii="仿宋_GB2312" w:eastAsia="仿宋_GB2312"/>
          <w:color w:val="auto"/>
          <w:sz w:val="32"/>
          <w:szCs w:val="32"/>
        </w:rPr>
        <w:t>.</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84E5CE0">
      <w:pPr>
        <w:pStyle w:val="26"/>
        <w:spacing w:line="560" w:lineRule="exact"/>
        <w:ind w:firstLine="640" w:firstLineChars="200"/>
        <w:rPr>
          <w:rFonts w:ascii="仿宋_GB2312" w:eastAsia="仿宋_GB2312" w:cs="黑体"/>
          <w:color w:val="auto"/>
          <w:sz w:val="32"/>
          <w:szCs w:val="32"/>
        </w:rPr>
      </w:pPr>
    </w:p>
    <w:p w14:paraId="7B3C2DC3">
      <w:pPr>
        <w:spacing w:line="600" w:lineRule="exact"/>
        <w:jc w:val="center"/>
        <w:outlineLvl w:val="0"/>
        <w:rPr>
          <w:rStyle w:val="28"/>
          <w:rFonts w:ascii="黑体" w:hAnsi="黑体" w:eastAsia="黑体"/>
          <w:b w:val="0"/>
        </w:rPr>
      </w:pPr>
      <w:bookmarkStart w:id="51" w:name="_Toc15377226"/>
      <w:r>
        <w:rPr>
          <w:rFonts w:ascii="宋体"/>
          <w:b/>
          <w:sz w:val="44"/>
          <w:szCs w:val="44"/>
        </w:rPr>
        <w:br w:type="page"/>
      </w:r>
      <w:bookmarkStart w:id="52" w:name="_Toc15396614"/>
      <w:r>
        <w:rPr>
          <w:rFonts w:hint="eastAsia" w:ascii="黑体" w:hAnsi="黑体" w:eastAsia="黑体"/>
          <w:sz w:val="44"/>
          <w:szCs w:val="44"/>
        </w:rPr>
        <w:t>第</w:t>
      </w:r>
      <w:r>
        <w:rPr>
          <w:rStyle w:val="28"/>
          <w:rFonts w:hint="eastAsia" w:ascii="黑体" w:hAnsi="黑体" w:eastAsia="黑体"/>
          <w:b w:val="0"/>
        </w:rPr>
        <w:t>四部分 附件</w:t>
      </w:r>
      <w:bookmarkEnd w:id="52"/>
    </w:p>
    <w:p w14:paraId="46993335">
      <w:pPr>
        <w:spacing w:line="600" w:lineRule="exact"/>
        <w:jc w:val="center"/>
        <w:outlineLvl w:val="0"/>
        <w:rPr>
          <w:sz w:val="32"/>
          <w:szCs w:val="32"/>
        </w:rPr>
      </w:pPr>
      <w:bookmarkStart w:id="53" w:name="_Toc15396618"/>
    </w:p>
    <w:p w14:paraId="1FD7DFC1">
      <w:pPr>
        <w:spacing w:line="600" w:lineRule="exact"/>
        <w:jc w:val="center"/>
        <w:outlineLvl w:val="0"/>
        <w:rPr>
          <w:rFonts w:hint="eastAsia"/>
          <w:sz w:val="32"/>
          <w:szCs w:val="32"/>
        </w:rPr>
      </w:pPr>
      <w:r>
        <w:rPr>
          <w:rFonts w:hint="eastAsia"/>
          <w:sz w:val="32"/>
          <w:szCs w:val="32"/>
        </w:rPr>
        <w:t>部门预算项目支出绩效自评表（202</w:t>
      </w:r>
      <w:r>
        <w:rPr>
          <w:rFonts w:hint="eastAsia"/>
          <w:sz w:val="32"/>
          <w:szCs w:val="32"/>
          <w:lang w:val="en-US" w:eastAsia="zh-CN"/>
        </w:rPr>
        <w:t>4</w:t>
      </w:r>
      <w:r>
        <w:rPr>
          <w:rFonts w:hint="eastAsia"/>
          <w:sz w:val="32"/>
          <w:szCs w:val="32"/>
        </w:rPr>
        <w:t>年度）</w:t>
      </w:r>
    </w:p>
    <w:p w14:paraId="79A09FD1">
      <w:pPr>
        <w:pStyle w:val="2"/>
        <w:rPr>
          <w:rFonts w:hint="eastAsia" w:eastAsia="宋体"/>
          <w:lang w:eastAsia="zh-CN"/>
        </w:rPr>
      </w:pPr>
      <w:r>
        <w:drawing>
          <wp:inline distT="0" distB="0" distL="114300" distR="114300">
            <wp:extent cx="5271135" cy="7595870"/>
            <wp:effectExtent l="0" t="0" r="5715"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71135" cy="7595870"/>
                    </a:xfrm>
                    <a:prstGeom prst="rect">
                      <a:avLst/>
                    </a:prstGeom>
                    <a:noFill/>
                    <a:ln>
                      <a:noFill/>
                    </a:ln>
                  </pic:spPr>
                </pic:pic>
              </a:graphicData>
            </a:graphic>
          </wp:inline>
        </w:drawing>
      </w:r>
    </w:p>
    <w:p w14:paraId="36A02A6A">
      <w:pPr>
        <w:spacing w:line="600" w:lineRule="exact"/>
        <w:jc w:val="center"/>
        <w:outlineLvl w:val="0"/>
        <w:rPr>
          <w:rFonts w:hint="eastAsia"/>
          <w:sz w:val="32"/>
          <w:szCs w:val="32"/>
        </w:rPr>
      </w:pPr>
      <w:r>
        <w:rPr>
          <w:rFonts w:hint="eastAsia"/>
          <w:sz w:val="32"/>
          <w:szCs w:val="32"/>
        </w:rPr>
        <w:t>部门预算项目支出绩效自评表（202</w:t>
      </w:r>
      <w:r>
        <w:rPr>
          <w:rFonts w:hint="eastAsia"/>
          <w:sz w:val="32"/>
          <w:szCs w:val="32"/>
          <w:lang w:val="en-US" w:eastAsia="zh-CN"/>
        </w:rPr>
        <w:t>4</w:t>
      </w:r>
      <w:r>
        <w:rPr>
          <w:rFonts w:hint="eastAsia"/>
          <w:sz w:val="32"/>
          <w:szCs w:val="32"/>
        </w:rPr>
        <w:t>年度）</w:t>
      </w:r>
    </w:p>
    <w:p w14:paraId="6DAAB264">
      <w:pPr>
        <w:pStyle w:val="8"/>
        <w:spacing w:before="93"/>
        <w:rPr>
          <w:rFonts w:hint="eastAsia" w:hAnsi="Calibri" w:eastAsia="仿宋_GB2312" w:cs="仿宋"/>
          <w:sz w:val="32"/>
          <w:szCs w:val="32"/>
          <w:lang w:eastAsia="zh-CN"/>
        </w:rPr>
      </w:pPr>
      <w:r>
        <w:rPr>
          <w:rFonts w:hint="eastAsia" w:hAnsi="Calibri" w:eastAsia="仿宋_GB2312" w:cs="仿宋"/>
          <w:sz w:val="32"/>
          <w:szCs w:val="32"/>
          <w:lang w:eastAsia="zh-CN"/>
        </w:rPr>
        <w:drawing>
          <wp:inline distT="0" distB="0" distL="114300" distR="114300">
            <wp:extent cx="5270500" cy="8214995"/>
            <wp:effectExtent l="0" t="0" r="6350" b="14605"/>
            <wp:docPr id="2" name="图片 2"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2"/>
                    <pic:cNvPicPr>
                      <a:picLocks noChangeAspect="1"/>
                    </pic:cNvPicPr>
                  </pic:nvPicPr>
                  <pic:blipFill>
                    <a:blip r:embed="rId14"/>
                    <a:stretch>
                      <a:fillRect/>
                    </a:stretch>
                  </pic:blipFill>
                  <pic:spPr>
                    <a:xfrm>
                      <a:off x="0" y="0"/>
                      <a:ext cx="5270500" cy="8214995"/>
                    </a:xfrm>
                    <a:prstGeom prst="rect">
                      <a:avLst/>
                    </a:prstGeom>
                  </pic:spPr>
                </pic:pic>
              </a:graphicData>
            </a:graphic>
          </wp:inline>
        </w:drawing>
      </w:r>
    </w:p>
    <w:p w14:paraId="78F1A192">
      <w:pPr>
        <w:spacing w:line="600" w:lineRule="exact"/>
        <w:jc w:val="center"/>
        <w:outlineLvl w:val="0"/>
        <w:rPr>
          <w:rFonts w:hint="eastAsia"/>
          <w:sz w:val="32"/>
          <w:szCs w:val="32"/>
        </w:rPr>
      </w:pPr>
      <w:r>
        <w:rPr>
          <w:rFonts w:hint="eastAsia"/>
          <w:sz w:val="32"/>
          <w:szCs w:val="32"/>
        </w:rPr>
        <w:t>部门预算项目支出绩效自评表（202</w:t>
      </w:r>
      <w:r>
        <w:rPr>
          <w:rFonts w:hint="eastAsia"/>
          <w:sz w:val="32"/>
          <w:szCs w:val="32"/>
          <w:lang w:val="en-US" w:eastAsia="zh-CN"/>
        </w:rPr>
        <w:t>4</w:t>
      </w:r>
      <w:r>
        <w:rPr>
          <w:rFonts w:hint="eastAsia"/>
          <w:sz w:val="32"/>
          <w:szCs w:val="32"/>
        </w:rPr>
        <w:t>年度）</w:t>
      </w:r>
    </w:p>
    <w:p w14:paraId="089610BF">
      <w:pPr>
        <w:pStyle w:val="8"/>
        <w:spacing w:before="93"/>
        <w:rPr>
          <w:rFonts w:hAnsi="Calibri" w:cs="仿宋"/>
          <w:sz w:val="32"/>
          <w:szCs w:val="32"/>
        </w:rPr>
      </w:pPr>
      <w:r>
        <w:drawing>
          <wp:inline distT="0" distB="0" distL="114300" distR="114300">
            <wp:extent cx="5272405" cy="8232775"/>
            <wp:effectExtent l="0" t="0" r="444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72405" cy="8232775"/>
                    </a:xfrm>
                    <a:prstGeom prst="rect">
                      <a:avLst/>
                    </a:prstGeom>
                    <a:noFill/>
                    <a:ln>
                      <a:noFill/>
                    </a:ln>
                  </pic:spPr>
                </pic:pic>
              </a:graphicData>
            </a:graphic>
          </wp:inline>
        </w:drawing>
      </w:r>
    </w:p>
    <w:p w14:paraId="3DAD443E">
      <w:pPr>
        <w:pStyle w:val="8"/>
        <w:spacing w:before="93"/>
        <w:ind w:firstLine="960" w:firstLineChars="300"/>
        <w:rPr>
          <w:rFonts w:hAnsi="Calibri" w:cs="仿宋"/>
          <w:sz w:val="32"/>
          <w:szCs w:val="32"/>
        </w:rPr>
      </w:pPr>
      <w:r>
        <w:rPr>
          <w:rFonts w:hint="eastAsia"/>
          <w:sz w:val="32"/>
          <w:szCs w:val="32"/>
        </w:rPr>
        <w:t>部门预算项目支出绩效自评表（202</w:t>
      </w:r>
      <w:r>
        <w:rPr>
          <w:rFonts w:hint="eastAsia"/>
          <w:sz w:val="32"/>
          <w:szCs w:val="32"/>
          <w:lang w:val="en-US" w:eastAsia="zh-CN"/>
        </w:rPr>
        <w:t>4</w:t>
      </w:r>
      <w:r>
        <w:rPr>
          <w:rFonts w:hint="eastAsia"/>
          <w:sz w:val="32"/>
          <w:szCs w:val="32"/>
        </w:rPr>
        <w:t>年度）</w:t>
      </w:r>
    </w:p>
    <w:p w14:paraId="2D975AEC">
      <w:r>
        <w:drawing>
          <wp:inline distT="0" distB="0" distL="114300" distR="114300">
            <wp:extent cx="5272405" cy="8356600"/>
            <wp:effectExtent l="0" t="0" r="4445"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72405" cy="8356600"/>
                    </a:xfrm>
                    <a:prstGeom prst="rect">
                      <a:avLst/>
                    </a:prstGeom>
                    <a:noFill/>
                    <a:ln>
                      <a:noFill/>
                    </a:ln>
                  </pic:spPr>
                </pic:pic>
              </a:graphicData>
            </a:graphic>
          </wp:inline>
        </w:drawing>
      </w:r>
    </w:p>
    <w:p w14:paraId="5F0F88ED">
      <w:pPr>
        <w:pStyle w:val="8"/>
        <w:spacing w:before="93"/>
        <w:ind w:firstLine="960" w:firstLineChars="300"/>
        <w:rPr>
          <w:rFonts w:hAnsi="Calibri" w:cs="仿宋"/>
          <w:sz w:val="32"/>
          <w:szCs w:val="32"/>
        </w:rPr>
      </w:pPr>
      <w:r>
        <w:rPr>
          <w:rFonts w:hint="eastAsia"/>
          <w:sz w:val="32"/>
          <w:szCs w:val="32"/>
        </w:rPr>
        <w:t>部门预算项目支出绩效自评表（202</w:t>
      </w:r>
      <w:r>
        <w:rPr>
          <w:rFonts w:hint="eastAsia"/>
          <w:sz w:val="32"/>
          <w:szCs w:val="32"/>
          <w:lang w:val="en-US" w:eastAsia="zh-CN"/>
        </w:rPr>
        <w:t>4</w:t>
      </w:r>
      <w:r>
        <w:rPr>
          <w:rFonts w:hint="eastAsia"/>
          <w:sz w:val="32"/>
          <w:szCs w:val="32"/>
        </w:rPr>
        <w:t>年度）</w:t>
      </w:r>
    </w:p>
    <w:p w14:paraId="2EDEBF13">
      <w:pPr>
        <w:pStyle w:val="8"/>
        <w:spacing w:before="93"/>
        <w:rPr>
          <w:rFonts w:hAnsi="Calibri" w:cs="仿宋"/>
          <w:sz w:val="32"/>
          <w:szCs w:val="32"/>
        </w:rPr>
      </w:pPr>
      <w:r>
        <w:drawing>
          <wp:inline distT="0" distB="0" distL="114300" distR="114300">
            <wp:extent cx="5270500" cy="8246745"/>
            <wp:effectExtent l="0" t="0" r="635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5270500" cy="8246745"/>
                    </a:xfrm>
                    <a:prstGeom prst="rect">
                      <a:avLst/>
                    </a:prstGeom>
                    <a:noFill/>
                    <a:ln>
                      <a:noFill/>
                    </a:ln>
                  </pic:spPr>
                </pic:pic>
              </a:graphicData>
            </a:graphic>
          </wp:inline>
        </w:drawing>
      </w:r>
    </w:p>
    <w:p w14:paraId="552AE74C">
      <w:pPr>
        <w:pStyle w:val="8"/>
        <w:spacing w:before="93"/>
        <w:ind w:firstLine="960" w:firstLineChars="300"/>
        <w:rPr>
          <w:rFonts w:hAnsi="Calibri" w:cs="仿宋"/>
          <w:sz w:val="32"/>
          <w:szCs w:val="32"/>
        </w:rPr>
      </w:pPr>
      <w:r>
        <w:rPr>
          <w:rFonts w:hint="eastAsia"/>
          <w:sz w:val="32"/>
          <w:szCs w:val="32"/>
        </w:rPr>
        <w:t>部门预算项目支出绩效自评表（202</w:t>
      </w:r>
      <w:r>
        <w:rPr>
          <w:rFonts w:hint="eastAsia"/>
          <w:sz w:val="32"/>
          <w:szCs w:val="32"/>
          <w:lang w:val="en-US" w:eastAsia="zh-CN"/>
        </w:rPr>
        <w:t>4</w:t>
      </w:r>
      <w:r>
        <w:rPr>
          <w:rFonts w:hint="eastAsia"/>
          <w:sz w:val="32"/>
          <w:szCs w:val="32"/>
        </w:rPr>
        <w:t>年度）</w:t>
      </w:r>
    </w:p>
    <w:p w14:paraId="4263D1E6">
      <w:pPr>
        <w:pStyle w:val="8"/>
        <w:spacing w:before="93"/>
        <w:rPr>
          <w:rFonts w:hAnsi="Calibri" w:cs="仿宋"/>
          <w:sz w:val="32"/>
          <w:szCs w:val="32"/>
        </w:rPr>
      </w:pPr>
      <w:r>
        <w:drawing>
          <wp:inline distT="0" distB="0" distL="114300" distR="114300">
            <wp:extent cx="5271135" cy="8249920"/>
            <wp:effectExtent l="0" t="0" r="5715" b="177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stretch>
                      <a:fillRect/>
                    </a:stretch>
                  </pic:blipFill>
                  <pic:spPr>
                    <a:xfrm>
                      <a:off x="0" y="0"/>
                      <a:ext cx="5271135" cy="8249920"/>
                    </a:xfrm>
                    <a:prstGeom prst="rect">
                      <a:avLst/>
                    </a:prstGeom>
                    <a:noFill/>
                    <a:ln>
                      <a:noFill/>
                    </a:ln>
                  </pic:spPr>
                </pic:pic>
              </a:graphicData>
            </a:graphic>
          </wp:inline>
        </w:drawing>
      </w:r>
    </w:p>
    <w:p w14:paraId="52E1EC37">
      <w:pPr>
        <w:spacing w:line="600" w:lineRule="exact"/>
        <w:jc w:val="center"/>
        <w:outlineLvl w:val="0"/>
        <w:rPr>
          <w:rFonts w:ascii="仿宋" w:hAnsi="仿宋" w:eastAsia="仿宋"/>
        </w:rPr>
      </w:pPr>
      <w:r>
        <w:rPr>
          <w:rFonts w:hint="eastAsia" w:ascii="黑体" w:hAnsi="黑体" w:eastAsia="黑体"/>
          <w:sz w:val="44"/>
          <w:szCs w:val="44"/>
        </w:rPr>
        <w:t>第</w:t>
      </w:r>
      <w:r>
        <w:rPr>
          <w:rStyle w:val="28"/>
          <w:rFonts w:hint="eastAsia" w:ascii="黑体" w:hAnsi="黑体" w:eastAsia="黑体"/>
          <w:b w:val="0"/>
        </w:rPr>
        <w:t>五部分 附表</w:t>
      </w:r>
      <w:bookmarkEnd w:id="51"/>
      <w:bookmarkEnd w:id="53"/>
      <w:bookmarkStart w:id="54" w:name="_Toc15396619"/>
    </w:p>
    <w:p w14:paraId="18D87F1A">
      <w:pPr>
        <w:pStyle w:val="6"/>
        <w:rPr>
          <w:rFonts w:ascii="仿宋" w:hAnsi="仿宋" w:eastAsia="仿宋"/>
        </w:rPr>
      </w:pPr>
      <w:r>
        <w:rPr>
          <w:rFonts w:hint="eastAsia" w:ascii="仿宋" w:hAnsi="仿宋" w:eastAsia="仿宋"/>
          <w:b w:val="0"/>
        </w:rPr>
        <w:t>一、收</w:t>
      </w:r>
      <w:r>
        <w:rPr>
          <w:rStyle w:val="29"/>
          <w:rFonts w:hint="eastAsia" w:ascii="仿宋" w:hAnsi="仿宋" w:eastAsia="仿宋"/>
          <w:b w:val="0"/>
          <w:bCs w:val="0"/>
        </w:rPr>
        <w:t>入支出决算总表</w:t>
      </w:r>
      <w:bookmarkEnd w:id="54"/>
    </w:p>
    <w:p w14:paraId="7A09C408">
      <w:pPr>
        <w:pStyle w:val="6"/>
        <w:rPr>
          <w:rFonts w:ascii="仿宋" w:hAnsi="仿宋" w:eastAsia="仿宋"/>
        </w:rPr>
      </w:pPr>
      <w:bookmarkStart w:id="55" w:name="_Toc15396620"/>
      <w:r>
        <w:rPr>
          <w:rFonts w:hint="eastAsia" w:ascii="仿宋" w:hAnsi="仿宋" w:eastAsia="仿宋"/>
          <w:b w:val="0"/>
        </w:rPr>
        <w:t>二、收</w:t>
      </w:r>
      <w:r>
        <w:rPr>
          <w:rStyle w:val="29"/>
          <w:rFonts w:hint="eastAsia" w:ascii="仿宋" w:hAnsi="仿宋" w:eastAsia="仿宋"/>
          <w:b w:val="0"/>
          <w:bCs w:val="0"/>
        </w:rPr>
        <w:t>入决算表</w:t>
      </w:r>
      <w:bookmarkEnd w:id="55"/>
    </w:p>
    <w:p w14:paraId="046EF442">
      <w:pPr>
        <w:pStyle w:val="6"/>
        <w:rPr>
          <w:rFonts w:ascii="仿宋" w:hAnsi="仿宋" w:eastAsia="仿宋"/>
        </w:rPr>
      </w:pPr>
      <w:bookmarkStart w:id="56" w:name="_Toc15396621"/>
      <w:r>
        <w:rPr>
          <w:rStyle w:val="29"/>
          <w:rFonts w:hint="eastAsia" w:ascii="仿宋" w:hAnsi="仿宋" w:eastAsia="仿宋"/>
          <w:b w:val="0"/>
          <w:bCs w:val="0"/>
        </w:rPr>
        <w:t>三、</w:t>
      </w:r>
      <w:r>
        <w:rPr>
          <w:rFonts w:hint="eastAsia" w:ascii="仿宋" w:hAnsi="仿宋" w:eastAsia="仿宋"/>
          <w:b w:val="0"/>
        </w:rPr>
        <w:t>支</w:t>
      </w:r>
      <w:r>
        <w:rPr>
          <w:rStyle w:val="29"/>
          <w:rFonts w:hint="eastAsia" w:ascii="仿宋" w:hAnsi="仿宋" w:eastAsia="仿宋"/>
          <w:b w:val="0"/>
          <w:bCs w:val="0"/>
        </w:rPr>
        <w:t>出决算表</w:t>
      </w:r>
      <w:bookmarkEnd w:id="56"/>
    </w:p>
    <w:p w14:paraId="322F5870">
      <w:pPr>
        <w:pStyle w:val="6"/>
        <w:rPr>
          <w:rFonts w:ascii="仿宋" w:hAnsi="仿宋" w:eastAsia="仿宋"/>
          <w:b w:val="0"/>
        </w:rPr>
      </w:pPr>
      <w:bookmarkStart w:id="57" w:name="_Toc15396622"/>
      <w:r>
        <w:rPr>
          <w:rStyle w:val="29"/>
          <w:rFonts w:hint="eastAsia" w:ascii="仿宋" w:hAnsi="仿宋" w:eastAsia="仿宋"/>
          <w:b w:val="0"/>
          <w:bCs w:val="0"/>
        </w:rPr>
        <w:t>四、</w:t>
      </w:r>
      <w:r>
        <w:rPr>
          <w:rFonts w:hint="eastAsia" w:ascii="仿宋" w:hAnsi="仿宋" w:eastAsia="仿宋"/>
          <w:b w:val="0"/>
        </w:rPr>
        <w:t>财</w:t>
      </w:r>
      <w:r>
        <w:rPr>
          <w:rStyle w:val="29"/>
          <w:rFonts w:hint="eastAsia" w:ascii="仿宋" w:hAnsi="仿宋" w:eastAsia="仿宋"/>
          <w:b w:val="0"/>
          <w:bCs w:val="0"/>
        </w:rPr>
        <w:t>政拨款收入支出决算总表</w:t>
      </w:r>
      <w:bookmarkEnd w:id="57"/>
    </w:p>
    <w:p w14:paraId="27746DF3">
      <w:pPr>
        <w:pStyle w:val="6"/>
        <w:rPr>
          <w:rStyle w:val="29"/>
          <w:rFonts w:ascii="仿宋" w:hAnsi="仿宋" w:eastAsia="仿宋"/>
          <w:b w:val="0"/>
          <w:bCs w:val="0"/>
        </w:rPr>
      </w:pPr>
      <w:bookmarkStart w:id="58" w:name="_Toc15396623"/>
      <w:r>
        <w:rPr>
          <w:rStyle w:val="29"/>
          <w:rFonts w:hint="eastAsia" w:ascii="仿宋" w:hAnsi="仿宋" w:eastAsia="仿宋"/>
          <w:b w:val="0"/>
          <w:bCs w:val="0"/>
        </w:rPr>
        <w:t>五、</w:t>
      </w:r>
      <w:r>
        <w:rPr>
          <w:rFonts w:hint="eastAsia" w:ascii="仿宋" w:hAnsi="仿宋" w:eastAsia="仿宋"/>
          <w:b w:val="0"/>
        </w:rPr>
        <w:t>财</w:t>
      </w:r>
      <w:r>
        <w:rPr>
          <w:rStyle w:val="29"/>
          <w:rFonts w:hint="eastAsia" w:ascii="仿宋" w:hAnsi="仿宋" w:eastAsia="仿宋"/>
          <w:b w:val="0"/>
          <w:bCs w:val="0"/>
        </w:rPr>
        <w:t>政拨款支出决算明细表</w:t>
      </w:r>
      <w:bookmarkEnd w:id="58"/>
      <w:bookmarkStart w:id="59" w:name="_Toc15396624"/>
    </w:p>
    <w:p w14:paraId="30AEAE73">
      <w:pPr>
        <w:pStyle w:val="6"/>
        <w:rPr>
          <w:rFonts w:ascii="仿宋" w:hAnsi="仿宋" w:eastAsia="仿宋"/>
        </w:rPr>
      </w:pPr>
      <w:r>
        <w:rPr>
          <w:rStyle w:val="29"/>
          <w:rFonts w:hint="eastAsia" w:ascii="仿宋" w:hAnsi="仿宋" w:eastAsia="仿宋"/>
          <w:b w:val="0"/>
          <w:bCs w:val="0"/>
        </w:rPr>
        <w:t>六、</w:t>
      </w:r>
      <w:r>
        <w:rPr>
          <w:rFonts w:hint="eastAsia" w:ascii="仿宋" w:hAnsi="仿宋" w:eastAsia="仿宋"/>
          <w:b w:val="0"/>
        </w:rPr>
        <w:t>一</w:t>
      </w:r>
      <w:r>
        <w:rPr>
          <w:rStyle w:val="29"/>
          <w:rFonts w:hint="eastAsia" w:ascii="仿宋" w:hAnsi="仿宋" w:eastAsia="仿宋"/>
          <w:b w:val="0"/>
          <w:bCs w:val="0"/>
        </w:rPr>
        <w:t>般公共预算财政拨款支出决算表</w:t>
      </w:r>
      <w:bookmarkEnd w:id="59"/>
    </w:p>
    <w:p w14:paraId="5334BB2E">
      <w:pPr>
        <w:pStyle w:val="6"/>
        <w:rPr>
          <w:rFonts w:ascii="仿宋" w:hAnsi="仿宋" w:eastAsia="仿宋"/>
        </w:rPr>
      </w:pPr>
      <w:bookmarkStart w:id="60" w:name="_Toc15396625"/>
      <w:r>
        <w:rPr>
          <w:rStyle w:val="29"/>
          <w:rFonts w:hint="eastAsia" w:ascii="仿宋" w:hAnsi="仿宋" w:eastAsia="仿宋"/>
          <w:b w:val="0"/>
          <w:bCs w:val="0"/>
        </w:rPr>
        <w:t>七、</w:t>
      </w:r>
      <w:r>
        <w:rPr>
          <w:rFonts w:hint="eastAsia" w:ascii="仿宋" w:hAnsi="仿宋" w:eastAsia="仿宋"/>
          <w:b w:val="0"/>
        </w:rPr>
        <w:t>一</w:t>
      </w:r>
      <w:r>
        <w:rPr>
          <w:rStyle w:val="29"/>
          <w:rFonts w:hint="eastAsia" w:ascii="仿宋" w:hAnsi="仿宋" w:eastAsia="仿宋"/>
          <w:b w:val="0"/>
          <w:bCs w:val="0"/>
        </w:rPr>
        <w:t>般公共预算财政拨款支出决算明细表</w:t>
      </w:r>
      <w:bookmarkEnd w:id="60"/>
    </w:p>
    <w:p w14:paraId="63D1291B">
      <w:pPr>
        <w:pStyle w:val="6"/>
        <w:rPr>
          <w:rFonts w:ascii="仿宋" w:hAnsi="仿宋" w:eastAsia="仿宋"/>
        </w:rPr>
      </w:pPr>
      <w:bookmarkStart w:id="61" w:name="_Toc15396626"/>
      <w:r>
        <w:rPr>
          <w:rStyle w:val="29"/>
          <w:rFonts w:hint="eastAsia" w:ascii="仿宋" w:hAnsi="仿宋" w:eastAsia="仿宋"/>
          <w:b w:val="0"/>
          <w:bCs w:val="0"/>
        </w:rPr>
        <w:t>八、</w:t>
      </w:r>
      <w:r>
        <w:rPr>
          <w:rFonts w:hint="eastAsia" w:ascii="仿宋" w:hAnsi="仿宋" w:eastAsia="仿宋"/>
          <w:b w:val="0"/>
        </w:rPr>
        <w:t>一</w:t>
      </w:r>
      <w:r>
        <w:rPr>
          <w:rStyle w:val="29"/>
          <w:rFonts w:hint="eastAsia" w:ascii="仿宋" w:hAnsi="仿宋" w:eastAsia="仿宋"/>
          <w:b w:val="0"/>
          <w:bCs w:val="0"/>
        </w:rPr>
        <w:t>般公共预算财政拨款基本支出决算表</w:t>
      </w:r>
      <w:bookmarkEnd w:id="61"/>
    </w:p>
    <w:p w14:paraId="788C31C8">
      <w:pPr>
        <w:pStyle w:val="6"/>
        <w:rPr>
          <w:rFonts w:ascii="仿宋" w:hAnsi="仿宋" w:eastAsia="仿宋"/>
        </w:rPr>
      </w:pPr>
      <w:bookmarkStart w:id="62" w:name="_Toc15396627"/>
      <w:r>
        <w:rPr>
          <w:rStyle w:val="29"/>
          <w:rFonts w:hint="eastAsia" w:ascii="仿宋" w:hAnsi="仿宋" w:eastAsia="仿宋"/>
          <w:b w:val="0"/>
          <w:bCs w:val="0"/>
        </w:rPr>
        <w:t>九、</w:t>
      </w:r>
      <w:r>
        <w:rPr>
          <w:rFonts w:hint="eastAsia" w:ascii="仿宋" w:hAnsi="仿宋" w:eastAsia="仿宋"/>
          <w:b w:val="0"/>
        </w:rPr>
        <w:t>一</w:t>
      </w:r>
      <w:r>
        <w:rPr>
          <w:rStyle w:val="29"/>
          <w:rFonts w:hint="eastAsia" w:ascii="仿宋" w:hAnsi="仿宋" w:eastAsia="仿宋"/>
          <w:b w:val="0"/>
          <w:bCs w:val="0"/>
        </w:rPr>
        <w:t>般公共预算财政拨款项目支出决算表</w:t>
      </w:r>
      <w:bookmarkEnd w:id="62"/>
    </w:p>
    <w:p w14:paraId="1CCE240F">
      <w:pPr>
        <w:pStyle w:val="6"/>
        <w:rPr>
          <w:rFonts w:ascii="仿宋" w:hAnsi="仿宋" w:eastAsia="仿宋"/>
        </w:rPr>
      </w:pPr>
      <w:bookmarkStart w:id="63" w:name="_Toc15396628"/>
      <w:r>
        <w:rPr>
          <w:rStyle w:val="29"/>
          <w:rFonts w:hint="eastAsia" w:ascii="仿宋" w:hAnsi="仿宋" w:eastAsia="仿宋"/>
          <w:b w:val="0"/>
          <w:bCs w:val="0"/>
        </w:rPr>
        <w:t>十、</w:t>
      </w:r>
      <w:bookmarkEnd w:id="63"/>
      <w:r>
        <w:rPr>
          <w:rFonts w:hint="eastAsia" w:ascii="仿宋" w:hAnsi="仿宋" w:eastAsia="仿宋"/>
          <w:b w:val="0"/>
        </w:rPr>
        <w:t>政</w:t>
      </w:r>
      <w:r>
        <w:rPr>
          <w:rStyle w:val="29"/>
          <w:rFonts w:hint="eastAsia" w:ascii="仿宋" w:hAnsi="仿宋" w:eastAsia="仿宋"/>
          <w:b w:val="0"/>
          <w:bCs w:val="0"/>
        </w:rPr>
        <w:t>府性基金预算财政拨款收入支出决算表</w:t>
      </w:r>
    </w:p>
    <w:p w14:paraId="19FFC472">
      <w:pPr>
        <w:pStyle w:val="6"/>
        <w:rPr>
          <w:rFonts w:ascii="仿宋" w:hAnsi="仿宋" w:eastAsia="仿宋"/>
        </w:rPr>
      </w:pPr>
      <w:bookmarkStart w:id="64" w:name="_Toc15396629"/>
      <w:r>
        <w:rPr>
          <w:rStyle w:val="29"/>
          <w:rFonts w:hint="eastAsia" w:ascii="仿宋" w:hAnsi="仿宋" w:eastAsia="仿宋"/>
          <w:b w:val="0"/>
          <w:bCs w:val="0"/>
        </w:rPr>
        <w:t>十一、</w:t>
      </w:r>
      <w:bookmarkEnd w:id="64"/>
      <w:r>
        <w:rPr>
          <w:rFonts w:hint="eastAsia" w:ascii="仿宋" w:hAnsi="仿宋" w:eastAsia="仿宋"/>
          <w:b w:val="0"/>
        </w:rPr>
        <w:t>国</w:t>
      </w:r>
      <w:r>
        <w:rPr>
          <w:rStyle w:val="29"/>
          <w:rFonts w:hint="eastAsia" w:ascii="仿宋" w:hAnsi="仿宋" w:eastAsia="仿宋"/>
          <w:b w:val="0"/>
          <w:bCs w:val="0"/>
        </w:rPr>
        <w:t>有资本经营预算财政拨款收入支出决算表</w:t>
      </w:r>
    </w:p>
    <w:p w14:paraId="729EAB31">
      <w:pPr>
        <w:pStyle w:val="6"/>
        <w:rPr>
          <w:rFonts w:ascii="仿宋" w:hAnsi="仿宋" w:eastAsia="仿宋"/>
        </w:rPr>
      </w:pPr>
      <w:bookmarkStart w:id="65" w:name="_Toc15396630"/>
      <w:r>
        <w:rPr>
          <w:rStyle w:val="29"/>
          <w:rFonts w:hint="eastAsia" w:ascii="仿宋" w:hAnsi="仿宋" w:eastAsia="仿宋"/>
          <w:b w:val="0"/>
          <w:bCs w:val="0"/>
        </w:rPr>
        <w:t>十二、</w:t>
      </w:r>
      <w:bookmarkEnd w:id="65"/>
      <w:r>
        <w:rPr>
          <w:rStyle w:val="29"/>
          <w:rFonts w:hint="eastAsia" w:ascii="仿宋" w:hAnsi="仿宋" w:eastAsia="仿宋"/>
          <w:b w:val="0"/>
          <w:bCs w:val="0"/>
        </w:rPr>
        <w:t>国有资本经营预算财政拨款支出决算表</w:t>
      </w:r>
    </w:p>
    <w:p w14:paraId="26F27931">
      <w:pPr>
        <w:pStyle w:val="6"/>
        <w:rPr>
          <w:rFonts w:eastAsia="仿宋"/>
        </w:rPr>
      </w:pPr>
      <w:bookmarkStart w:id="66" w:name="_Toc15396631"/>
      <w:r>
        <w:rPr>
          <w:rStyle w:val="29"/>
          <w:rFonts w:hint="eastAsia" w:ascii="仿宋" w:hAnsi="仿宋" w:eastAsia="仿宋"/>
          <w:b w:val="0"/>
          <w:bCs w:val="0"/>
        </w:rPr>
        <w:t>十三、</w:t>
      </w:r>
      <w:bookmarkEnd w:id="66"/>
      <w:r>
        <w:rPr>
          <w:rStyle w:val="29"/>
          <w:rFonts w:hint="eastAsia" w:ascii="仿宋" w:hAnsi="仿宋" w:eastAsia="仿宋"/>
          <w:b w:val="0"/>
          <w:bCs w:val="0"/>
        </w:rPr>
        <w:t>财政拨款“三公”经费支出决算表</w:t>
      </w:r>
    </w:p>
    <w:sectPr>
      <w:headerReference r:id="rId3" w:type="default"/>
      <w:footerReference r:id="rId4" w:type="default"/>
      <w:pgSz w:w="11906" w:h="16838"/>
      <w:pgMar w:top="1440" w:right="1486"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88F3069-D68D-45E2-A38C-2131F2EE13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CB01FF4-A88E-47CB-97D6-4DC4258C06A5}"/>
  </w:font>
  <w:font w:name="Cambria">
    <w:panose1 w:val="02040503050406030204"/>
    <w:charset w:val="00"/>
    <w:family w:val="roman"/>
    <w:pitch w:val="default"/>
    <w:sig w:usb0="E00006FF" w:usb1="420024FF" w:usb2="02000000" w:usb3="00000000" w:csb0="2000019F" w:csb1="00000000"/>
    <w:embedRegular r:id="rId3" w:fontKey="{E6B88447-D408-423D-8BCD-C6D4AACE4046}"/>
  </w:font>
  <w:font w:name="仿宋_GB2312">
    <w:altName w:val="仿宋"/>
    <w:panose1 w:val="02010609030101010101"/>
    <w:charset w:val="86"/>
    <w:family w:val="modern"/>
    <w:pitch w:val="default"/>
    <w:sig w:usb0="00000000" w:usb1="00000000" w:usb2="00000010" w:usb3="00000000" w:csb0="00040000" w:csb1="00000000"/>
    <w:embedRegular r:id="rId4" w:fontKey="{B06190DD-4682-46F8-A844-0B5A1248EF77}"/>
  </w:font>
  <w:font w:name="仿宋">
    <w:panose1 w:val="02010609060101010101"/>
    <w:charset w:val="86"/>
    <w:family w:val="modern"/>
    <w:pitch w:val="default"/>
    <w:sig w:usb0="800002BF" w:usb1="38CF7CFA" w:usb2="00000016" w:usb3="00000000" w:csb0="00040001" w:csb1="00000000"/>
    <w:embedRegular r:id="rId5" w:fontKey="{F8B1EAAE-AFFC-4545-9C3A-60469D7CB47F}"/>
  </w:font>
  <w:font w:name="方正小标宋简体">
    <w:panose1 w:val="02010600010101010101"/>
    <w:charset w:val="86"/>
    <w:family w:val="script"/>
    <w:pitch w:val="default"/>
    <w:sig w:usb0="00000001" w:usb1="080E0000" w:usb2="00000000" w:usb3="00000000" w:csb0="00040000" w:csb1="00000000"/>
    <w:embedRegular r:id="rId6" w:fontKey="{FD58DAE4-6E5F-4001-85B0-64D5424D89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665C0E1D">
        <w:pPr>
          <w:pStyle w:val="11"/>
          <w:jc w:val="center"/>
        </w:pPr>
        <w:r>
          <w:fldChar w:fldCharType="begin"/>
        </w:r>
        <w:r>
          <w:instrText xml:space="preserve">PAGE   \* MERGEFORMAT</w:instrText>
        </w:r>
        <w:r>
          <w:fldChar w:fldCharType="separate"/>
        </w:r>
        <w:r>
          <w:rPr>
            <w:lang w:val="zh-CN"/>
          </w:rPr>
          <w:t>25</w:t>
        </w:r>
        <w:r>
          <w:fldChar w:fldCharType="end"/>
        </w:r>
      </w:p>
    </w:sdtContent>
  </w:sdt>
  <w:p w14:paraId="65CD8EF2">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3C5B2">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3818A09A"/>
    <w:multiLevelType w:val="singleLevel"/>
    <w:tmpl w:val="3818A09A"/>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1361C"/>
    <w:rsid w:val="000222C6"/>
    <w:rsid w:val="0002549F"/>
    <w:rsid w:val="00035945"/>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77CCB"/>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31B8B"/>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AF3931"/>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1E8A"/>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8D4756"/>
    <w:rsid w:val="01AF5390"/>
    <w:rsid w:val="01B056B2"/>
    <w:rsid w:val="02377F10"/>
    <w:rsid w:val="02D8198F"/>
    <w:rsid w:val="02F51EF0"/>
    <w:rsid w:val="02F93D24"/>
    <w:rsid w:val="03131B1D"/>
    <w:rsid w:val="032C2F17"/>
    <w:rsid w:val="03361D54"/>
    <w:rsid w:val="03434E23"/>
    <w:rsid w:val="038F3F0D"/>
    <w:rsid w:val="03DC2831"/>
    <w:rsid w:val="03E133F8"/>
    <w:rsid w:val="03EE5B4E"/>
    <w:rsid w:val="0484359B"/>
    <w:rsid w:val="059675CB"/>
    <w:rsid w:val="05C7231B"/>
    <w:rsid w:val="062534F7"/>
    <w:rsid w:val="06A575D3"/>
    <w:rsid w:val="06E844E2"/>
    <w:rsid w:val="071A5D35"/>
    <w:rsid w:val="081B5E94"/>
    <w:rsid w:val="088C6FF0"/>
    <w:rsid w:val="08F867CF"/>
    <w:rsid w:val="09194FE2"/>
    <w:rsid w:val="09620095"/>
    <w:rsid w:val="09776B35"/>
    <w:rsid w:val="099A434C"/>
    <w:rsid w:val="0A2032A3"/>
    <w:rsid w:val="0A5B1154"/>
    <w:rsid w:val="0AAE5D1F"/>
    <w:rsid w:val="0B382EE8"/>
    <w:rsid w:val="0B4529A4"/>
    <w:rsid w:val="0B6F7ABF"/>
    <w:rsid w:val="0B8A37D8"/>
    <w:rsid w:val="0BAB712B"/>
    <w:rsid w:val="0BEF0846"/>
    <w:rsid w:val="0C3E67FF"/>
    <w:rsid w:val="0D567AFA"/>
    <w:rsid w:val="0DF84FA2"/>
    <w:rsid w:val="0E50070F"/>
    <w:rsid w:val="0E574D59"/>
    <w:rsid w:val="0E7F7224"/>
    <w:rsid w:val="0E9C09C6"/>
    <w:rsid w:val="0F5FFB2F"/>
    <w:rsid w:val="0FA87ADC"/>
    <w:rsid w:val="0FC10FE3"/>
    <w:rsid w:val="0FFF2ABA"/>
    <w:rsid w:val="0FFFCF60"/>
    <w:rsid w:val="10201072"/>
    <w:rsid w:val="1057520D"/>
    <w:rsid w:val="10C055FF"/>
    <w:rsid w:val="10D074D0"/>
    <w:rsid w:val="10F643F6"/>
    <w:rsid w:val="11553F05"/>
    <w:rsid w:val="118107EC"/>
    <w:rsid w:val="11D46745"/>
    <w:rsid w:val="11DD6519"/>
    <w:rsid w:val="124C3152"/>
    <w:rsid w:val="132279AB"/>
    <w:rsid w:val="13363C66"/>
    <w:rsid w:val="137E2896"/>
    <w:rsid w:val="13A909DD"/>
    <w:rsid w:val="13B30E8E"/>
    <w:rsid w:val="13D35218"/>
    <w:rsid w:val="13F80058"/>
    <w:rsid w:val="141A0EEC"/>
    <w:rsid w:val="14B0680E"/>
    <w:rsid w:val="152579C2"/>
    <w:rsid w:val="156D3591"/>
    <w:rsid w:val="157426C7"/>
    <w:rsid w:val="15AA28A8"/>
    <w:rsid w:val="163A644E"/>
    <w:rsid w:val="164E7E5D"/>
    <w:rsid w:val="167036F7"/>
    <w:rsid w:val="16987242"/>
    <w:rsid w:val="16BB723D"/>
    <w:rsid w:val="17500F7A"/>
    <w:rsid w:val="1750682D"/>
    <w:rsid w:val="17633B95"/>
    <w:rsid w:val="17711352"/>
    <w:rsid w:val="17885168"/>
    <w:rsid w:val="17BF55CE"/>
    <w:rsid w:val="18015F3F"/>
    <w:rsid w:val="18031E3C"/>
    <w:rsid w:val="18643C6B"/>
    <w:rsid w:val="186563D7"/>
    <w:rsid w:val="18B934F9"/>
    <w:rsid w:val="1A1D1390"/>
    <w:rsid w:val="1A9A2AA8"/>
    <w:rsid w:val="1ACF7874"/>
    <w:rsid w:val="1B0A1277"/>
    <w:rsid w:val="1BE8440E"/>
    <w:rsid w:val="1C636A70"/>
    <w:rsid w:val="1C7073ED"/>
    <w:rsid w:val="1CBC47A0"/>
    <w:rsid w:val="1D155CEE"/>
    <w:rsid w:val="1D462F28"/>
    <w:rsid w:val="1DAC36DB"/>
    <w:rsid w:val="1DCE2213"/>
    <w:rsid w:val="1DE25745"/>
    <w:rsid w:val="1E7206C8"/>
    <w:rsid w:val="1E825494"/>
    <w:rsid w:val="1EA80680"/>
    <w:rsid w:val="1EFF514D"/>
    <w:rsid w:val="1F493FDA"/>
    <w:rsid w:val="1F5B3DEE"/>
    <w:rsid w:val="1FDBBF84"/>
    <w:rsid w:val="1FF306C8"/>
    <w:rsid w:val="20722BD2"/>
    <w:rsid w:val="209C125A"/>
    <w:rsid w:val="209F1D27"/>
    <w:rsid w:val="20EC1BDB"/>
    <w:rsid w:val="20EE030B"/>
    <w:rsid w:val="20F57F95"/>
    <w:rsid w:val="21040C16"/>
    <w:rsid w:val="21C00662"/>
    <w:rsid w:val="21C74BF3"/>
    <w:rsid w:val="21F86D0C"/>
    <w:rsid w:val="22984B7E"/>
    <w:rsid w:val="22D90D34"/>
    <w:rsid w:val="22DD79FB"/>
    <w:rsid w:val="22E225D1"/>
    <w:rsid w:val="233755F2"/>
    <w:rsid w:val="23A963A6"/>
    <w:rsid w:val="23AC6922"/>
    <w:rsid w:val="23C25728"/>
    <w:rsid w:val="23CD2A0E"/>
    <w:rsid w:val="240371BF"/>
    <w:rsid w:val="240D5C9E"/>
    <w:rsid w:val="244C0726"/>
    <w:rsid w:val="24674B1C"/>
    <w:rsid w:val="248E566D"/>
    <w:rsid w:val="24A852F4"/>
    <w:rsid w:val="24C73DCB"/>
    <w:rsid w:val="254E4695"/>
    <w:rsid w:val="25711CC6"/>
    <w:rsid w:val="25C741E6"/>
    <w:rsid w:val="265C3405"/>
    <w:rsid w:val="268A2ED1"/>
    <w:rsid w:val="26A360B0"/>
    <w:rsid w:val="26A61AC3"/>
    <w:rsid w:val="26A8331B"/>
    <w:rsid w:val="271F71D5"/>
    <w:rsid w:val="276F80C0"/>
    <w:rsid w:val="27842671"/>
    <w:rsid w:val="27BB2235"/>
    <w:rsid w:val="27CE671B"/>
    <w:rsid w:val="27CF684B"/>
    <w:rsid w:val="282B6D0A"/>
    <w:rsid w:val="28BC69A7"/>
    <w:rsid w:val="294B23DF"/>
    <w:rsid w:val="29623DF7"/>
    <w:rsid w:val="29814538"/>
    <w:rsid w:val="29FD04D3"/>
    <w:rsid w:val="2A6079F7"/>
    <w:rsid w:val="2AB42BF8"/>
    <w:rsid w:val="2ABE7A3E"/>
    <w:rsid w:val="2AF43F2C"/>
    <w:rsid w:val="2AFF09B6"/>
    <w:rsid w:val="2BB24F7D"/>
    <w:rsid w:val="2BBF68C2"/>
    <w:rsid w:val="2BE43EA2"/>
    <w:rsid w:val="2BF60A43"/>
    <w:rsid w:val="2C99432D"/>
    <w:rsid w:val="2CA234A8"/>
    <w:rsid w:val="2D2F6CC8"/>
    <w:rsid w:val="2D304B6B"/>
    <w:rsid w:val="2D5F2E18"/>
    <w:rsid w:val="2E507E16"/>
    <w:rsid w:val="2E902E23"/>
    <w:rsid w:val="2EFA178C"/>
    <w:rsid w:val="2EFDF86C"/>
    <w:rsid w:val="2F9D17E1"/>
    <w:rsid w:val="304F0FE6"/>
    <w:rsid w:val="3089396B"/>
    <w:rsid w:val="308E6A62"/>
    <w:rsid w:val="30B46D73"/>
    <w:rsid w:val="311C5A0A"/>
    <w:rsid w:val="31205BC8"/>
    <w:rsid w:val="317A66A3"/>
    <w:rsid w:val="319F7F4E"/>
    <w:rsid w:val="31C24C98"/>
    <w:rsid w:val="31C61901"/>
    <w:rsid w:val="32080769"/>
    <w:rsid w:val="322E41A2"/>
    <w:rsid w:val="32463662"/>
    <w:rsid w:val="326D36E3"/>
    <w:rsid w:val="327A4F3F"/>
    <w:rsid w:val="327F12B4"/>
    <w:rsid w:val="334E2FEF"/>
    <w:rsid w:val="340D0973"/>
    <w:rsid w:val="34AE6930"/>
    <w:rsid w:val="34F84E5E"/>
    <w:rsid w:val="355A3350"/>
    <w:rsid w:val="356A28F1"/>
    <w:rsid w:val="357C035A"/>
    <w:rsid w:val="366F3C37"/>
    <w:rsid w:val="367B67A6"/>
    <w:rsid w:val="368E000D"/>
    <w:rsid w:val="36A64043"/>
    <w:rsid w:val="37293792"/>
    <w:rsid w:val="37604E85"/>
    <w:rsid w:val="37760191"/>
    <w:rsid w:val="3778082C"/>
    <w:rsid w:val="37932E07"/>
    <w:rsid w:val="37E714F7"/>
    <w:rsid w:val="37EA0AA7"/>
    <w:rsid w:val="38271775"/>
    <w:rsid w:val="383D272C"/>
    <w:rsid w:val="384F2C80"/>
    <w:rsid w:val="388C732E"/>
    <w:rsid w:val="398E3A4E"/>
    <w:rsid w:val="398E7A02"/>
    <w:rsid w:val="39920CCE"/>
    <w:rsid w:val="39AE70AB"/>
    <w:rsid w:val="39E374C6"/>
    <w:rsid w:val="3A1B3E0D"/>
    <w:rsid w:val="3A1E5C3C"/>
    <w:rsid w:val="3A4DCE41"/>
    <w:rsid w:val="3A57077E"/>
    <w:rsid w:val="3B1A4AAD"/>
    <w:rsid w:val="3B221F7E"/>
    <w:rsid w:val="3B4673E1"/>
    <w:rsid w:val="3BCB56FA"/>
    <w:rsid w:val="3C0C0783"/>
    <w:rsid w:val="3C2A537D"/>
    <w:rsid w:val="3C381D7C"/>
    <w:rsid w:val="3CBB482E"/>
    <w:rsid w:val="3CF87929"/>
    <w:rsid w:val="3D99039D"/>
    <w:rsid w:val="3DAC5DD8"/>
    <w:rsid w:val="3E2067F4"/>
    <w:rsid w:val="3E392BD1"/>
    <w:rsid w:val="3E4A715D"/>
    <w:rsid w:val="3ED46DC6"/>
    <w:rsid w:val="3EE00480"/>
    <w:rsid w:val="3EE65243"/>
    <w:rsid w:val="3EE7C2F4"/>
    <w:rsid w:val="3EE83743"/>
    <w:rsid w:val="3F325AB1"/>
    <w:rsid w:val="3F371B56"/>
    <w:rsid w:val="3F3C06C8"/>
    <w:rsid w:val="3F792ED8"/>
    <w:rsid w:val="3F9E63F9"/>
    <w:rsid w:val="3F9F3A96"/>
    <w:rsid w:val="3FAB566D"/>
    <w:rsid w:val="3FECA4B2"/>
    <w:rsid w:val="3FF58C48"/>
    <w:rsid w:val="40063599"/>
    <w:rsid w:val="400A7519"/>
    <w:rsid w:val="401A080B"/>
    <w:rsid w:val="40902522"/>
    <w:rsid w:val="40A37A04"/>
    <w:rsid w:val="40CD35D5"/>
    <w:rsid w:val="411B5D9E"/>
    <w:rsid w:val="41260489"/>
    <w:rsid w:val="41490432"/>
    <w:rsid w:val="415D109E"/>
    <w:rsid w:val="4185555F"/>
    <w:rsid w:val="42263AB1"/>
    <w:rsid w:val="42FF6694"/>
    <w:rsid w:val="43453E5E"/>
    <w:rsid w:val="43466AB9"/>
    <w:rsid w:val="4449157B"/>
    <w:rsid w:val="448E18EA"/>
    <w:rsid w:val="44B45BAC"/>
    <w:rsid w:val="4604439B"/>
    <w:rsid w:val="46B42375"/>
    <w:rsid w:val="46F33B9D"/>
    <w:rsid w:val="48BF60AB"/>
    <w:rsid w:val="48EC479D"/>
    <w:rsid w:val="48FF1E46"/>
    <w:rsid w:val="493C27E9"/>
    <w:rsid w:val="496F39ED"/>
    <w:rsid w:val="497338E7"/>
    <w:rsid w:val="49FF41D3"/>
    <w:rsid w:val="4A13279B"/>
    <w:rsid w:val="4A2E739C"/>
    <w:rsid w:val="4AE40609"/>
    <w:rsid w:val="4B0F5855"/>
    <w:rsid w:val="4B165AD0"/>
    <w:rsid w:val="4B4D7487"/>
    <w:rsid w:val="4B581945"/>
    <w:rsid w:val="4BC17842"/>
    <w:rsid w:val="4BDF7E17"/>
    <w:rsid w:val="4BE068DB"/>
    <w:rsid w:val="4BE118EE"/>
    <w:rsid w:val="4BF6002B"/>
    <w:rsid w:val="4BFFC6BE"/>
    <w:rsid w:val="4C721A88"/>
    <w:rsid w:val="4CB77D67"/>
    <w:rsid w:val="4CC60FFD"/>
    <w:rsid w:val="4D4D5594"/>
    <w:rsid w:val="4DD04C89"/>
    <w:rsid w:val="4DDB7F5A"/>
    <w:rsid w:val="4E614E71"/>
    <w:rsid w:val="4E827D9B"/>
    <w:rsid w:val="4E965233"/>
    <w:rsid w:val="4EAE3430"/>
    <w:rsid w:val="4ECE2238"/>
    <w:rsid w:val="4EED256E"/>
    <w:rsid w:val="4EF14F09"/>
    <w:rsid w:val="501F3F72"/>
    <w:rsid w:val="50201291"/>
    <w:rsid w:val="505A2319"/>
    <w:rsid w:val="507128F3"/>
    <w:rsid w:val="50775A68"/>
    <w:rsid w:val="50A67982"/>
    <w:rsid w:val="50C037F7"/>
    <w:rsid w:val="50FE6C9A"/>
    <w:rsid w:val="51595FB7"/>
    <w:rsid w:val="517C3CC5"/>
    <w:rsid w:val="51DB4B86"/>
    <w:rsid w:val="51F64DB0"/>
    <w:rsid w:val="52BF5089"/>
    <w:rsid w:val="52E87807"/>
    <w:rsid w:val="5312453E"/>
    <w:rsid w:val="53190C26"/>
    <w:rsid w:val="532B573D"/>
    <w:rsid w:val="53E86863"/>
    <w:rsid w:val="53EE1D48"/>
    <w:rsid w:val="543763CC"/>
    <w:rsid w:val="544D2337"/>
    <w:rsid w:val="55333C3E"/>
    <w:rsid w:val="55855776"/>
    <w:rsid w:val="55A645CE"/>
    <w:rsid w:val="55B15F72"/>
    <w:rsid w:val="56471726"/>
    <w:rsid w:val="56FA45A7"/>
    <w:rsid w:val="57524E5E"/>
    <w:rsid w:val="5788343F"/>
    <w:rsid w:val="580A25E0"/>
    <w:rsid w:val="58E54810"/>
    <w:rsid w:val="590B163F"/>
    <w:rsid w:val="591D3F12"/>
    <w:rsid w:val="59237F49"/>
    <w:rsid w:val="59B35B7E"/>
    <w:rsid w:val="5A0E58F0"/>
    <w:rsid w:val="5AA71843"/>
    <w:rsid w:val="5B0E2122"/>
    <w:rsid w:val="5B9F666D"/>
    <w:rsid w:val="5C0601FA"/>
    <w:rsid w:val="5C363159"/>
    <w:rsid w:val="5C3D70A1"/>
    <w:rsid w:val="5C4E4648"/>
    <w:rsid w:val="5C7051DB"/>
    <w:rsid w:val="5CA711A2"/>
    <w:rsid w:val="5CC3650E"/>
    <w:rsid w:val="5D2242AC"/>
    <w:rsid w:val="5E067332"/>
    <w:rsid w:val="5EA10436"/>
    <w:rsid w:val="5EBE065A"/>
    <w:rsid w:val="5ECB5C1C"/>
    <w:rsid w:val="5EF25EE6"/>
    <w:rsid w:val="5F67802D"/>
    <w:rsid w:val="5F7B2870"/>
    <w:rsid w:val="5F7D451E"/>
    <w:rsid w:val="5F7DC4F2"/>
    <w:rsid w:val="5FAE56BB"/>
    <w:rsid w:val="5FB36814"/>
    <w:rsid w:val="5FB569B4"/>
    <w:rsid w:val="5FBB8E56"/>
    <w:rsid w:val="5FF154F2"/>
    <w:rsid w:val="5FFB5535"/>
    <w:rsid w:val="60101C25"/>
    <w:rsid w:val="60147075"/>
    <w:rsid w:val="602341F5"/>
    <w:rsid w:val="60475A7E"/>
    <w:rsid w:val="60522392"/>
    <w:rsid w:val="60A438E7"/>
    <w:rsid w:val="61B27D7F"/>
    <w:rsid w:val="61CA29F4"/>
    <w:rsid w:val="61FD206C"/>
    <w:rsid w:val="620F2F08"/>
    <w:rsid w:val="6221085D"/>
    <w:rsid w:val="62920115"/>
    <w:rsid w:val="629270B4"/>
    <w:rsid w:val="636A7ADF"/>
    <w:rsid w:val="63897DD8"/>
    <w:rsid w:val="639F7475"/>
    <w:rsid w:val="63FA2876"/>
    <w:rsid w:val="643E1A64"/>
    <w:rsid w:val="64BB156C"/>
    <w:rsid w:val="64CA39A1"/>
    <w:rsid w:val="657472CB"/>
    <w:rsid w:val="659421D4"/>
    <w:rsid w:val="661F543D"/>
    <w:rsid w:val="667F6B08"/>
    <w:rsid w:val="66CB7CAE"/>
    <w:rsid w:val="66CE35CE"/>
    <w:rsid w:val="66F82607"/>
    <w:rsid w:val="67400BD5"/>
    <w:rsid w:val="674D2E9E"/>
    <w:rsid w:val="67BA21F8"/>
    <w:rsid w:val="67F85BA1"/>
    <w:rsid w:val="68631C49"/>
    <w:rsid w:val="689E5723"/>
    <w:rsid w:val="68AB2A5F"/>
    <w:rsid w:val="68FD4B66"/>
    <w:rsid w:val="69630ADE"/>
    <w:rsid w:val="69987304"/>
    <w:rsid w:val="69BD5F13"/>
    <w:rsid w:val="69FB0B4B"/>
    <w:rsid w:val="6A157B5B"/>
    <w:rsid w:val="6AAA3586"/>
    <w:rsid w:val="6AC61333"/>
    <w:rsid w:val="6AF03720"/>
    <w:rsid w:val="6B7118BF"/>
    <w:rsid w:val="6B8E791F"/>
    <w:rsid w:val="6BFFE1FB"/>
    <w:rsid w:val="6C214590"/>
    <w:rsid w:val="6C4A05C8"/>
    <w:rsid w:val="6C5A6EDC"/>
    <w:rsid w:val="6CF03EE0"/>
    <w:rsid w:val="6D3B1A89"/>
    <w:rsid w:val="6D703DE0"/>
    <w:rsid w:val="6DB7D8A3"/>
    <w:rsid w:val="6E886CC2"/>
    <w:rsid w:val="6E9C2BCC"/>
    <w:rsid w:val="6EAA15C8"/>
    <w:rsid w:val="6EC78701"/>
    <w:rsid w:val="6ECC56D8"/>
    <w:rsid w:val="6F027C91"/>
    <w:rsid w:val="6F4D50BF"/>
    <w:rsid w:val="6F5A506A"/>
    <w:rsid w:val="6F7A5481"/>
    <w:rsid w:val="6F883EDE"/>
    <w:rsid w:val="6FCC17A5"/>
    <w:rsid w:val="6FF31C9E"/>
    <w:rsid w:val="6FFE07A9"/>
    <w:rsid w:val="703B4E29"/>
    <w:rsid w:val="705638DA"/>
    <w:rsid w:val="70E21335"/>
    <w:rsid w:val="70FC77CA"/>
    <w:rsid w:val="71697138"/>
    <w:rsid w:val="71BF4EC2"/>
    <w:rsid w:val="72136B38"/>
    <w:rsid w:val="72734D90"/>
    <w:rsid w:val="72851F30"/>
    <w:rsid w:val="72C825F2"/>
    <w:rsid w:val="72E444B2"/>
    <w:rsid w:val="730B3B18"/>
    <w:rsid w:val="7313270F"/>
    <w:rsid w:val="73447426"/>
    <w:rsid w:val="73777B7A"/>
    <w:rsid w:val="73995B04"/>
    <w:rsid w:val="73A35500"/>
    <w:rsid w:val="73B304CC"/>
    <w:rsid w:val="73E75B71"/>
    <w:rsid w:val="7412278C"/>
    <w:rsid w:val="742C1BB8"/>
    <w:rsid w:val="742D55B1"/>
    <w:rsid w:val="743E3EAF"/>
    <w:rsid w:val="746E5D10"/>
    <w:rsid w:val="74704ED2"/>
    <w:rsid w:val="750B472D"/>
    <w:rsid w:val="755700EA"/>
    <w:rsid w:val="75C65239"/>
    <w:rsid w:val="75DDCDA9"/>
    <w:rsid w:val="75FF44B1"/>
    <w:rsid w:val="76120BE8"/>
    <w:rsid w:val="762C7B3E"/>
    <w:rsid w:val="770262E0"/>
    <w:rsid w:val="77670518"/>
    <w:rsid w:val="777FA627"/>
    <w:rsid w:val="77CA4F70"/>
    <w:rsid w:val="77DF1B5F"/>
    <w:rsid w:val="77EF2D9D"/>
    <w:rsid w:val="78953120"/>
    <w:rsid w:val="78B12229"/>
    <w:rsid w:val="78D274F6"/>
    <w:rsid w:val="78DD04CB"/>
    <w:rsid w:val="78F80207"/>
    <w:rsid w:val="79076769"/>
    <w:rsid w:val="793D1112"/>
    <w:rsid w:val="79E7B28D"/>
    <w:rsid w:val="79F46A7B"/>
    <w:rsid w:val="7A2971EE"/>
    <w:rsid w:val="7ACFF0C2"/>
    <w:rsid w:val="7AD062D4"/>
    <w:rsid w:val="7AF277BA"/>
    <w:rsid w:val="7AFB9108"/>
    <w:rsid w:val="7B681384"/>
    <w:rsid w:val="7BB04710"/>
    <w:rsid w:val="7BD36FA7"/>
    <w:rsid w:val="7BD5340C"/>
    <w:rsid w:val="7BE00076"/>
    <w:rsid w:val="7BE42A83"/>
    <w:rsid w:val="7BFB19D2"/>
    <w:rsid w:val="7BFD1750"/>
    <w:rsid w:val="7BFDAA1B"/>
    <w:rsid w:val="7C020199"/>
    <w:rsid w:val="7CD84D60"/>
    <w:rsid w:val="7CDF9A82"/>
    <w:rsid w:val="7CFFA1BD"/>
    <w:rsid w:val="7D2E3F7A"/>
    <w:rsid w:val="7DED9490"/>
    <w:rsid w:val="7DFF4872"/>
    <w:rsid w:val="7E7487E6"/>
    <w:rsid w:val="7E7C2A54"/>
    <w:rsid w:val="7E7F65E8"/>
    <w:rsid w:val="7EEEFD72"/>
    <w:rsid w:val="7F1A721F"/>
    <w:rsid w:val="7F1D517C"/>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next w:val="1"/>
    <w:unhideWhenUsed/>
    <w:qFormat/>
    <w:uiPriority w:val="99"/>
    <w:pPr>
      <w:ind w:firstLine="420" w:firstLineChars="200"/>
    </w:pPr>
  </w:style>
  <w:style w:type="paragraph" w:styleId="4">
    <w:name w:val="Body Text Indent"/>
    <w:basedOn w:val="1"/>
    <w:next w:val="3"/>
    <w:qFormat/>
    <w:uiPriority w:val="0"/>
    <w:pPr>
      <w:spacing w:after="120"/>
      <w:ind w:left="200" w:leftChars="200"/>
    </w:pPr>
    <w:rPr>
      <w:rFonts w:ascii="仿宋_GB2312"/>
      <w:szCs w:val="32"/>
    </w:rPr>
  </w:style>
  <w:style w:type="paragraph" w:styleId="8">
    <w:name w:val="Body Text"/>
    <w:basedOn w:val="1"/>
    <w:next w:val="1"/>
    <w:link w:val="25"/>
    <w:qFormat/>
    <w:uiPriority w:val="99"/>
    <w:pPr>
      <w:spacing w:beforeLines="30"/>
    </w:pPr>
    <w:rPr>
      <w:rFonts w:ascii="仿宋_GB2312" w:eastAsia="仿宋_GB2312"/>
      <w:kern w:val="0"/>
      <w:sz w:val="30"/>
    </w:r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1"/>
    <w:semiHidden/>
    <w:unhideWhenUsed/>
    <w:qFormat/>
    <w:uiPriority w:val="99"/>
    <w:rPr>
      <w:sz w:val="18"/>
      <w:szCs w:val="18"/>
    </w:rPr>
  </w:style>
  <w:style w:type="paragraph" w:styleId="11">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rPr>
  </w:style>
  <w:style w:type="paragraph" w:customStyle="1" w:styleId="19">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2"/>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11"/>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8"/>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5"/>
    <w:qFormat/>
    <w:uiPriority w:val="9"/>
    <w:rPr>
      <w:rFonts w:ascii="Times New Roman" w:hAnsi="Times New Roman"/>
      <w:b/>
      <w:bCs/>
      <w:kern w:val="44"/>
      <w:sz w:val="44"/>
      <w:szCs w:val="44"/>
    </w:rPr>
  </w:style>
  <w:style w:type="character" w:customStyle="1" w:styleId="29">
    <w:name w:val="标题 2 Char"/>
    <w:basedOn w:val="16"/>
    <w:link w:val="6"/>
    <w:qFormat/>
    <w:uiPriority w:val="9"/>
    <w:rPr>
      <w:rFonts w:asciiTheme="majorHAnsi" w:hAnsiTheme="majorHAnsi" w:eastAsiaTheme="majorEastAsia" w:cstheme="majorBidi"/>
      <w:b/>
      <w:bCs/>
      <w:kern w:val="2"/>
      <w:sz w:val="32"/>
      <w:szCs w:val="32"/>
    </w:rPr>
  </w:style>
  <w:style w:type="paragraph" w:customStyle="1" w:styleId="30">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1">
    <w:name w:val="批注框文本 Char"/>
    <w:basedOn w:val="16"/>
    <w:link w:val="10"/>
    <w:semiHidden/>
    <w:qFormat/>
    <w:uiPriority w:val="99"/>
    <w:rPr>
      <w:rFonts w:ascii="Times New Roman" w:hAnsi="Times New Roman"/>
      <w:kern w:val="2"/>
      <w:sz w:val="18"/>
      <w:szCs w:val="18"/>
    </w:rPr>
  </w:style>
  <w:style w:type="character" w:customStyle="1" w:styleId="32">
    <w:name w:val="标题 3 Char"/>
    <w:basedOn w:val="16"/>
    <w:link w:val="7"/>
    <w:qFormat/>
    <w:uiPriority w:val="9"/>
    <w:rPr>
      <w:rFonts w:ascii="Times New Roman" w:hAnsi="Times New Roman"/>
      <w:b/>
      <w:bCs/>
      <w:kern w:val="2"/>
      <w:sz w:val="32"/>
      <w:szCs w:val="32"/>
    </w:rPr>
  </w:style>
  <w:style w:type="paragraph" w:customStyle="1" w:styleId="33">
    <w:name w:val="TOC 标题2"/>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4">
    <w:name w:val="正文-公1"/>
    <w:basedOn w:val="35"/>
    <w:next w:val="1"/>
    <w:qFormat/>
    <w:uiPriority w:val="0"/>
    <w:pPr>
      <w:ind w:firstLine="200" w:firstLineChars="200"/>
    </w:pPr>
  </w:style>
  <w:style w:type="paragraph" w:customStyle="1" w:styleId="35">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4"/>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26</Pages>
  <Words>6095</Words>
  <Characters>6546</Characters>
  <Lines>50</Lines>
  <Paragraphs>14</Paragraphs>
  <TotalTime>94</TotalTime>
  <ScaleCrop>false</ScaleCrop>
  <LinksUpToDate>false</LinksUpToDate>
  <CharactersWithSpaces>6582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简1387767049</cp:lastModifiedBy>
  <cp:lastPrinted>2023-08-03T02:35:00Z</cp:lastPrinted>
  <dcterms:modified xsi:type="dcterms:W3CDTF">2025-10-29T02:25:51Z</dcterms:modified>
  <dc:title>四川省***</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eyJoZGlkIjoiM2IzZjM0ZWM5MmZkMjI2ZjIxMWRhMThlYjVjNGNmYjMiLCJ1c2VySWQiOiI5ODI2NDQ4In0=</vt:lpwstr>
  </property>
  <property fmtid="{D5CDD505-2E9C-101B-9397-08002B2CF9AE}" pid="4" name="ICV">
    <vt:lpwstr>BCC08B74699A420A86CD22288E16B938_12</vt:lpwstr>
  </property>
</Properties>
</file>