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ascii="方正小标宋简体" w:hAnsi="宋体" w:eastAsia="方正小标宋简体"/>
          <w:sz w:val="44"/>
          <w:szCs w:val="44"/>
        </w:rPr>
      </w:pPr>
    </w:p>
    <w:p>
      <w:pPr>
        <w:pStyle w:val="5"/>
        <w:jc w:val="center"/>
        <w:rPr>
          <w:rFonts w:hint="eastAsia" w:ascii="方正小标宋简体" w:hAnsi="宋体" w:eastAsia="方正小标宋简体"/>
          <w:sz w:val="44"/>
          <w:szCs w:val="44"/>
        </w:rPr>
      </w:pPr>
    </w:p>
    <w:p>
      <w:pPr>
        <w:pStyle w:val="5"/>
        <w:jc w:val="center"/>
        <w:rPr>
          <w:rFonts w:hint="eastAsia" w:ascii="方正小标宋简体" w:hAnsi="宋体" w:eastAsia="方正小标宋简体"/>
          <w:sz w:val="44"/>
          <w:szCs w:val="44"/>
        </w:rPr>
      </w:pPr>
    </w:p>
    <w:p>
      <w:pPr>
        <w:pStyle w:val="5"/>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2024年度</w:t>
      </w:r>
    </w:p>
    <w:p>
      <w:pPr>
        <w:pStyle w:val="5"/>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乐山市市中区信访局单位决算</w:t>
      </w:r>
    </w:p>
    <w:p>
      <w:pPr>
        <w:widowControl/>
        <w:jc w:val="left"/>
        <w:rPr>
          <w:rFonts w:ascii="方正小标宋简体" w:hAnsi="宋体" w:eastAsia="方正小标宋简体"/>
          <w:sz w:val="36"/>
          <w:szCs w:val="36"/>
        </w:rPr>
      </w:pPr>
      <w:r>
        <w:rPr>
          <w:rFonts w:ascii="方正小标宋简体" w:hAnsi="宋体" w:eastAsia="方正小标宋简体"/>
          <w:sz w:val="36"/>
          <w:szCs w:val="36"/>
        </w:rPr>
        <w:br w:type="page"/>
      </w:r>
    </w:p>
    <w:p>
      <w:pPr>
        <w:widowControl/>
        <w:jc w:val="center"/>
        <w:rPr>
          <w:rFonts w:ascii="黑体" w:hAnsi="黑体" w:eastAsia="黑体"/>
          <w:sz w:val="28"/>
          <w:szCs w:val="28"/>
        </w:rPr>
      </w:pPr>
      <w:r>
        <w:rPr>
          <w:rFonts w:hint="eastAsia" w:ascii="黑体" w:hAnsi="黑体" w:eastAsia="黑体"/>
          <w:sz w:val="48"/>
          <w:szCs w:val="48"/>
        </w:rPr>
        <w:t>目录</w:t>
      </w:r>
    </w:p>
    <w:p>
      <w:pPr>
        <w:pStyle w:val="10"/>
      </w:pPr>
      <w:r>
        <w:rPr>
          <w:rFonts w:hint="eastAsia"/>
        </w:rPr>
        <w:t>公开时间：2025年10月</w:t>
      </w:r>
      <w:r>
        <w:rPr>
          <w:rFonts w:hint="eastAsia"/>
          <w:lang w:val="en-US" w:eastAsia="zh-CN"/>
        </w:rPr>
        <w:t>24</w:t>
      </w:r>
      <w:bookmarkStart w:id="45" w:name="_GoBack"/>
      <w:bookmarkEnd w:id="45"/>
      <w:r>
        <w:rPr>
          <w:rFonts w:hint="eastAsia"/>
        </w:rPr>
        <w:t>日</w:t>
      </w:r>
    </w:p>
    <w:p>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TOC \o "1-2" \h \u </w:instrText>
      </w:r>
      <w:r>
        <w:fldChar w:fldCharType="separate"/>
      </w:r>
      <w:r>
        <w:fldChar w:fldCharType="begin"/>
      </w:r>
      <w:r>
        <w:instrText xml:space="preserve"> HYPERLINK \l _Toc11310 </w:instrText>
      </w:r>
      <w:r>
        <w:fldChar w:fldCharType="separate"/>
      </w:r>
      <w:r>
        <w:rPr>
          <w:rFonts w:hint="eastAsia" w:ascii="黑体" w:hAnsi="黑体" w:eastAsia="黑体"/>
        </w:rPr>
        <w:t>第一部分 单位概况</w:t>
      </w:r>
      <w:r>
        <w:rPr>
          <w:rFonts w:ascii="Calibri" w:hAnsi="Calibri" w:eastAsia="宋体" w:cs="Times New Roman"/>
          <w:kern w:val="2"/>
          <w:sz w:val="21"/>
          <w:szCs w:val="24"/>
          <w:lang w:val="en-US" w:eastAsia="zh-CN" w:bidi="ar-SA"/>
        </w:rPr>
        <w:tab/>
      </w:r>
      <w:r>
        <w:rPr>
          <w:rFonts w:ascii="Calibri" w:hAnsi="Calibri" w:eastAsia="宋体" w:cs="Times New Roman"/>
          <w:kern w:val="2"/>
          <w:sz w:val="21"/>
          <w:szCs w:val="24"/>
          <w:lang w:val="en-US" w:eastAsia="zh-CN" w:bidi="ar-SA"/>
        </w:rPr>
        <w:fldChar w:fldCharType="begin"/>
      </w:r>
      <w:r>
        <w:rPr>
          <w:rFonts w:ascii="Calibri" w:hAnsi="Calibri" w:eastAsia="宋体" w:cs="Times New Roman"/>
          <w:kern w:val="2"/>
          <w:sz w:val="21"/>
          <w:szCs w:val="24"/>
          <w:lang w:val="en-US" w:eastAsia="zh-CN" w:bidi="ar-SA"/>
        </w:rPr>
        <w:instrText xml:space="preserve"> PAGEREF _Toc11310 \h </w:instrText>
      </w:r>
      <w:r>
        <w:rPr>
          <w:rFonts w:ascii="Calibri" w:hAnsi="Calibri" w:eastAsia="宋体" w:cs="Times New Roman"/>
          <w:kern w:val="2"/>
          <w:sz w:val="21"/>
          <w:szCs w:val="24"/>
          <w:lang w:val="en-US" w:eastAsia="zh-CN" w:bidi="ar-SA"/>
        </w:rPr>
        <w:fldChar w:fldCharType="separate"/>
      </w:r>
      <w:r>
        <w:rPr>
          <w:rFonts w:ascii="Calibri" w:hAnsi="Calibri" w:eastAsia="宋体" w:cs="Times New Roman"/>
          <w:kern w:val="2"/>
          <w:sz w:val="21"/>
          <w:szCs w:val="24"/>
          <w:lang w:val="en-US" w:eastAsia="zh-CN" w:bidi="ar-SA"/>
        </w:rPr>
        <w:t>4</w:t>
      </w:r>
      <w:r>
        <w:rPr>
          <w:rFonts w:ascii="Calibri" w:hAnsi="Calibri" w:eastAsia="宋体" w:cs="Times New Roman"/>
          <w:kern w:val="2"/>
          <w:sz w:val="21"/>
          <w:szCs w:val="24"/>
          <w:lang w:val="en-US" w:eastAsia="zh-CN" w:bidi="ar-SA"/>
        </w:rPr>
        <w:fldChar w:fldCharType="end"/>
      </w:r>
      <w: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_Toc6150 </w:instrText>
      </w:r>
      <w:r>
        <w:fldChar w:fldCharType="separate"/>
      </w:r>
      <w:r>
        <w:rPr>
          <w:rFonts w:hint="eastAsia" w:ascii="黑体" w:hAnsi="黑体" w:eastAsia="黑体"/>
          <w:bCs/>
        </w:rPr>
        <w:t xml:space="preserve">一、 </w:t>
      </w:r>
      <w:r>
        <w:rPr>
          <w:rFonts w:hint="eastAsia" w:ascii="黑体" w:hAnsi="黑体" w:eastAsia="黑体"/>
        </w:rPr>
        <w:t>主要职责</w:t>
      </w:r>
      <w:r>
        <w:tab/>
      </w:r>
      <w:r>
        <w:fldChar w:fldCharType="begin"/>
      </w:r>
      <w:r>
        <w:instrText xml:space="preserve"> PAGEREF _Toc6150 \h </w:instrText>
      </w:r>
      <w:r>
        <w:fldChar w:fldCharType="separate"/>
      </w:r>
      <w:r>
        <w:t>4</w:t>
      </w:r>
      <w:r>
        <w:fldChar w:fldCharType="end"/>
      </w:r>
      <w: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_Toc3250 </w:instrText>
      </w:r>
      <w:r>
        <w:fldChar w:fldCharType="separate"/>
      </w:r>
      <w:r>
        <w:rPr>
          <w:rFonts w:hint="eastAsia" w:ascii="黑体" w:hAnsi="黑体" w:eastAsia="黑体"/>
        </w:rPr>
        <w:t>二、 机构设置</w:t>
      </w:r>
      <w:r>
        <w:tab/>
      </w:r>
      <w:r>
        <w:fldChar w:fldCharType="begin"/>
      </w:r>
      <w:r>
        <w:instrText xml:space="preserve"> PAGEREF _Toc3250 \h </w:instrText>
      </w:r>
      <w:r>
        <w:fldChar w:fldCharType="separate"/>
      </w:r>
      <w:r>
        <w:t>5</w:t>
      </w:r>
      <w:r>
        <w:fldChar w:fldCharType="end"/>
      </w:r>
      <w:r>
        <w:fldChar w:fldCharType="end"/>
      </w:r>
    </w:p>
    <w:p>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_Toc643 </w:instrText>
      </w:r>
      <w:r>
        <w:fldChar w:fldCharType="separate"/>
      </w:r>
      <w:r>
        <w:rPr>
          <w:rFonts w:hint="eastAsia" w:ascii="黑体" w:hAnsi="黑体" w:eastAsia="黑体"/>
        </w:rPr>
        <w:t>第二部分 2024年度</w:t>
      </w:r>
      <w:r>
        <w:rPr>
          <w:rFonts w:hint="eastAsia" w:ascii="黑体" w:hAnsi="黑体" w:eastAsia="黑体"/>
          <w:bCs/>
        </w:rPr>
        <w:t>单位决算情况说明</w:t>
      </w:r>
      <w:r>
        <w:rPr>
          <w:rFonts w:ascii="Calibri" w:hAnsi="Calibri" w:eastAsia="宋体" w:cs="Times New Roman"/>
          <w:kern w:val="2"/>
          <w:sz w:val="21"/>
          <w:szCs w:val="24"/>
          <w:lang w:val="en-US" w:eastAsia="zh-CN" w:bidi="ar-SA"/>
        </w:rPr>
        <w:tab/>
      </w:r>
      <w:r>
        <w:rPr>
          <w:rFonts w:ascii="Calibri" w:hAnsi="Calibri" w:eastAsia="宋体" w:cs="Times New Roman"/>
          <w:kern w:val="2"/>
          <w:sz w:val="21"/>
          <w:szCs w:val="24"/>
          <w:lang w:val="en-US" w:eastAsia="zh-CN" w:bidi="ar-SA"/>
        </w:rPr>
        <w:fldChar w:fldCharType="begin"/>
      </w:r>
      <w:r>
        <w:rPr>
          <w:rFonts w:ascii="Calibri" w:hAnsi="Calibri" w:eastAsia="宋体" w:cs="Times New Roman"/>
          <w:kern w:val="2"/>
          <w:sz w:val="21"/>
          <w:szCs w:val="24"/>
          <w:lang w:val="en-US" w:eastAsia="zh-CN" w:bidi="ar-SA"/>
        </w:rPr>
        <w:instrText xml:space="preserve"> PAGEREF _Toc643 \h </w:instrText>
      </w:r>
      <w:r>
        <w:rPr>
          <w:rFonts w:ascii="Calibri" w:hAnsi="Calibri" w:eastAsia="宋体" w:cs="Times New Roman"/>
          <w:kern w:val="2"/>
          <w:sz w:val="21"/>
          <w:szCs w:val="24"/>
          <w:lang w:val="en-US" w:eastAsia="zh-CN" w:bidi="ar-SA"/>
        </w:rPr>
        <w:fldChar w:fldCharType="separate"/>
      </w:r>
      <w:r>
        <w:rPr>
          <w:rFonts w:ascii="Calibri" w:hAnsi="Calibri" w:eastAsia="宋体" w:cs="Times New Roman"/>
          <w:kern w:val="2"/>
          <w:sz w:val="21"/>
          <w:szCs w:val="24"/>
          <w:lang w:val="en-US" w:eastAsia="zh-CN" w:bidi="ar-SA"/>
        </w:rPr>
        <w:t>6</w:t>
      </w:r>
      <w:r>
        <w:rPr>
          <w:rFonts w:ascii="Calibri" w:hAnsi="Calibri" w:eastAsia="宋体" w:cs="Times New Roman"/>
          <w:kern w:val="2"/>
          <w:sz w:val="21"/>
          <w:szCs w:val="24"/>
          <w:lang w:val="en-US" w:eastAsia="zh-CN" w:bidi="ar-SA"/>
        </w:rPr>
        <w:fldChar w:fldCharType="end"/>
      </w:r>
      <w: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_Toc28742 </w:instrText>
      </w:r>
      <w:r>
        <w:fldChar w:fldCharType="separate"/>
      </w:r>
      <w:r>
        <w:rPr>
          <w:rFonts w:hint="eastAsia" w:ascii="黑体" w:hAnsi="黑体" w:eastAsia="黑体"/>
          <w:szCs w:val="32"/>
        </w:rPr>
        <w:t>一、收</w:t>
      </w:r>
      <w:r>
        <w:rPr>
          <w:rFonts w:hint="eastAsia" w:ascii="黑体" w:hAnsi="黑体" w:eastAsia="黑体"/>
        </w:rPr>
        <w:t>入支出决算总体情况说明</w:t>
      </w:r>
      <w:r>
        <w:tab/>
      </w:r>
      <w:r>
        <w:fldChar w:fldCharType="begin"/>
      </w:r>
      <w:r>
        <w:instrText xml:space="preserve"> PAGEREF _Toc28742 \h </w:instrText>
      </w:r>
      <w:r>
        <w:fldChar w:fldCharType="separate"/>
      </w:r>
      <w:r>
        <w:t>6</w:t>
      </w:r>
      <w:r>
        <w:fldChar w:fldCharType="end"/>
      </w:r>
      <w: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_Toc6472 </w:instrText>
      </w:r>
      <w:r>
        <w:fldChar w:fldCharType="separate"/>
      </w:r>
      <w:r>
        <w:rPr>
          <w:rFonts w:hint="eastAsia" w:ascii="黑体" w:hAnsi="黑体" w:eastAsia="黑体"/>
          <w:szCs w:val="32"/>
        </w:rPr>
        <w:t>二、收</w:t>
      </w:r>
      <w:r>
        <w:rPr>
          <w:rFonts w:hint="eastAsia" w:ascii="黑体" w:hAnsi="黑体" w:eastAsia="黑体"/>
        </w:rPr>
        <w:t>入决算情况说明</w:t>
      </w:r>
      <w:r>
        <w:tab/>
      </w:r>
      <w:r>
        <w:fldChar w:fldCharType="begin"/>
      </w:r>
      <w:r>
        <w:instrText xml:space="preserve"> PAGEREF _Toc6472 \h </w:instrText>
      </w:r>
      <w:r>
        <w:fldChar w:fldCharType="separate"/>
      </w:r>
      <w:r>
        <w:t>7</w:t>
      </w:r>
      <w:r>
        <w:fldChar w:fldCharType="end"/>
      </w:r>
      <w: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_Toc26514 </w:instrText>
      </w:r>
      <w:r>
        <w:fldChar w:fldCharType="separate"/>
      </w:r>
      <w:r>
        <w:rPr>
          <w:rFonts w:hint="eastAsia" w:ascii="黑体" w:hAnsi="黑体" w:eastAsia="黑体"/>
          <w:szCs w:val="32"/>
        </w:rPr>
        <w:t>三、支</w:t>
      </w:r>
      <w:r>
        <w:rPr>
          <w:rFonts w:hint="eastAsia" w:ascii="黑体" w:hAnsi="黑体" w:eastAsia="黑体"/>
        </w:rPr>
        <w:t>出决算情况说明</w:t>
      </w:r>
      <w:r>
        <w:tab/>
      </w:r>
      <w:r>
        <w:fldChar w:fldCharType="begin"/>
      </w:r>
      <w:r>
        <w:instrText xml:space="preserve"> PAGEREF _Toc26514 \h </w:instrText>
      </w:r>
      <w:r>
        <w:fldChar w:fldCharType="separate"/>
      </w:r>
      <w:r>
        <w:t>7</w:t>
      </w:r>
      <w:r>
        <w:fldChar w:fldCharType="end"/>
      </w:r>
      <w: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_Toc50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_Toc50 \h </w:instrText>
      </w:r>
      <w:r>
        <w:fldChar w:fldCharType="separate"/>
      </w:r>
      <w:r>
        <w:t>8</w:t>
      </w:r>
      <w:r>
        <w:fldChar w:fldCharType="end"/>
      </w:r>
      <w: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_Toc19851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_Toc19851 \h </w:instrText>
      </w:r>
      <w:r>
        <w:fldChar w:fldCharType="separate"/>
      </w:r>
      <w:r>
        <w:t>8</w:t>
      </w:r>
      <w:r>
        <w:fldChar w:fldCharType="end"/>
      </w:r>
      <w: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_Toc31425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_Toc31425 \h </w:instrText>
      </w:r>
      <w:r>
        <w:fldChar w:fldCharType="separate"/>
      </w:r>
      <w:r>
        <w:t>11</w:t>
      </w:r>
      <w:r>
        <w:fldChar w:fldCharType="end"/>
      </w:r>
      <w: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_Toc25226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_Toc25226 \h </w:instrText>
      </w:r>
      <w:r>
        <w:fldChar w:fldCharType="separate"/>
      </w:r>
      <w:r>
        <w:t>12</w:t>
      </w:r>
      <w:r>
        <w:fldChar w:fldCharType="end"/>
      </w:r>
      <w: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_Toc3938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_Toc3938 \h </w:instrText>
      </w:r>
      <w:r>
        <w:fldChar w:fldCharType="separate"/>
      </w:r>
      <w:r>
        <w:t>14</w:t>
      </w:r>
      <w:r>
        <w:fldChar w:fldCharType="end"/>
      </w:r>
      <w: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_Toc1266 </w:instrText>
      </w:r>
      <w:r>
        <w:fldChar w:fldCharType="separate"/>
      </w:r>
      <w:r>
        <w:rPr>
          <w:rFonts w:hint="eastAsia" w:ascii="黑体" w:hAnsi="黑体" w:eastAsia="黑体"/>
        </w:rPr>
        <w:t>九、国有资本经营预算支出决算情况说明</w:t>
      </w:r>
      <w:r>
        <w:tab/>
      </w:r>
      <w:r>
        <w:fldChar w:fldCharType="begin"/>
      </w:r>
      <w:r>
        <w:instrText xml:space="preserve"> PAGEREF _Toc1266 \h </w:instrText>
      </w:r>
      <w:r>
        <w:fldChar w:fldCharType="separate"/>
      </w:r>
      <w:r>
        <w:t>14</w:t>
      </w:r>
      <w:r>
        <w:fldChar w:fldCharType="end"/>
      </w:r>
      <w: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_Toc30185 </w:instrText>
      </w:r>
      <w:r>
        <w:fldChar w:fldCharType="separate"/>
      </w:r>
      <w:r>
        <w:rPr>
          <w:rFonts w:hint="eastAsia" w:ascii="黑体" w:hAnsi="黑体" w:eastAsia="黑体"/>
        </w:rPr>
        <w:t>十、其他重要事项的情况说明</w:t>
      </w:r>
      <w:r>
        <w:tab/>
      </w:r>
      <w:r>
        <w:fldChar w:fldCharType="begin"/>
      </w:r>
      <w:r>
        <w:instrText xml:space="preserve"> PAGEREF _Toc30185 \h </w:instrText>
      </w:r>
      <w:r>
        <w:fldChar w:fldCharType="separate"/>
      </w:r>
      <w:r>
        <w:t>14</w:t>
      </w:r>
      <w:r>
        <w:fldChar w:fldCharType="end"/>
      </w:r>
      <w:r>
        <w:fldChar w:fldCharType="end"/>
      </w:r>
    </w:p>
    <w:p>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_Toc7235 </w:instrText>
      </w:r>
      <w:r>
        <w:fldChar w:fldCharType="separate"/>
      </w:r>
      <w:r>
        <w:rPr>
          <w:rFonts w:hint="eastAsia" w:ascii="黑体" w:hAnsi="黑体" w:eastAsia="黑体"/>
          <w:szCs w:val="44"/>
        </w:rPr>
        <w:t>第三部分  名</w:t>
      </w:r>
      <w:r>
        <w:rPr>
          <w:rFonts w:hint="eastAsia" w:ascii="黑体" w:hAnsi="黑体" w:eastAsia="黑体"/>
        </w:rPr>
        <w:t>词解释</w:t>
      </w:r>
      <w:r>
        <w:rPr>
          <w:rFonts w:ascii="Calibri" w:hAnsi="Calibri" w:eastAsia="宋体" w:cs="Times New Roman"/>
          <w:kern w:val="2"/>
          <w:sz w:val="21"/>
          <w:szCs w:val="24"/>
          <w:lang w:val="en-US" w:eastAsia="zh-CN" w:bidi="ar-SA"/>
        </w:rPr>
        <w:tab/>
      </w:r>
      <w:r>
        <w:rPr>
          <w:rFonts w:ascii="Calibri" w:hAnsi="Calibri" w:eastAsia="宋体" w:cs="Times New Roman"/>
          <w:kern w:val="2"/>
          <w:sz w:val="21"/>
          <w:szCs w:val="24"/>
          <w:lang w:val="en-US" w:eastAsia="zh-CN" w:bidi="ar-SA"/>
        </w:rPr>
        <w:fldChar w:fldCharType="begin"/>
      </w:r>
      <w:r>
        <w:rPr>
          <w:rFonts w:ascii="Calibri" w:hAnsi="Calibri" w:eastAsia="宋体" w:cs="Times New Roman"/>
          <w:kern w:val="2"/>
          <w:sz w:val="21"/>
          <w:szCs w:val="24"/>
          <w:lang w:val="en-US" w:eastAsia="zh-CN" w:bidi="ar-SA"/>
        </w:rPr>
        <w:instrText xml:space="preserve"> PAGEREF _Toc7235 \h </w:instrText>
      </w:r>
      <w:r>
        <w:rPr>
          <w:rFonts w:ascii="Calibri" w:hAnsi="Calibri" w:eastAsia="宋体" w:cs="Times New Roman"/>
          <w:kern w:val="2"/>
          <w:sz w:val="21"/>
          <w:szCs w:val="24"/>
          <w:lang w:val="en-US" w:eastAsia="zh-CN" w:bidi="ar-SA"/>
        </w:rPr>
        <w:fldChar w:fldCharType="separate"/>
      </w:r>
      <w:r>
        <w:rPr>
          <w:rFonts w:ascii="Calibri" w:hAnsi="Calibri" w:eastAsia="宋体" w:cs="Times New Roman"/>
          <w:kern w:val="2"/>
          <w:sz w:val="21"/>
          <w:szCs w:val="24"/>
          <w:lang w:val="en-US" w:eastAsia="zh-CN" w:bidi="ar-SA"/>
        </w:rPr>
        <w:t>16</w:t>
      </w:r>
      <w:r>
        <w:rPr>
          <w:rFonts w:ascii="Calibri" w:hAnsi="Calibri" w:eastAsia="宋体" w:cs="Times New Roman"/>
          <w:kern w:val="2"/>
          <w:sz w:val="21"/>
          <w:szCs w:val="24"/>
          <w:lang w:val="en-US" w:eastAsia="zh-CN" w:bidi="ar-SA"/>
        </w:rPr>
        <w:fldChar w:fldCharType="end"/>
      </w:r>
      <w:r>
        <w:fldChar w:fldCharType="end"/>
      </w:r>
    </w:p>
    <w:p>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_Toc13031 </w:instrText>
      </w:r>
      <w:r>
        <w:fldChar w:fldCharType="separate"/>
      </w:r>
      <w:r>
        <w:rPr>
          <w:rFonts w:hint="eastAsia" w:ascii="黑体" w:hAnsi="黑体" w:eastAsia="黑体"/>
          <w:szCs w:val="44"/>
        </w:rPr>
        <w:t>第</w:t>
      </w:r>
      <w:r>
        <w:rPr>
          <w:rFonts w:hint="eastAsia" w:ascii="黑体" w:hAnsi="黑体" w:eastAsia="黑体"/>
        </w:rPr>
        <w:t>四部分 附件</w:t>
      </w:r>
      <w:r>
        <w:rPr>
          <w:rFonts w:ascii="Calibri" w:hAnsi="Calibri" w:eastAsia="宋体" w:cs="Times New Roman"/>
          <w:kern w:val="2"/>
          <w:sz w:val="21"/>
          <w:szCs w:val="24"/>
          <w:lang w:val="en-US" w:eastAsia="zh-CN" w:bidi="ar-SA"/>
        </w:rPr>
        <w:tab/>
      </w:r>
      <w:r>
        <w:rPr>
          <w:rFonts w:ascii="Calibri" w:hAnsi="Calibri" w:eastAsia="宋体" w:cs="Times New Roman"/>
          <w:kern w:val="2"/>
          <w:sz w:val="21"/>
          <w:szCs w:val="24"/>
          <w:lang w:val="en-US" w:eastAsia="zh-CN" w:bidi="ar-SA"/>
        </w:rPr>
        <w:fldChar w:fldCharType="begin"/>
      </w:r>
      <w:r>
        <w:rPr>
          <w:rFonts w:ascii="Calibri" w:hAnsi="Calibri" w:eastAsia="宋体" w:cs="Times New Roman"/>
          <w:kern w:val="2"/>
          <w:sz w:val="21"/>
          <w:szCs w:val="24"/>
          <w:lang w:val="en-US" w:eastAsia="zh-CN" w:bidi="ar-SA"/>
        </w:rPr>
        <w:instrText xml:space="preserve"> PAGEREF _Toc13031 \h </w:instrText>
      </w:r>
      <w:r>
        <w:rPr>
          <w:rFonts w:ascii="Calibri" w:hAnsi="Calibri" w:eastAsia="宋体" w:cs="Times New Roman"/>
          <w:kern w:val="2"/>
          <w:sz w:val="21"/>
          <w:szCs w:val="24"/>
          <w:lang w:val="en-US" w:eastAsia="zh-CN" w:bidi="ar-SA"/>
        </w:rPr>
        <w:fldChar w:fldCharType="separate"/>
      </w:r>
      <w:r>
        <w:rPr>
          <w:rFonts w:ascii="Calibri" w:hAnsi="Calibri" w:eastAsia="宋体" w:cs="Times New Roman"/>
          <w:kern w:val="2"/>
          <w:sz w:val="21"/>
          <w:szCs w:val="24"/>
          <w:lang w:val="en-US" w:eastAsia="zh-CN" w:bidi="ar-SA"/>
        </w:rPr>
        <w:t>19</w:t>
      </w:r>
      <w:r>
        <w:rPr>
          <w:rFonts w:ascii="Calibri" w:hAnsi="Calibri" w:eastAsia="宋体" w:cs="Times New Roman"/>
          <w:kern w:val="2"/>
          <w:sz w:val="21"/>
          <w:szCs w:val="24"/>
          <w:lang w:val="en-US" w:eastAsia="zh-CN" w:bidi="ar-SA"/>
        </w:rPr>
        <w:fldChar w:fldCharType="end"/>
      </w:r>
      <w:r>
        <w:fldChar w:fldCharType="end"/>
      </w:r>
    </w:p>
    <w:p>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_Toc12686 </w:instrText>
      </w:r>
      <w:r>
        <w:fldChar w:fldCharType="separate"/>
      </w:r>
      <w:r>
        <w:rPr>
          <w:rFonts w:hint="eastAsia" w:ascii="黑体" w:hAnsi="黑体" w:eastAsia="黑体"/>
          <w:szCs w:val="40"/>
        </w:rPr>
        <w:t>第五部分 附表</w:t>
      </w:r>
      <w:r>
        <w:rPr>
          <w:rFonts w:ascii="Calibri" w:hAnsi="Calibri" w:eastAsia="宋体" w:cs="Times New Roman"/>
          <w:kern w:val="2"/>
          <w:sz w:val="21"/>
          <w:szCs w:val="24"/>
          <w:lang w:val="en-US" w:eastAsia="zh-CN" w:bidi="ar-SA"/>
        </w:rPr>
        <w:tab/>
      </w:r>
      <w:r>
        <w:rPr>
          <w:rFonts w:ascii="Calibri" w:hAnsi="Calibri" w:eastAsia="宋体" w:cs="Times New Roman"/>
          <w:kern w:val="2"/>
          <w:sz w:val="21"/>
          <w:szCs w:val="24"/>
          <w:lang w:val="en-US" w:eastAsia="zh-CN" w:bidi="ar-SA"/>
        </w:rPr>
        <w:fldChar w:fldCharType="begin"/>
      </w:r>
      <w:r>
        <w:rPr>
          <w:rFonts w:ascii="Calibri" w:hAnsi="Calibri" w:eastAsia="宋体" w:cs="Times New Roman"/>
          <w:kern w:val="2"/>
          <w:sz w:val="21"/>
          <w:szCs w:val="24"/>
          <w:lang w:val="en-US" w:eastAsia="zh-CN" w:bidi="ar-SA"/>
        </w:rPr>
        <w:instrText xml:space="preserve"> PAGEREF _Toc12686 \h </w:instrText>
      </w:r>
      <w:r>
        <w:rPr>
          <w:rFonts w:ascii="Calibri" w:hAnsi="Calibri" w:eastAsia="宋体" w:cs="Times New Roman"/>
          <w:kern w:val="2"/>
          <w:sz w:val="21"/>
          <w:szCs w:val="24"/>
          <w:lang w:val="en-US" w:eastAsia="zh-CN" w:bidi="ar-SA"/>
        </w:rPr>
        <w:fldChar w:fldCharType="separate"/>
      </w:r>
      <w:r>
        <w:rPr>
          <w:rFonts w:ascii="Calibri" w:hAnsi="Calibri" w:eastAsia="宋体" w:cs="Times New Roman"/>
          <w:kern w:val="2"/>
          <w:sz w:val="21"/>
          <w:szCs w:val="24"/>
          <w:lang w:val="en-US" w:eastAsia="zh-CN" w:bidi="ar-SA"/>
        </w:rPr>
        <w:t>21</w:t>
      </w:r>
      <w:r>
        <w:rPr>
          <w:rFonts w:ascii="Calibri" w:hAnsi="Calibri" w:eastAsia="宋体" w:cs="Times New Roman"/>
          <w:kern w:val="2"/>
          <w:sz w:val="21"/>
          <w:szCs w:val="24"/>
          <w:lang w:val="en-US" w:eastAsia="zh-CN" w:bidi="ar-SA"/>
        </w:rPr>
        <w:fldChar w:fldCharType="end"/>
      </w:r>
      <w: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_Toc3791 </w:instrText>
      </w:r>
      <w:r>
        <w:fldChar w:fldCharType="separate"/>
      </w:r>
      <w:r>
        <w:rPr>
          <w:rFonts w:hint="eastAsia" w:ascii="黑体" w:hAnsi="黑体" w:eastAsia="黑体" w:cs="黑体"/>
        </w:rPr>
        <w:t>一、收入支出决算总表</w:t>
      </w:r>
      <w:r>
        <w:tab/>
      </w:r>
      <w:r>
        <w:fldChar w:fldCharType="begin"/>
      </w:r>
      <w:r>
        <w:instrText xml:space="preserve"> PAGEREF _Toc3791 \h </w:instrText>
      </w:r>
      <w:r>
        <w:fldChar w:fldCharType="separate"/>
      </w:r>
      <w:r>
        <w:t>21</w:t>
      </w:r>
      <w:r>
        <w:fldChar w:fldCharType="end"/>
      </w:r>
      <w: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_Toc18588 </w:instrText>
      </w:r>
      <w:r>
        <w:fldChar w:fldCharType="separate"/>
      </w:r>
      <w:r>
        <w:rPr>
          <w:rFonts w:hint="eastAsia" w:ascii="黑体" w:hAnsi="黑体" w:eastAsia="黑体" w:cs="黑体"/>
        </w:rPr>
        <w:t>二、收入决算表</w:t>
      </w:r>
      <w:r>
        <w:tab/>
      </w:r>
      <w:r>
        <w:fldChar w:fldCharType="begin"/>
      </w:r>
      <w:r>
        <w:instrText xml:space="preserve"> PAGEREF _Toc18588 \h </w:instrText>
      </w:r>
      <w:r>
        <w:fldChar w:fldCharType="separate"/>
      </w:r>
      <w:r>
        <w:t>21</w:t>
      </w:r>
      <w:r>
        <w:fldChar w:fldCharType="end"/>
      </w:r>
      <w: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_Toc20217 </w:instrText>
      </w:r>
      <w:r>
        <w:fldChar w:fldCharType="separate"/>
      </w:r>
      <w:r>
        <w:rPr>
          <w:rFonts w:hint="eastAsia" w:ascii="黑体" w:hAnsi="黑体" w:eastAsia="黑体" w:cs="黑体"/>
        </w:rPr>
        <w:t>三、支出决算表</w:t>
      </w:r>
      <w:r>
        <w:tab/>
      </w:r>
      <w:r>
        <w:fldChar w:fldCharType="begin"/>
      </w:r>
      <w:r>
        <w:instrText xml:space="preserve"> PAGEREF _Toc20217 \h </w:instrText>
      </w:r>
      <w:r>
        <w:fldChar w:fldCharType="separate"/>
      </w:r>
      <w:r>
        <w:t>21</w:t>
      </w:r>
      <w:r>
        <w:fldChar w:fldCharType="end"/>
      </w:r>
      <w: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_Toc26444 </w:instrText>
      </w:r>
      <w:r>
        <w:fldChar w:fldCharType="separate"/>
      </w:r>
      <w:r>
        <w:rPr>
          <w:rFonts w:hint="eastAsia" w:ascii="黑体" w:hAnsi="黑体" w:eastAsia="黑体" w:cs="黑体"/>
        </w:rPr>
        <w:t>四、财政拨款收入支出决算总表</w:t>
      </w:r>
      <w:r>
        <w:tab/>
      </w:r>
      <w:r>
        <w:fldChar w:fldCharType="begin"/>
      </w:r>
      <w:r>
        <w:instrText xml:space="preserve"> PAGEREF _Toc26444 \h </w:instrText>
      </w:r>
      <w:r>
        <w:fldChar w:fldCharType="separate"/>
      </w:r>
      <w:r>
        <w:t>21</w:t>
      </w:r>
      <w:r>
        <w:fldChar w:fldCharType="end"/>
      </w:r>
      <w: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_Toc2051 </w:instrText>
      </w:r>
      <w:r>
        <w:fldChar w:fldCharType="separate"/>
      </w:r>
      <w:r>
        <w:rPr>
          <w:rFonts w:hint="eastAsia" w:ascii="黑体" w:hAnsi="黑体" w:eastAsia="黑体" w:cs="黑体"/>
        </w:rPr>
        <w:t>五、财政拨款支出决算明细表</w:t>
      </w:r>
      <w:r>
        <w:tab/>
      </w:r>
      <w:r>
        <w:fldChar w:fldCharType="begin"/>
      </w:r>
      <w:r>
        <w:instrText xml:space="preserve"> PAGEREF _Toc2051 \h </w:instrText>
      </w:r>
      <w:r>
        <w:fldChar w:fldCharType="separate"/>
      </w:r>
      <w:r>
        <w:t>21</w:t>
      </w:r>
      <w:r>
        <w:fldChar w:fldCharType="end"/>
      </w:r>
      <w: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_Toc25849 </w:instrText>
      </w:r>
      <w:r>
        <w:fldChar w:fldCharType="separate"/>
      </w:r>
      <w:r>
        <w:rPr>
          <w:rFonts w:hint="eastAsia" w:ascii="黑体" w:hAnsi="黑体" w:eastAsia="黑体" w:cs="黑体"/>
        </w:rPr>
        <w:t>六、一般公共预算财政拨款支出决算表</w:t>
      </w:r>
      <w:r>
        <w:tab/>
      </w:r>
      <w:r>
        <w:fldChar w:fldCharType="begin"/>
      </w:r>
      <w:r>
        <w:instrText xml:space="preserve"> PAGEREF _Toc25849 \h </w:instrText>
      </w:r>
      <w:r>
        <w:fldChar w:fldCharType="separate"/>
      </w:r>
      <w:r>
        <w:t>21</w:t>
      </w:r>
      <w:r>
        <w:fldChar w:fldCharType="end"/>
      </w:r>
      <w: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_Toc23604 </w:instrText>
      </w:r>
      <w:r>
        <w:fldChar w:fldCharType="separate"/>
      </w:r>
      <w:r>
        <w:rPr>
          <w:rFonts w:hint="eastAsia" w:ascii="黑体" w:hAnsi="黑体" w:eastAsia="黑体" w:cs="黑体"/>
        </w:rPr>
        <w:t>七、一般公共预算财政拨款支出决算明细表</w:t>
      </w:r>
      <w:r>
        <w:tab/>
      </w:r>
      <w:r>
        <w:fldChar w:fldCharType="begin"/>
      </w:r>
      <w:r>
        <w:instrText xml:space="preserve"> PAGEREF _Toc23604 \h </w:instrText>
      </w:r>
      <w:r>
        <w:fldChar w:fldCharType="separate"/>
      </w:r>
      <w:r>
        <w:t>21</w:t>
      </w:r>
      <w:r>
        <w:fldChar w:fldCharType="end"/>
      </w:r>
      <w: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_Toc10720 </w:instrText>
      </w:r>
      <w:r>
        <w:fldChar w:fldCharType="separate"/>
      </w:r>
      <w:r>
        <w:rPr>
          <w:rFonts w:hint="eastAsia" w:ascii="黑体" w:hAnsi="黑体" w:eastAsia="黑体" w:cs="黑体"/>
        </w:rPr>
        <w:t>八、一般公共预算财政拨款基本支出决算表</w:t>
      </w:r>
      <w:r>
        <w:tab/>
      </w:r>
      <w:r>
        <w:fldChar w:fldCharType="begin"/>
      </w:r>
      <w:r>
        <w:instrText xml:space="preserve"> PAGEREF _Toc10720 \h </w:instrText>
      </w:r>
      <w:r>
        <w:fldChar w:fldCharType="separate"/>
      </w:r>
      <w:r>
        <w:t>21</w:t>
      </w:r>
      <w:r>
        <w:fldChar w:fldCharType="end"/>
      </w:r>
      <w: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_Toc19892 </w:instrText>
      </w:r>
      <w:r>
        <w:fldChar w:fldCharType="separate"/>
      </w:r>
      <w:r>
        <w:rPr>
          <w:rFonts w:hint="eastAsia" w:ascii="黑体" w:hAnsi="黑体" w:eastAsia="黑体" w:cs="黑体"/>
        </w:rPr>
        <w:t>九、一般公共预算财政拨款项目支出决算表</w:t>
      </w:r>
      <w:r>
        <w:tab/>
      </w:r>
      <w:r>
        <w:fldChar w:fldCharType="begin"/>
      </w:r>
      <w:r>
        <w:instrText xml:space="preserve"> PAGEREF _Toc19892 \h </w:instrText>
      </w:r>
      <w:r>
        <w:fldChar w:fldCharType="separate"/>
      </w:r>
      <w:r>
        <w:t>21</w:t>
      </w:r>
      <w:r>
        <w:fldChar w:fldCharType="end"/>
      </w:r>
      <w: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_Toc1757 </w:instrText>
      </w:r>
      <w:r>
        <w:fldChar w:fldCharType="separate"/>
      </w:r>
      <w:r>
        <w:rPr>
          <w:rFonts w:hint="eastAsia" w:ascii="黑体" w:hAnsi="黑体" w:eastAsia="黑体" w:cs="黑体"/>
        </w:rPr>
        <w:t>十、政府性基金预算财政拨款收入支出决算表</w:t>
      </w:r>
      <w:r>
        <w:tab/>
      </w:r>
      <w:r>
        <w:fldChar w:fldCharType="begin"/>
      </w:r>
      <w:r>
        <w:instrText xml:space="preserve"> PAGEREF _Toc1757 \h </w:instrText>
      </w:r>
      <w:r>
        <w:fldChar w:fldCharType="separate"/>
      </w:r>
      <w:r>
        <w:t>21</w:t>
      </w:r>
      <w:r>
        <w:fldChar w:fldCharType="end"/>
      </w:r>
      <w: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_Toc19426 </w:instrText>
      </w:r>
      <w:r>
        <w:fldChar w:fldCharType="separate"/>
      </w:r>
      <w:r>
        <w:rPr>
          <w:rFonts w:hint="eastAsia" w:ascii="黑体" w:hAnsi="黑体" w:eastAsia="黑体" w:cs="黑体"/>
        </w:rPr>
        <w:t>十一、国有资本经营预算财政拨款收入支出决算表</w:t>
      </w:r>
      <w:r>
        <w:tab/>
      </w:r>
      <w:r>
        <w:fldChar w:fldCharType="begin"/>
      </w:r>
      <w:r>
        <w:instrText xml:space="preserve"> PAGEREF _Toc19426 \h </w:instrText>
      </w:r>
      <w:r>
        <w:fldChar w:fldCharType="separate"/>
      </w:r>
      <w:r>
        <w:t>21</w:t>
      </w:r>
      <w:r>
        <w:fldChar w:fldCharType="end"/>
      </w:r>
      <w: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_Toc20479 </w:instrText>
      </w:r>
      <w:r>
        <w:fldChar w:fldCharType="separate"/>
      </w:r>
      <w:r>
        <w:rPr>
          <w:rFonts w:hint="eastAsia" w:ascii="黑体" w:hAnsi="黑体" w:eastAsia="黑体" w:cs="黑体"/>
        </w:rPr>
        <w:t>十二、国有资本经营预算财政拨款支出决算表</w:t>
      </w:r>
      <w:r>
        <w:tab/>
      </w:r>
      <w:r>
        <w:fldChar w:fldCharType="begin"/>
      </w:r>
      <w:r>
        <w:instrText xml:space="preserve"> PAGEREF _Toc20479 \h </w:instrText>
      </w:r>
      <w:r>
        <w:fldChar w:fldCharType="separate"/>
      </w:r>
      <w:r>
        <w:t>21</w:t>
      </w:r>
      <w:r>
        <w:fldChar w:fldCharType="end"/>
      </w:r>
      <w: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_Toc7190 </w:instrText>
      </w:r>
      <w:r>
        <w:fldChar w:fldCharType="separate"/>
      </w:r>
      <w:r>
        <w:rPr>
          <w:rFonts w:hint="eastAsia" w:ascii="黑体" w:hAnsi="黑体" w:eastAsia="黑体" w:cs="黑体"/>
        </w:rPr>
        <w:t>十三、财政拨款“三公”经费支出决算表</w:t>
      </w:r>
      <w:r>
        <w:tab/>
      </w:r>
      <w:r>
        <w:fldChar w:fldCharType="begin"/>
      </w:r>
      <w:r>
        <w:instrText xml:space="preserve"> PAGEREF _Toc7190 \h </w:instrText>
      </w:r>
      <w:r>
        <w:fldChar w:fldCharType="separate"/>
      </w:r>
      <w:r>
        <w:t>21</w:t>
      </w:r>
      <w:r>
        <w:fldChar w:fldCharType="end"/>
      </w:r>
      <w:r>
        <w:fldChar w:fldCharType="end"/>
      </w:r>
    </w:p>
    <w:p>
      <w:r>
        <w:fldChar w:fldCharType="end"/>
      </w:r>
    </w:p>
    <w:p>
      <w:pPr>
        <w:pStyle w:val="12"/>
      </w:pPr>
    </w:p>
    <w:p>
      <w:pPr>
        <w:pStyle w:val="12"/>
        <w:rPr>
          <w:rFonts w:hint="eastAsia"/>
        </w:rPr>
      </w:pPr>
    </w:p>
    <w:p>
      <w:pPr>
        <w:pStyle w:val="7"/>
        <w:ind w:left="420"/>
        <w:rPr>
          <w:rFonts w:hint="eastAsia"/>
        </w:rPr>
      </w:pPr>
    </w:p>
    <w:p>
      <w:pPr>
        <w:rPr>
          <w:rFonts w:hint="eastAsia"/>
        </w:rPr>
      </w:pPr>
    </w:p>
    <w:p>
      <w:pPr>
        <w:pStyle w:val="12"/>
        <w:rPr>
          <w:rFonts w:hint="eastAsia"/>
        </w:rPr>
      </w:pPr>
    </w:p>
    <w:p>
      <w:pPr>
        <w:pStyle w:val="7"/>
        <w:ind w:left="420"/>
        <w:rPr>
          <w:rFonts w:hint="eastAsia"/>
        </w:rPr>
      </w:pPr>
    </w:p>
    <w:p>
      <w:pPr>
        <w:rPr>
          <w:rFonts w:hint="eastAsia"/>
        </w:rPr>
      </w:pPr>
    </w:p>
    <w:p>
      <w:pPr>
        <w:pStyle w:val="12"/>
        <w:rPr>
          <w:rFonts w:hint="eastAsia"/>
        </w:rPr>
      </w:pPr>
    </w:p>
    <w:p>
      <w:pPr>
        <w:pStyle w:val="7"/>
        <w:ind w:left="420"/>
        <w:rPr>
          <w:rFonts w:hint="eastAsia"/>
        </w:rPr>
      </w:pPr>
    </w:p>
    <w:p>
      <w:pPr>
        <w:rPr>
          <w:rFonts w:hint="eastAsia"/>
        </w:rPr>
      </w:pPr>
    </w:p>
    <w:p>
      <w:pPr>
        <w:pStyle w:val="12"/>
        <w:rPr>
          <w:rFonts w:hint="eastAsia"/>
        </w:rPr>
      </w:pPr>
    </w:p>
    <w:p>
      <w:pPr>
        <w:pStyle w:val="7"/>
        <w:ind w:left="420"/>
        <w:rPr>
          <w:rFonts w:hint="eastAsia"/>
        </w:rPr>
      </w:pPr>
    </w:p>
    <w:p>
      <w:pPr>
        <w:rPr>
          <w:rFonts w:hint="eastAsia"/>
        </w:rPr>
      </w:pPr>
    </w:p>
    <w:p>
      <w:pPr>
        <w:pStyle w:val="12"/>
        <w:rPr>
          <w:rFonts w:hint="eastAsia"/>
        </w:rPr>
      </w:pPr>
    </w:p>
    <w:p>
      <w:pPr>
        <w:pStyle w:val="7"/>
        <w:ind w:left="420"/>
        <w:rPr>
          <w:rFonts w:hint="eastAsia"/>
        </w:rPr>
      </w:pPr>
    </w:p>
    <w:p>
      <w:pPr>
        <w:rPr>
          <w:rFonts w:hint="eastAsia"/>
        </w:rPr>
      </w:pPr>
    </w:p>
    <w:p>
      <w:pPr>
        <w:pStyle w:val="12"/>
        <w:rPr>
          <w:rFonts w:hint="eastAsia"/>
        </w:rPr>
      </w:pPr>
    </w:p>
    <w:p>
      <w:pPr>
        <w:pStyle w:val="7"/>
        <w:ind w:left="420"/>
        <w:rPr>
          <w:rFonts w:hint="eastAsia"/>
        </w:rPr>
      </w:pPr>
    </w:p>
    <w:p>
      <w:pPr>
        <w:rPr>
          <w:rFonts w:hint="eastAsia"/>
        </w:rPr>
      </w:pPr>
    </w:p>
    <w:p>
      <w:pPr>
        <w:pStyle w:val="12"/>
        <w:rPr>
          <w:rFonts w:hint="eastAsia"/>
        </w:rPr>
      </w:pPr>
    </w:p>
    <w:p>
      <w:pPr>
        <w:pStyle w:val="7"/>
        <w:ind w:left="420"/>
        <w:rPr>
          <w:rFonts w:hint="eastAsia"/>
        </w:rPr>
      </w:pPr>
    </w:p>
    <w:p>
      <w:pPr>
        <w:rPr>
          <w:rFonts w:hint="eastAsia"/>
        </w:rPr>
      </w:pPr>
    </w:p>
    <w:p>
      <w:pPr>
        <w:pStyle w:val="12"/>
        <w:rPr>
          <w:rFonts w:hint="eastAsia"/>
        </w:rPr>
      </w:pPr>
    </w:p>
    <w:p>
      <w:pPr>
        <w:pStyle w:val="7"/>
        <w:ind w:left="420"/>
        <w:rPr>
          <w:rFonts w:hint="eastAsia"/>
        </w:rPr>
      </w:pPr>
    </w:p>
    <w:p/>
    <w:p>
      <w:pPr>
        <w:pStyle w:val="2"/>
        <w:jc w:val="center"/>
        <w:rPr>
          <w:rFonts w:hint="eastAsia" w:ascii="黑体" w:hAnsi="黑体" w:eastAsia="黑体"/>
          <w:b w:val="0"/>
        </w:rPr>
        <w:sectPr>
          <w:footerReference r:id="rId3" w:type="default"/>
          <w:pgSz w:w="11906" w:h="16838"/>
          <w:pgMar w:top="1440" w:right="1800" w:bottom="1440" w:left="1800" w:header="720" w:footer="720" w:gutter="0"/>
          <w:pgNumType w:fmt="decimal" w:start="1"/>
          <w:cols w:space="720" w:num="1"/>
          <w:docGrid w:type="lines" w:linePitch="312" w:charSpace="0"/>
        </w:sectPr>
      </w:pPr>
      <w:bookmarkStart w:id="0" w:name="_Toc11310"/>
    </w:p>
    <w:p>
      <w:pPr>
        <w:pStyle w:val="2"/>
        <w:jc w:val="center"/>
        <w:rPr>
          <w:rStyle w:val="18"/>
          <w:rFonts w:ascii="黑体" w:hAnsi="黑体" w:eastAsia="黑体"/>
          <w:b/>
          <w:bCs w:val="0"/>
        </w:rPr>
      </w:pPr>
      <w:r>
        <w:rPr>
          <w:rFonts w:hint="eastAsia" w:ascii="黑体" w:hAnsi="黑体" w:eastAsia="黑体"/>
          <w:b w:val="0"/>
        </w:rPr>
        <w:t>第一部分 单位</w:t>
      </w:r>
      <w:r>
        <w:rPr>
          <w:rStyle w:val="18"/>
          <w:rFonts w:hint="eastAsia" w:ascii="黑体" w:hAnsi="黑体" w:eastAsia="黑体"/>
          <w:b w:val="0"/>
          <w:bCs w:val="0"/>
        </w:rPr>
        <w:t>概况</w:t>
      </w:r>
      <w:bookmarkEnd w:id="0"/>
    </w:p>
    <w:p>
      <w:pPr>
        <w:widowControl/>
        <w:jc w:val="left"/>
        <w:rPr>
          <w:rFonts w:ascii="黑体" w:eastAsia="黑体"/>
          <w:sz w:val="32"/>
          <w:szCs w:val="32"/>
        </w:rPr>
      </w:pPr>
    </w:p>
    <w:p>
      <w:pPr>
        <w:pStyle w:val="3"/>
        <w:numPr>
          <w:ilvl w:val="0"/>
          <w:numId w:val="1"/>
        </w:numPr>
        <w:rPr>
          <w:rStyle w:val="19"/>
          <w:rFonts w:hint="eastAsia" w:ascii="黑体" w:hAnsi="黑体" w:eastAsia="黑体"/>
          <w:b w:val="0"/>
          <w:bCs w:val="0"/>
        </w:rPr>
      </w:pPr>
      <w:bookmarkStart w:id="1" w:name="_Toc6150"/>
      <w:r>
        <w:rPr>
          <w:rStyle w:val="19"/>
          <w:rFonts w:hint="eastAsia" w:ascii="黑体" w:hAnsi="黑体" w:eastAsia="黑体"/>
          <w:b w:val="0"/>
          <w:bCs w:val="0"/>
        </w:rPr>
        <w:t>主要职责</w:t>
      </w:r>
      <w:bookmarkEnd w:id="1"/>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640" w:firstLineChars="200"/>
        <w:jc w:val="both"/>
        <w:textAlignment w:val="auto"/>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（一）负责处理区内外群众给区委、区政府的来信，接待群众来访，保证信访渠道畅通；及时、准确地向区委、区政府领导反映来信来访中提出的重要建议、意见和问题。</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640" w:firstLineChars="200"/>
        <w:jc w:val="both"/>
        <w:textAlignment w:val="auto"/>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（二）承办上级党委、政府和区委、区政府交办的信访事项；督促检查领导同志有关信访批示的落实情况；向各乡镇、街道、区级各部门交办信访事项，督促检查重要信访事项的处理和落实。</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640" w:firstLineChars="200"/>
        <w:jc w:val="both"/>
        <w:textAlignment w:val="auto"/>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（三）协调处理跨部门的重要信访问题；协调处理群众集体到区委、区政府及有关部门的上访和异常、突发信访事件；检查、指导、协调各乡镇、街道和区级各部门的信访工作。</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640" w:firstLineChars="200"/>
        <w:jc w:val="both"/>
        <w:textAlignment w:val="auto"/>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（四）综合分析信访信息，开展调查研究，提出改进和加强信访工作的意见和建议；负责信访工作的宣传和信息发布，通报重大信访问题和信访事件。</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640" w:firstLineChars="200"/>
        <w:jc w:val="both"/>
        <w:textAlignment w:val="auto"/>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（五）了解掌握全区信访和群众工作队伍建设情况，组织信访干部培训。</w:t>
      </w:r>
    </w:p>
    <w:p>
      <w:pPr>
        <w:ind w:firstLine="640" w:firstLineChars="200"/>
        <w:outlineLvl w:val="9"/>
        <w:rPr>
          <w:b w:val="0"/>
        </w:rPr>
      </w:pPr>
      <w:r>
        <w:rPr>
          <w:rFonts w:hint="eastAsia" w:ascii="仿宋_GB2312" w:hAnsi="仿宋" w:eastAsia="仿宋_GB2312" w:cs="Times New Roman"/>
          <w:kern w:val="2"/>
          <w:sz w:val="32"/>
          <w:szCs w:val="32"/>
          <w:highlight w:val="none"/>
          <w:lang w:val="en-US" w:eastAsia="zh-CN" w:bidi="ar-SA"/>
        </w:rPr>
        <w:t>（六）完成区委、区政府交办的其他工作。</w:t>
      </w:r>
    </w:p>
    <w:p>
      <w:pPr>
        <w:outlineLvl w:val="9"/>
        <w:rPr>
          <w:rFonts w:hint="eastAsia"/>
        </w:rPr>
      </w:pPr>
    </w:p>
    <w:p>
      <w:pPr>
        <w:pStyle w:val="3"/>
        <w:numPr>
          <w:ilvl w:val="0"/>
          <w:numId w:val="1"/>
        </w:numPr>
        <w:ind w:left="0" w:leftChars="0" w:firstLine="0" w:firstLineChars="0"/>
        <w:rPr>
          <w:rFonts w:hint="eastAsia" w:ascii="黑体" w:hAnsi="黑体" w:eastAsia="黑体"/>
          <w:b w:val="0"/>
        </w:rPr>
      </w:pPr>
      <w:bookmarkStart w:id="2" w:name="_Toc3250"/>
      <w:r>
        <w:rPr>
          <w:rFonts w:hint="eastAsia" w:ascii="黑体" w:hAnsi="黑体" w:eastAsia="黑体"/>
          <w:b w:val="0"/>
        </w:rPr>
        <w:t>机构设置</w:t>
      </w:r>
      <w:bookmarkEnd w:id="2"/>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640" w:firstLineChars="200"/>
        <w:jc w:val="both"/>
        <w:textAlignment w:val="auto"/>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 xml:space="preserve">区信访局内设4个股室，具体情况如下：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640" w:firstLineChars="200"/>
        <w:jc w:val="both"/>
        <w:textAlignment w:val="auto"/>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综合股，负责机关人事、文秘、档案、保密等行政事务和后勤保障；负责经费的管理和使用；负责重要会议的组织，重要文件的起草；负责信访工作的调研，综合分析，反映信访动态和信息。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right="0" w:firstLine="640" w:firstLineChars="200"/>
        <w:jc w:val="both"/>
        <w:textAlignment w:val="auto"/>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信访股，负责接待区内外群众到区委、区政府的来访；处理群众到区委、区政府及以上单位的集体上访和有关突发事件；负责区委、区政府信访接待窗口日常工作；协调处理各乡镇、街道、区级各部门在群众来访中遇到的复杂问题；对全区接访工作进行具体指导。</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right="0" w:firstLine="640" w:firstLineChars="200"/>
        <w:jc w:val="both"/>
        <w:textAlignment w:val="auto"/>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督查督办股，负责对信访工作的法规、规章贯彻实施情况进行督查；承办上级机关及其领导同志交办的重要信访事项；对重要来信来访进行查办；对全区各级、各部门办理重要信访事项和来访事项的复查工作进行查办、协调和调研督导；负责对改进工作、追究责任、完善政策“三项建议权”的行使提出意见和建议；负责督促检查中央、省、市、区信访联席会议及其办公室议定或交办事项的贯彻落实；负责办理区内外群众给区委、区政府以及区领导的来信；负责对群众意见建议的办理和反馈工作；负责对群众来信进行综合分析，反映重要信息；承办国家、省信访局办信司、处交办的信访案件；办理上级机关下转群众来信和交办、转办来信事项，查办重要来信案件；指导协调处理职责范围内的疑难复杂来信事项，对全区办信工作进行具体指导。</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right="0" w:firstLine="640" w:firstLineChars="200"/>
        <w:jc w:val="both"/>
        <w:textAlignment w:val="auto"/>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网络股，负责承办网上投诉事项、承担“省长信箱”和人民网网民给省委书记、省长、市委书记、市长留言的办理、反馈、综合分析工作、反映网络重要信访信息；承办国家信访局国家投诉受理办公室交办的投诉受理事项；对全区网上信访工作、信访系统建设工作和信访系统投诉受理工作进行业务指导。</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640" w:firstLineChars="200"/>
        <w:jc w:val="both"/>
        <w:textAlignment w:val="auto"/>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下属单位：</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640" w:firstLineChars="200"/>
        <w:jc w:val="both"/>
        <w:textAlignment w:val="auto"/>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区群众来访接待中心，负责做好来访群众反映问题的登记、收集、反馈及协助相关部门做好上访群众的现场疏导等工作。</w:t>
      </w:r>
    </w:p>
    <w:p>
      <w:pPr>
        <w:widowControl/>
        <w:jc w:val="left"/>
        <w:rPr>
          <w:rFonts w:ascii="仿宋" w:hAnsi="仿宋" w:eastAsia="仿宋"/>
          <w:kern w:val="0"/>
          <w:sz w:val="32"/>
          <w:szCs w:val="32"/>
        </w:rPr>
      </w:pPr>
    </w:p>
    <w:p>
      <w:pPr>
        <w:pStyle w:val="2"/>
        <w:ind w:right="440"/>
        <w:jc w:val="center"/>
        <w:rPr>
          <w:rStyle w:val="18"/>
          <w:rFonts w:ascii="黑体" w:hAnsi="黑体" w:eastAsia="黑体"/>
          <w:b w:val="0"/>
          <w:bCs/>
        </w:rPr>
      </w:pPr>
      <w:bookmarkStart w:id="3" w:name="_Toc643"/>
      <w:r>
        <w:rPr>
          <w:rFonts w:hint="eastAsia" w:ascii="黑体" w:hAnsi="黑体" w:eastAsia="黑体"/>
          <w:b w:val="0"/>
        </w:rPr>
        <w:t>第二部分 2024年度</w:t>
      </w:r>
      <w:r>
        <w:rPr>
          <w:rStyle w:val="18"/>
          <w:rFonts w:hint="eastAsia" w:ascii="黑体" w:hAnsi="黑体" w:eastAsia="黑体"/>
          <w:b w:val="0"/>
          <w:bCs/>
        </w:rPr>
        <w:t>单位决算情况说明</w:t>
      </w:r>
      <w:bookmarkEnd w:id="3"/>
    </w:p>
    <w:p/>
    <w:p>
      <w:pPr>
        <w:pStyle w:val="25"/>
        <w:spacing w:line="600" w:lineRule="exact"/>
        <w:ind w:left="640" w:firstLine="0" w:firstLineChars="0"/>
        <w:outlineLvl w:val="1"/>
        <w:rPr>
          <w:rStyle w:val="19"/>
          <w:rFonts w:ascii="黑体" w:hAnsi="黑体" w:eastAsia="黑体"/>
          <w:b w:val="0"/>
        </w:rPr>
      </w:pPr>
      <w:bookmarkStart w:id="4" w:name="_Toc28742"/>
      <w:r>
        <w:rPr>
          <w:rFonts w:hint="eastAsia" w:ascii="黑体" w:hAnsi="黑体" w:eastAsia="黑体"/>
          <w:sz w:val="32"/>
          <w:szCs w:val="32"/>
        </w:rPr>
        <w:t>一、收</w:t>
      </w:r>
      <w:r>
        <w:rPr>
          <w:rStyle w:val="19"/>
          <w:rFonts w:hint="eastAsia" w:ascii="黑体" w:hAnsi="黑体" w:eastAsia="黑体"/>
          <w:b w:val="0"/>
        </w:rPr>
        <w:t>入支出决算总体情况说明</w:t>
      </w:r>
      <w:bookmarkEnd w:id="4"/>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2024年度收入、支出总计均为</w:t>
      </w:r>
      <w:r>
        <w:rPr>
          <w:rFonts w:hint="eastAsia" w:ascii="仿宋" w:hAnsi="仿宋" w:eastAsia="仿宋"/>
          <w:sz w:val="32"/>
          <w:szCs w:val="32"/>
          <w:lang w:val="en-US" w:eastAsia="zh-CN"/>
        </w:rPr>
        <w:t>435.73</w:t>
      </w:r>
      <w:r>
        <w:rPr>
          <w:rFonts w:hint="eastAsia" w:ascii="仿宋" w:hAnsi="仿宋" w:eastAsia="仿宋"/>
          <w:sz w:val="32"/>
          <w:szCs w:val="32"/>
        </w:rPr>
        <w:t>万元。与2023年度相比，收入、支出总计各增加</w:t>
      </w:r>
      <w:r>
        <w:rPr>
          <w:rFonts w:hint="eastAsia" w:ascii="仿宋" w:hAnsi="仿宋" w:eastAsia="仿宋"/>
          <w:sz w:val="32"/>
          <w:szCs w:val="32"/>
          <w:lang w:val="en-US" w:eastAsia="zh-CN"/>
        </w:rPr>
        <w:t>41.68</w:t>
      </w:r>
      <w:r>
        <w:rPr>
          <w:rFonts w:hint="eastAsia" w:ascii="仿宋" w:hAnsi="仿宋" w:eastAsia="仿宋"/>
          <w:sz w:val="32"/>
          <w:szCs w:val="32"/>
        </w:rPr>
        <w:t>万元，增长</w:t>
      </w:r>
      <w:r>
        <w:rPr>
          <w:rFonts w:hint="eastAsia" w:ascii="仿宋" w:hAnsi="仿宋" w:eastAsia="仿宋"/>
          <w:sz w:val="32"/>
          <w:szCs w:val="32"/>
          <w:lang w:val="en-US" w:eastAsia="zh-CN"/>
        </w:rPr>
        <w:t>10.58</w:t>
      </w:r>
      <w:r>
        <w:rPr>
          <w:rFonts w:hint="eastAsia" w:ascii="仿宋" w:hAnsi="仿宋" w:eastAsia="仿宋"/>
          <w:sz w:val="32"/>
          <w:szCs w:val="32"/>
        </w:rPr>
        <w:t>%。主要变动原因一是2024年新招了2名公务员</w:t>
      </w:r>
      <w:r>
        <w:rPr>
          <w:rFonts w:hint="eastAsia" w:ascii="仿宋" w:hAnsi="仿宋" w:eastAsia="仿宋"/>
          <w:sz w:val="32"/>
          <w:szCs w:val="32"/>
          <w:lang w:eastAsia="zh-CN"/>
        </w:rPr>
        <w:t>；</w:t>
      </w:r>
      <w:r>
        <w:rPr>
          <w:rFonts w:hint="eastAsia" w:ascii="仿宋" w:hAnsi="仿宋" w:eastAsia="仿宋"/>
          <w:sz w:val="32"/>
          <w:szCs w:val="32"/>
        </w:rPr>
        <w:t>二是工资标准和保险基数的调增，所以收入、支出增加了。</w:t>
      </w:r>
    </w:p>
    <w:p>
      <w:pPr>
        <w:spacing w:line="240" w:lineRule="auto"/>
        <w:ind w:firstLine="0" w:firstLineChars="0"/>
        <w:jc w:val="center"/>
        <w:rPr>
          <w:rFonts w:hint="eastAsia" w:ascii="仿宋" w:hAnsi="仿宋" w:eastAsia="仿宋"/>
          <w:sz w:val="32"/>
          <w:szCs w:val="32"/>
        </w:rPr>
      </w:pPr>
      <w:r>
        <w:rPr>
          <w:rFonts w:hint="eastAsia" w:ascii="仿宋" w:hAnsi="仿宋" w:eastAsia="仿宋"/>
          <w:sz w:val="32"/>
          <w:szCs w:val="32"/>
        </w:rPr>
        <w:drawing>
          <wp:inline distT="0" distB="0" distL="114300" distR="114300">
            <wp:extent cx="3695700" cy="2095500"/>
            <wp:effectExtent l="38735" t="18415" r="56515" b="76835"/>
            <wp:docPr id="1"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5"/>
        <w:spacing w:line="600" w:lineRule="exact"/>
        <w:ind w:left="640" w:firstLine="0" w:firstLineChars="0"/>
        <w:outlineLvl w:val="1"/>
        <w:rPr>
          <w:rStyle w:val="19"/>
          <w:rFonts w:ascii="黑体" w:hAnsi="黑体" w:eastAsia="黑体"/>
          <w:b w:val="0"/>
        </w:rPr>
      </w:pPr>
      <w:bookmarkStart w:id="5" w:name="_Toc6472"/>
      <w:r>
        <w:rPr>
          <w:rFonts w:hint="eastAsia" w:ascii="黑体" w:hAnsi="黑体" w:eastAsia="黑体"/>
          <w:sz w:val="32"/>
          <w:szCs w:val="32"/>
        </w:rPr>
        <w:t>二、收</w:t>
      </w:r>
      <w:r>
        <w:rPr>
          <w:rStyle w:val="19"/>
          <w:rFonts w:hint="eastAsia" w:ascii="黑体" w:hAnsi="黑体" w:eastAsia="黑体"/>
          <w:b w:val="0"/>
        </w:rPr>
        <w:t>入决算情况说明</w:t>
      </w:r>
      <w:bookmarkEnd w:id="5"/>
    </w:p>
    <w:p>
      <w:pPr>
        <w:pStyle w:val="25"/>
        <w:spacing w:line="600" w:lineRule="exact"/>
        <w:ind w:firstLine="640" w:firstLineChars="200"/>
        <w:jc w:val="left"/>
        <w:outlineLvl w:val="9"/>
        <w:rPr>
          <w:rFonts w:hint="eastAsia" w:eastAsia="仿宋_GB2312" w:cs="仿宋_GB2312"/>
          <w:sz w:val="32"/>
          <w:szCs w:val="32"/>
        </w:rPr>
      </w:pPr>
      <w:r>
        <w:rPr>
          <w:rFonts w:hint="eastAsia" w:ascii="仿宋_GB2312" w:hAnsi="仿宋_GB2312" w:eastAsia="仿宋_GB2312" w:cs="仿宋_GB2312"/>
          <w:sz w:val="32"/>
          <w:szCs w:val="32"/>
        </w:rPr>
        <w:t>2024年度本年收入合计</w:t>
      </w:r>
      <w:r>
        <w:rPr>
          <w:rFonts w:hint="eastAsia" w:eastAsia="仿宋_GB2312" w:cs="仿宋_GB2312"/>
          <w:sz w:val="32"/>
          <w:szCs w:val="32"/>
          <w:lang w:val="en-US" w:eastAsia="zh-CN"/>
        </w:rPr>
        <w:t>435.73</w:t>
      </w:r>
      <w:r>
        <w:rPr>
          <w:rFonts w:hint="eastAsia" w:ascii="仿宋_GB2312" w:hAnsi="仿宋_GB2312" w:eastAsia="仿宋_GB2312" w:cs="仿宋_GB2312"/>
          <w:sz w:val="32"/>
          <w:szCs w:val="32"/>
        </w:rPr>
        <w:t>万元，其中：一般公共预算财政拨款收入</w:t>
      </w:r>
      <w:r>
        <w:rPr>
          <w:rFonts w:hint="eastAsia" w:eastAsia="仿宋_GB2312" w:cs="仿宋_GB2312"/>
          <w:sz w:val="32"/>
          <w:szCs w:val="32"/>
          <w:lang w:val="en-US" w:eastAsia="zh-CN"/>
        </w:rPr>
        <w:t>435.73</w:t>
      </w:r>
      <w:r>
        <w:rPr>
          <w:rFonts w:hint="eastAsia" w:ascii="仿宋_GB2312" w:hAnsi="仿宋_GB2312" w:eastAsia="仿宋_GB2312" w:cs="仿宋_GB2312"/>
          <w:sz w:val="32"/>
          <w:szCs w:val="32"/>
        </w:rPr>
        <w:t>万元，占</w:t>
      </w:r>
      <w:r>
        <w:rPr>
          <w:rFonts w:hint="eastAsia" w:eastAsia="仿宋_GB2312" w:cs="仿宋_GB2312"/>
          <w:sz w:val="32"/>
          <w:szCs w:val="32"/>
          <w:lang w:val="en-US" w:eastAsia="zh-CN"/>
        </w:rPr>
        <w:t>100</w:t>
      </w:r>
      <w:r>
        <w:rPr>
          <w:rFonts w:hint="eastAsia" w:ascii="仿宋_GB2312" w:hAnsi="仿宋_GB2312" w:eastAsia="仿宋_GB2312" w:cs="仿宋_GB2312"/>
          <w:sz w:val="32"/>
          <w:szCs w:val="32"/>
        </w:rPr>
        <w:t>%。</w:t>
      </w:r>
    </w:p>
    <w:p>
      <w:pPr>
        <w:spacing w:line="240" w:lineRule="auto"/>
        <w:ind w:firstLine="0" w:firstLineChars="0"/>
        <w:jc w:val="center"/>
        <w:outlineLvl w:val="9"/>
        <w:rPr>
          <w:rFonts w:ascii="仿宋" w:hAnsi="仿宋" w:eastAsia="仿宋"/>
          <w:sz w:val="32"/>
          <w:szCs w:val="32"/>
        </w:rPr>
      </w:pPr>
      <w:r>
        <w:drawing>
          <wp:inline distT="0" distB="0" distL="114300" distR="114300">
            <wp:extent cx="3714750" cy="2190750"/>
            <wp:effectExtent l="38735" t="18415" r="56515" b="7683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（图2：收入决算结构图）（饼状图）</w:t>
      </w:r>
    </w:p>
    <w:p>
      <w:pPr>
        <w:pStyle w:val="25"/>
        <w:spacing w:line="600" w:lineRule="exact"/>
        <w:ind w:left="640" w:firstLine="0" w:firstLineChars="0"/>
        <w:outlineLvl w:val="1"/>
        <w:rPr>
          <w:rStyle w:val="19"/>
          <w:rFonts w:ascii="黑体" w:hAnsi="黑体" w:eastAsia="黑体"/>
          <w:b w:val="0"/>
        </w:rPr>
      </w:pPr>
      <w:bookmarkStart w:id="6" w:name="_Toc26514"/>
      <w:r>
        <w:rPr>
          <w:rFonts w:hint="eastAsia" w:ascii="黑体" w:hAnsi="黑体" w:eastAsia="黑体"/>
          <w:sz w:val="32"/>
          <w:szCs w:val="32"/>
        </w:rPr>
        <w:t>三、支</w:t>
      </w:r>
      <w:r>
        <w:rPr>
          <w:rStyle w:val="19"/>
          <w:rFonts w:hint="eastAsia" w:ascii="黑体" w:hAnsi="黑体" w:eastAsia="黑体"/>
          <w:b w:val="0"/>
        </w:rPr>
        <w:t>出决算情况说明</w:t>
      </w:r>
      <w:bookmarkEnd w:id="6"/>
    </w:p>
    <w:p>
      <w:pPr>
        <w:ind w:firstLine="640" w:firstLineChars="200"/>
        <w:rPr>
          <w:rFonts w:eastAsia="仿宋_GB2312" w:cs="仿宋_GB2312"/>
          <w:sz w:val="32"/>
          <w:szCs w:val="32"/>
        </w:rPr>
      </w:pPr>
      <w:r>
        <w:rPr>
          <w:rFonts w:hint="eastAsia" w:ascii="仿宋_GB2312" w:hAnsi="仿宋_GB2312" w:eastAsia="仿宋_GB2312" w:cs="仿宋_GB2312"/>
          <w:sz w:val="32"/>
          <w:szCs w:val="32"/>
        </w:rPr>
        <w:t>2024年度本年支出合计</w:t>
      </w:r>
      <w:r>
        <w:rPr>
          <w:rFonts w:hint="eastAsia" w:eastAsia="仿宋_GB2312" w:cs="仿宋_GB2312"/>
          <w:sz w:val="32"/>
          <w:szCs w:val="32"/>
          <w:lang w:val="en-US" w:eastAsia="zh-CN"/>
        </w:rPr>
        <w:t>435.73</w:t>
      </w:r>
      <w:r>
        <w:rPr>
          <w:rFonts w:hint="eastAsia" w:ascii="仿宋_GB2312" w:hAnsi="仿宋_GB2312" w:eastAsia="仿宋_GB2312" w:cs="仿宋_GB2312"/>
          <w:sz w:val="32"/>
          <w:szCs w:val="32"/>
        </w:rPr>
        <w:t>万元，其中：基本支出</w:t>
      </w:r>
      <w:r>
        <w:rPr>
          <w:rFonts w:hint="eastAsia" w:eastAsia="仿宋_GB2312" w:cs="仿宋_GB2312"/>
          <w:sz w:val="32"/>
          <w:szCs w:val="32"/>
          <w:lang w:val="en-US" w:eastAsia="zh-CN"/>
        </w:rPr>
        <w:t>324.43</w:t>
      </w:r>
      <w:r>
        <w:rPr>
          <w:rFonts w:hint="eastAsia" w:ascii="仿宋_GB2312" w:hAnsi="仿宋_GB2312" w:eastAsia="仿宋_GB2312" w:cs="仿宋_GB2312"/>
          <w:sz w:val="32"/>
          <w:szCs w:val="32"/>
        </w:rPr>
        <w:t>万元，占</w:t>
      </w:r>
      <w:r>
        <w:rPr>
          <w:rFonts w:hint="eastAsia" w:eastAsia="仿宋_GB2312" w:cs="仿宋_GB2312"/>
          <w:sz w:val="32"/>
          <w:szCs w:val="32"/>
          <w:lang w:val="en-US" w:eastAsia="zh-CN"/>
        </w:rPr>
        <w:t>74.46</w:t>
      </w:r>
      <w:r>
        <w:rPr>
          <w:rFonts w:hint="eastAsia" w:ascii="仿宋_GB2312" w:hAnsi="仿宋_GB2312" w:eastAsia="仿宋_GB2312" w:cs="仿宋_GB2312"/>
          <w:sz w:val="32"/>
          <w:szCs w:val="32"/>
        </w:rPr>
        <w:t>%；项目支出</w:t>
      </w:r>
      <w:r>
        <w:rPr>
          <w:rFonts w:hint="eastAsia" w:eastAsia="仿宋_GB2312" w:cs="仿宋_GB2312"/>
          <w:sz w:val="32"/>
          <w:szCs w:val="32"/>
          <w:lang w:val="en-US" w:eastAsia="zh-CN"/>
        </w:rPr>
        <w:t>111.29</w:t>
      </w:r>
      <w:r>
        <w:rPr>
          <w:rFonts w:hint="eastAsia" w:ascii="仿宋_GB2312" w:hAnsi="仿宋_GB2312" w:eastAsia="仿宋_GB2312" w:cs="仿宋_GB2312"/>
          <w:sz w:val="32"/>
          <w:szCs w:val="32"/>
        </w:rPr>
        <w:t>万元，占</w:t>
      </w:r>
      <w:r>
        <w:rPr>
          <w:rFonts w:hint="eastAsia" w:eastAsia="仿宋_GB2312" w:cs="仿宋_GB2312"/>
          <w:sz w:val="32"/>
          <w:szCs w:val="32"/>
          <w:lang w:val="en-US" w:eastAsia="zh-CN"/>
        </w:rPr>
        <w:t>25.54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spacing w:line="240" w:lineRule="auto"/>
        <w:ind w:firstLine="0"/>
        <w:jc w:val="center"/>
        <w:rPr>
          <w:rFonts w:ascii="仿宋" w:hAnsi="仿宋" w:eastAsia="仿宋"/>
          <w:sz w:val="32"/>
          <w:szCs w:val="32"/>
          <w:shd w:val="pct10" w:color="auto" w:fill="FFFFFF"/>
        </w:rPr>
      </w:pPr>
      <w:r>
        <w:drawing>
          <wp:inline distT="0" distB="0" distL="114300" distR="114300">
            <wp:extent cx="3733800" cy="2115185"/>
            <wp:effectExtent l="38735" t="18415" r="56515" b="76200"/>
            <wp:docPr id="3"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outlineLvl w:val="1"/>
        <w:rPr>
          <w:rStyle w:val="19"/>
          <w:rFonts w:ascii="黑体" w:hAnsi="黑体" w:eastAsia="黑体"/>
          <w:b w:val="0"/>
        </w:rPr>
      </w:pPr>
      <w:bookmarkStart w:id="7" w:name="_Toc50"/>
      <w:r>
        <w:rPr>
          <w:rFonts w:hint="eastAsia" w:ascii="黑体" w:hAnsi="黑体" w:eastAsia="黑体"/>
          <w:sz w:val="32"/>
          <w:szCs w:val="32"/>
        </w:rPr>
        <w:t>四、财</w:t>
      </w:r>
      <w:r>
        <w:rPr>
          <w:rStyle w:val="19"/>
          <w:rFonts w:hint="eastAsia" w:ascii="黑体" w:hAnsi="黑体" w:eastAsia="黑体"/>
          <w:b w:val="0"/>
        </w:rPr>
        <w:t>政拨款收入支出决算总体情况说明</w:t>
      </w:r>
      <w:bookmarkEnd w:id="7"/>
    </w:p>
    <w:p>
      <w:pPr>
        <w:spacing w:line="600" w:lineRule="exact"/>
        <w:ind w:firstLine="640"/>
        <w:rPr>
          <w:rFonts w:hint="eastAsia" w:ascii="仿宋" w:hAnsi="仿宋" w:eastAsia="仿宋"/>
          <w:sz w:val="32"/>
          <w:szCs w:val="32"/>
        </w:rPr>
      </w:pPr>
      <w:r>
        <w:rPr>
          <w:rFonts w:hint="eastAsia" w:ascii="仿宋" w:hAnsi="仿宋" w:eastAsia="仿宋"/>
          <w:sz w:val="32"/>
          <w:szCs w:val="32"/>
        </w:rPr>
        <w:t>22024年度财政拨款收入、支出总计均为</w:t>
      </w:r>
      <w:r>
        <w:rPr>
          <w:rFonts w:hint="eastAsia" w:ascii="仿宋" w:hAnsi="仿宋" w:eastAsia="仿宋"/>
          <w:sz w:val="32"/>
          <w:szCs w:val="32"/>
          <w:lang w:val="en-US" w:eastAsia="zh-CN"/>
        </w:rPr>
        <w:t>435.73</w:t>
      </w:r>
      <w:r>
        <w:rPr>
          <w:rFonts w:hint="eastAsia" w:ascii="仿宋" w:hAnsi="仿宋" w:eastAsia="仿宋"/>
          <w:sz w:val="32"/>
          <w:szCs w:val="32"/>
        </w:rPr>
        <w:t>万元。与2023年度相比，财政拨款收入总计、支出总计各增加</w:t>
      </w:r>
      <w:r>
        <w:rPr>
          <w:rFonts w:hint="eastAsia" w:ascii="仿宋" w:hAnsi="仿宋" w:eastAsia="仿宋"/>
          <w:sz w:val="32"/>
          <w:szCs w:val="32"/>
          <w:lang w:val="en-US" w:eastAsia="zh-CN"/>
        </w:rPr>
        <w:t>41.68</w:t>
      </w:r>
      <w:r>
        <w:rPr>
          <w:rFonts w:hint="eastAsia" w:ascii="仿宋" w:hAnsi="仿宋" w:eastAsia="仿宋"/>
          <w:sz w:val="32"/>
          <w:szCs w:val="32"/>
        </w:rPr>
        <w:t>万元，增长</w:t>
      </w:r>
      <w:r>
        <w:rPr>
          <w:rFonts w:hint="eastAsia" w:ascii="仿宋" w:hAnsi="仿宋" w:eastAsia="仿宋"/>
          <w:sz w:val="32"/>
          <w:szCs w:val="32"/>
          <w:lang w:val="en-US" w:eastAsia="zh-CN"/>
        </w:rPr>
        <w:t>10.58</w:t>
      </w:r>
      <w:r>
        <w:rPr>
          <w:rFonts w:hint="eastAsia" w:ascii="仿宋" w:hAnsi="仿宋" w:eastAsia="仿宋"/>
          <w:sz w:val="32"/>
          <w:szCs w:val="32"/>
        </w:rPr>
        <w:t>%。主要变动原因一是2024年新招了2名公务员</w:t>
      </w:r>
      <w:r>
        <w:rPr>
          <w:rFonts w:hint="eastAsia" w:ascii="仿宋" w:hAnsi="仿宋" w:eastAsia="仿宋"/>
          <w:sz w:val="32"/>
          <w:szCs w:val="32"/>
          <w:lang w:eastAsia="zh-CN"/>
        </w:rPr>
        <w:t>；</w:t>
      </w:r>
      <w:r>
        <w:rPr>
          <w:rFonts w:hint="eastAsia" w:ascii="仿宋" w:hAnsi="仿宋" w:eastAsia="仿宋"/>
          <w:sz w:val="32"/>
          <w:szCs w:val="32"/>
        </w:rPr>
        <w:t>二是工资标准和保险基数的调增，所以收入、支出增加了。</w:t>
      </w:r>
    </w:p>
    <w:p>
      <w:pPr>
        <w:spacing w:line="240" w:lineRule="auto"/>
        <w:ind w:firstLine="0"/>
        <w:jc w:val="center"/>
        <w:rPr>
          <w:rFonts w:ascii="仿宋" w:hAnsi="仿宋" w:eastAsia="仿宋"/>
          <w:sz w:val="32"/>
          <w:szCs w:val="32"/>
        </w:rPr>
      </w:pPr>
      <w:r>
        <w:rPr>
          <w:rFonts w:hint="eastAsia" w:ascii="仿宋" w:hAnsi="仿宋" w:eastAsia="仿宋"/>
          <w:sz w:val="32"/>
          <w:szCs w:val="32"/>
        </w:rPr>
        <w:drawing>
          <wp:inline distT="0" distB="0" distL="114300" distR="114300">
            <wp:extent cx="3733800" cy="2133600"/>
            <wp:effectExtent l="38735" t="18415" r="56515" b="76835"/>
            <wp:docPr id="4"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firstLineChars="200"/>
        <w:outlineLvl w:val="1"/>
        <w:rPr>
          <w:rStyle w:val="19"/>
          <w:rFonts w:ascii="黑体" w:hAnsi="黑体" w:eastAsia="黑体"/>
          <w:b w:val="0"/>
        </w:rPr>
      </w:pPr>
      <w:bookmarkStart w:id="8" w:name="_Toc19851"/>
      <w:r>
        <w:rPr>
          <w:rFonts w:hint="eastAsia" w:ascii="黑体" w:hAnsi="黑体" w:eastAsia="黑体"/>
          <w:sz w:val="32"/>
          <w:szCs w:val="32"/>
        </w:rPr>
        <w:t>五、</w:t>
      </w:r>
      <w:r>
        <w:rPr>
          <w:rFonts w:hint="eastAsia" w:ascii="黑体" w:hAnsi="黑体" w:eastAsia="黑体"/>
          <w:b/>
          <w:sz w:val="32"/>
          <w:szCs w:val="32"/>
        </w:rPr>
        <w:t>一</w:t>
      </w:r>
      <w:r>
        <w:rPr>
          <w:rStyle w:val="19"/>
          <w:rFonts w:hint="eastAsia" w:ascii="黑体" w:hAnsi="黑体" w:eastAsia="黑体"/>
          <w:b w:val="0"/>
        </w:rPr>
        <w:t>般公共预算财政拨款支出决算情况说明</w:t>
      </w:r>
      <w:bookmarkEnd w:id="8"/>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（一）一般公共预算财政拨款支出决算总体情况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2024年度一般公共预算财政拨款支出</w:t>
      </w:r>
      <w:r>
        <w:rPr>
          <w:rFonts w:hint="eastAsia" w:ascii="仿宋" w:hAnsi="仿宋" w:eastAsia="仿宋"/>
          <w:sz w:val="32"/>
          <w:szCs w:val="32"/>
          <w:lang w:val="en-US" w:eastAsia="zh-CN"/>
        </w:rPr>
        <w:t>435.73</w:t>
      </w:r>
      <w:r>
        <w:rPr>
          <w:rFonts w:hint="eastAsia" w:ascii="仿宋" w:hAnsi="仿宋" w:eastAsia="仿宋"/>
          <w:sz w:val="32"/>
          <w:szCs w:val="32"/>
        </w:rPr>
        <w:t>万元，占本年支出合计的</w:t>
      </w:r>
      <w:r>
        <w:rPr>
          <w:rFonts w:hint="eastAsia" w:ascii="仿宋" w:hAnsi="仿宋" w:eastAsia="仿宋"/>
          <w:sz w:val="32"/>
          <w:szCs w:val="32"/>
          <w:lang w:val="en-US" w:eastAsia="zh-CN"/>
        </w:rPr>
        <w:t>10</w:t>
      </w:r>
      <w:r>
        <w:rPr>
          <w:rFonts w:hint="eastAsia" w:ascii="仿宋" w:hAnsi="仿宋" w:eastAsia="仿宋"/>
          <w:sz w:val="32"/>
          <w:szCs w:val="32"/>
          <w:lang w:eastAsia="zh-CN"/>
        </w:rPr>
        <w:t>0</w:t>
      </w:r>
      <w:r>
        <w:rPr>
          <w:rFonts w:hint="eastAsia" w:ascii="仿宋" w:hAnsi="仿宋" w:eastAsia="仿宋"/>
          <w:sz w:val="32"/>
          <w:szCs w:val="32"/>
        </w:rPr>
        <w:t>%。与2023年度相比，一般公共预算财政拨款支出增加</w:t>
      </w:r>
      <w:r>
        <w:rPr>
          <w:rFonts w:hint="eastAsia" w:ascii="仿宋" w:hAnsi="仿宋" w:eastAsia="仿宋"/>
          <w:sz w:val="32"/>
          <w:szCs w:val="32"/>
          <w:lang w:val="en-US" w:eastAsia="zh-CN"/>
        </w:rPr>
        <w:t>41.68</w:t>
      </w:r>
      <w:r>
        <w:rPr>
          <w:rFonts w:hint="eastAsia" w:ascii="仿宋" w:hAnsi="仿宋" w:eastAsia="仿宋"/>
          <w:sz w:val="32"/>
          <w:szCs w:val="32"/>
        </w:rPr>
        <w:t>万元，增长</w:t>
      </w:r>
      <w:r>
        <w:rPr>
          <w:rFonts w:hint="eastAsia" w:ascii="仿宋" w:hAnsi="仿宋" w:eastAsia="仿宋"/>
          <w:sz w:val="32"/>
          <w:szCs w:val="32"/>
          <w:lang w:val="en-US" w:eastAsia="zh-CN"/>
        </w:rPr>
        <w:t>10.58</w:t>
      </w:r>
      <w:r>
        <w:rPr>
          <w:rFonts w:hint="eastAsia" w:ascii="仿宋" w:hAnsi="仿宋" w:eastAsia="仿宋"/>
          <w:sz w:val="32"/>
          <w:szCs w:val="32"/>
        </w:rPr>
        <w:t>%。主要变动原因一是2024年新招了2名公务员</w:t>
      </w:r>
      <w:r>
        <w:rPr>
          <w:rFonts w:hint="eastAsia" w:ascii="仿宋" w:hAnsi="仿宋" w:eastAsia="仿宋"/>
          <w:sz w:val="32"/>
          <w:szCs w:val="32"/>
          <w:lang w:eastAsia="zh-CN"/>
        </w:rPr>
        <w:t>；</w:t>
      </w:r>
      <w:r>
        <w:rPr>
          <w:rFonts w:hint="eastAsia" w:ascii="仿宋" w:hAnsi="仿宋" w:eastAsia="仿宋"/>
          <w:sz w:val="32"/>
          <w:szCs w:val="32"/>
        </w:rPr>
        <w:t>二是工资标准和保险基数的调增，所以收入、支出增加了。</w:t>
      </w:r>
    </w:p>
    <w:p>
      <w:pPr>
        <w:spacing w:line="240" w:lineRule="auto"/>
        <w:ind w:firstLine="0" w:firstLineChars="0"/>
        <w:jc w:val="center"/>
        <w:rPr>
          <w:rFonts w:ascii="仿宋" w:hAnsi="仿宋" w:eastAsia="仿宋"/>
          <w:sz w:val="32"/>
          <w:szCs w:val="32"/>
        </w:rPr>
      </w:pPr>
      <w:r>
        <w:rPr>
          <w:rFonts w:ascii="仿宋" w:hAnsi="仿宋" w:eastAsia="仿宋"/>
          <w:sz w:val="32"/>
          <w:szCs w:val="32"/>
        </w:rPr>
        <w:drawing>
          <wp:inline distT="0" distB="0" distL="114300" distR="114300">
            <wp:extent cx="3752850" cy="2153285"/>
            <wp:effectExtent l="38735" t="18415" r="56515" b="76200"/>
            <wp:docPr id="5" name="图片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p>
    <w:p>
      <w:pPr>
        <w:spacing w:line="600" w:lineRule="exact"/>
        <w:ind w:firstLine="640"/>
        <w:rPr>
          <w:rFonts w:hint="eastAsia" w:ascii="仿宋" w:hAnsi="仿宋" w:eastAsia="仿宋"/>
          <w:sz w:val="32"/>
          <w:szCs w:val="32"/>
          <w:lang w:eastAsia="zh-CN"/>
        </w:rPr>
      </w:pPr>
      <w:r>
        <w:rPr>
          <w:rFonts w:hint="eastAsia" w:ascii="仿宋" w:hAnsi="仿宋" w:eastAsia="仿宋"/>
          <w:sz w:val="32"/>
          <w:szCs w:val="32"/>
        </w:rPr>
        <w:t>2024年度一般公共预算财政拨款支出</w:t>
      </w:r>
      <w:r>
        <w:rPr>
          <w:rFonts w:hint="eastAsia" w:ascii="仿宋" w:hAnsi="仿宋" w:eastAsia="仿宋"/>
          <w:sz w:val="32"/>
          <w:szCs w:val="32"/>
          <w:lang w:val="en-US" w:eastAsia="zh-CN"/>
        </w:rPr>
        <w:t>435.73</w:t>
      </w:r>
      <w:r>
        <w:rPr>
          <w:rFonts w:hint="eastAsia" w:ascii="仿宋" w:hAnsi="仿宋" w:eastAsia="仿宋"/>
          <w:sz w:val="32"/>
          <w:szCs w:val="32"/>
        </w:rPr>
        <w:t>万元，主要用于以下方面：一般公共服务支出</w:t>
      </w:r>
      <w:r>
        <w:rPr>
          <w:rFonts w:hint="eastAsia" w:ascii="仿宋" w:hAnsi="仿宋" w:eastAsia="仿宋"/>
          <w:sz w:val="32"/>
          <w:szCs w:val="32"/>
          <w:lang w:val="en-US" w:eastAsia="zh-CN"/>
        </w:rPr>
        <w:t>354.87</w:t>
      </w:r>
      <w:r>
        <w:rPr>
          <w:rFonts w:hint="eastAsia" w:ascii="仿宋" w:hAnsi="仿宋" w:eastAsia="仿宋"/>
          <w:sz w:val="32"/>
          <w:szCs w:val="32"/>
        </w:rPr>
        <w:t>万元，占</w:t>
      </w:r>
      <w:r>
        <w:rPr>
          <w:rFonts w:hint="eastAsia" w:ascii="仿宋" w:hAnsi="仿宋" w:eastAsia="仿宋"/>
          <w:sz w:val="32"/>
          <w:szCs w:val="32"/>
          <w:lang w:val="en-US" w:eastAsia="zh-CN"/>
        </w:rPr>
        <w:t>81.44</w:t>
      </w:r>
      <w:r>
        <w:rPr>
          <w:rFonts w:hint="eastAsia" w:ascii="仿宋" w:hAnsi="仿宋" w:eastAsia="仿宋"/>
          <w:sz w:val="32"/>
          <w:szCs w:val="32"/>
        </w:rPr>
        <w:t>%；社会保障和就业支出</w:t>
      </w:r>
      <w:r>
        <w:rPr>
          <w:rFonts w:hint="eastAsia" w:ascii="仿宋" w:hAnsi="仿宋" w:eastAsia="仿宋"/>
          <w:sz w:val="32"/>
          <w:szCs w:val="32"/>
          <w:lang w:val="en-US" w:eastAsia="zh-CN"/>
        </w:rPr>
        <w:t>49.04</w:t>
      </w:r>
      <w:r>
        <w:rPr>
          <w:rFonts w:hint="eastAsia" w:ascii="仿宋" w:hAnsi="仿宋" w:eastAsia="仿宋"/>
          <w:sz w:val="32"/>
          <w:szCs w:val="32"/>
        </w:rPr>
        <w:t>万元，占</w:t>
      </w:r>
      <w:r>
        <w:rPr>
          <w:rFonts w:hint="eastAsia" w:ascii="仿宋" w:hAnsi="仿宋" w:eastAsia="仿宋"/>
          <w:sz w:val="32"/>
          <w:szCs w:val="32"/>
          <w:lang w:val="en-US" w:eastAsia="zh-CN"/>
        </w:rPr>
        <w:t>11.25</w:t>
      </w:r>
      <w:r>
        <w:rPr>
          <w:rFonts w:hint="eastAsia" w:ascii="仿宋" w:hAnsi="仿宋" w:eastAsia="仿宋"/>
          <w:sz w:val="32"/>
          <w:szCs w:val="32"/>
        </w:rPr>
        <w:t>%；卫生健康支出</w:t>
      </w:r>
      <w:r>
        <w:rPr>
          <w:rFonts w:hint="eastAsia" w:ascii="仿宋" w:hAnsi="仿宋" w:eastAsia="仿宋"/>
          <w:sz w:val="32"/>
          <w:szCs w:val="32"/>
          <w:lang w:val="en-US" w:eastAsia="zh-CN"/>
        </w:rPr>
        <w:t>9.82</w:t>
      </w:r>
      <w:r>
        <w:rPr>
          <w:rFonts w:hint="eastAsia" w:ascii="仿宋" w:hAnsi="仿宋" w:eastAsia="仿宋"/>
          <w:sz w:val="32"/>
          <w:szCs w:val="32"/>
        </w:rPr>
        <w:t>万元，占</w:t>
      </w:r>
      <w:r>
        <w:rPr>
          <w:rFonts w:hint="eastAsia" w:ascii="仿宋" w:hAnsi="仿宋" w:eastAsia="仿宋"/>
          <w:sz w:val="32"/>
          <w:szCs w:val="32"/>
          <w:lang w:val="en-US" w:eastAsia="zh-CN"/>
        </w:rPr>
        <w:t>2.25</w:t>
      </w:r>
      <w:r>
        <w:rPr>
          <w:rFonts w:hint="eastAsia" w:ascii="仿宋" w:hAnsi="仿宋" w:eastAsia="仿宋"/>
          <w:sz w:val="32"/>
          <w:szCs w:val="32"/>
        </w:rPr>
        <w:t>%；住房保障支出</w:t>
      </w:r>
      <w:r>
        <w:rPr>
          <w:rFonts w:hint="eastAsia" w:ascii="仿宋" w:hAnsi="仿宋" w:eastAsia="仿宋"/>
          <w:sz w:val="32"/>
          <w:szCs w:val="32"/>
          <w:lang w:val="en-US" w:eastAsia="zh-CN"/>
        </w:rPr>
        <w:t>21.99</w:t>
      </w:r>
      <w:r>
        <w:rPr>
          <w:rFonts w:hint="eastAsia" w:ascii="仿宋" w:hAnsi="仿宋" w:eastAsia="仿宋"/>
          <w:sz w:val="32"/>
          <w:szCs w:val="32"/>
        </w:rPr>
        <w:t>万元，占</w:t>
      </w:r>
      <w:r>
        <w:rPr>
          <w:rFonts w:hint="eastAsia" w:ascii="仿宋" w:hAnsi="仿宋" w:eastAsia="仿宋"/>
          <w:sz w:val="32"/>
          <w:szCs w:val="32"/>
          <w:lang w:val="en-US" w:eastAsia="zh-CN"/>
        </w:rPr>
        <w:t>5.05</w:t>
      </w:r>
      <w:r>
        <w:rPr>
          <w:rFonts w:hint="eastAsia" w:ascii="仿宋" w:hAnsi="仿宋" w:eastAsia="仿宋"/>
          <w:sz w:val="32"/>
          <w:szCs w:val="32"/>
        </w:rPr>
        <w:t>%</w:t>
      </w:r>
      <w:r>
        <w:rPr>
          <w:rFonts w:hint="eastAsia" w:ascii="仿宋" w:hAnsi="仿宋" w:eastAsia="仿宋"/>
          <w:sz w:val="32"/>
          <w:szCs w:val="32"/>
          <w:lang w:eastAsia="zh-CN"/>
        </w:rPr>
        <w:t>。</w:t>
      </w:r>
    </w:p>
    <w:p>
      <w:pPr>
        <w:spacing w:line="240" w:lineRule="auto"/>
        <w:ind w:firstLine="0"/>
        <w:jc w:val="center"/>
        <w:rPr>
          <w:rFonts w:hint="eastAsia" w:ascii="仿宋" w:hAnsi="仿宋" w:eastAsia="仿宋"/>
          <w:b/>
          <w:sz w:val="32"/>
          <w:szCs w:val="32"/>
        </w:rPr>
      </w:pPr>
      <w:r>
        <w:rPr>
          <w:rFonts w:hint="eastAsia" w:ascii="仿宋" w:hAnsi="仿宋" w:eastAsia="仿宋"/>
          <w:sz w:val="32"/>
          <w:szCs w:val="32"/>
        </w:rPr>
        <w:drawing>
          <wp:inline distT="0" distB="0" distL="114300" distR="114300">
            <wp:extent cx="3771900" cy="2058035"/>
            <wp:effectExtent l="38735" t="18415" r="56515" b="76200"/>
            <wp:docPr id="6"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p>
    <w:p>
      <w:pPr>
        <w:spacing w:line="600" w:lineRule="exact"/>
        <w:ind w:firstLine="640" w:firstLineChars="200"/>
        <w:rPr>
          <w:rFonts w:eastAsia="仿宋_GB2312" w:cs="仿宋_GB2312"/>
          <w:sz w:val="32"/>
          <w:szCs w:val="32"/>
        </w:rPr>
      </w:pPr>
      <w:bookmarkStart w:id="9" w:name="_Toc15377444"/>
      <w:bookmarkStart w:id="10" w:name="_Toc15377213"/>
      <w:bookmarkStart w:id="11" w:name="_Toc15378460"/>
      <w:r>
        <w:rPr>
          <w:rFonts w:hint="eastAsia" w:eastAsia="仿宋_GB2312" w:cs="仿宋_GB2312"/>
          <w:sz w:val="32"/>
          <w:szCs w:val="32"/>
        </w:rPr>
        <w:t>2024年度一般公共预算财政拨款支出决算数为</w:t>
      </w:r>
      <w:r>
        <w:rPr>
          <w:rFonts w:hint="eastAsia" w:eastAsia="仿宋_GB2312" w:cs="仿宋_GB2312"/>
          <w:sz w:val="32"/>
          <w:szCs w:val="32"/>
          <w:lang w:val="en-US" w:eastAsia="zh-CN"/>
        </w:rPr>
        <w:t>435.73万元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ascii="仿宋" w:hAnsi="仿宋" w:eastAsia="仿宋"/>
          <w:b/>
          <w:sz w:val="32"/>
          <w:szCs w:val="32"/>
          <w:highlight w:val="none"/>
          <w:lang w:val="en-US" w:eastAsia="zh-CN"/>
        </w:rPr>
        <w:t>442.44万元的</w:t>
      </w:r>
      <w:r>
        <w:rPr>
          <w:rFonts w:hint="eastAsia" w:eastAsia="仿宋_GB2312" w:cs="仿宋_GB2312"/>
          <w:sz w:val="32"/>
          <w:szCs w:val="32"/>
          <w:lang w:val="en-US" w:eastAsia="zh-CN"/>
        </w:rPr>
        <w:t>98.48</w:t>
      </w:r>
      <w:r>
        <w:rPr>
          <w:rFonts w:hint="eastAsia" w:eastAsia="仿宋_GB2312" w:cs="仿宋_GB2312"/>
          <w:sz w:val="32"/>
          <w:szCs w:val="32"/>
        </w:rPr>
        <w:t>%。其中：</w:t>
      </w:r>
      <w:bookmarkEnd w:id="9"/>
      <w:bookmarkEnd w:id="10"/>
      <w:bookmarkEnd w:id="11"/>
    </w:p>
    <w:p>
      <w:pPr>
        <w:numPr>
          <w:ilvl w:val="0"/>
          <w:numId w:val="2"/>
        </w:numPr>
        <w:spacing w:line="600" w:lineRule="exact"/>
        <w:ind w:left="0" w:leftChars="0" w:firstLine="640" w:firstLineChars="200"/>
        <w:rPr>
          <w:rFonts w:hint="eastAsia" w:eastAsia="仿宋_GB2312" w:cs="仿宋_GB2312"/>
          <w:sz w:val="32"/>
          <w:szCs w:val="32"/>
          <w:lang w:eastAsia="zh-CN"/>
        </w:rPr>
      </w:pPr>
      <w:r>
        <w:rPr>
          <w:rFonts w:hint="eastAsia" w:eastAsia="仿宋_GB2312" w:cs="仿宋_GB2312"/>
          <w:sz w:val="32"/>
          <w:szCs w:val="32"/>
        </w:rPr>
        <w:t>一般公共服务（类）</w:t>
      </w:r>
      <w:r>
        <w:rPr>
          <w:rFonts w:hint="eastAsia" w:eastAsia="仿宋_GB2312" w:cs="仿宋_GB2312"/>
          <w:sz w:val="32"/>
          <w:szCs w:val="32"/>
          <w:lang w:eastAsia="zh-CN"/>
        </w:rPr>
        <w:t>信访事务</w:t>
      </w:r>
      <w:r>
        <w:rPr>
          <w:rFonts w:hint="eastAsia" w:eastAsia="仿宋_GB2312" w:cs="仿宋_GB2312"/>
          <w:sz w:val="32"/>
          <w:szCs w:val="32"/>
        </w:rPr>
        <w:t>（款）</w:t>
      </w:r>
      <w:r>
        <w:rPr>
          <w:rFonts w:hint="eastAsia" w:eastAsia="仿宋_GB2312" w:cs="仿宋_GB2312"/>
          <w:sz w:val="32"/>
          <w:szCs w:val="32"/>
          <w:lang w:eastAsia="zh-CN"/>
        </w:rPr>
        <w:t>行政运行</w:t>
      </w:r>
      <w:r>
        <w:rPr>
          <w:rFonts w:hint="eastAsia" w:eastAsia="仿宋_GB2312" w:cs="仿宋_GB2312"/>
          <w:sz w:val="32"/>
          <w:szCs w:val="32"/>
        </w:rPr>
        <w:t>（项）</w:t>
      </w:r>
      <w:r>
        <w:rPr>
          <w:rFonts w:hint="eastAsia" w:eastAsia="仿宋_GB2312" w:cs="仿宋_GB2312"/>
          <w:sz w:val="32"/>
          <w:szCs w:val="32"/>
          <w:lang w:eastAsia="zh-CN"/>
        </w:rPr>
        <w:t>：</w:t>
      </w:r>
      <w:r>
        <w:rPr>
          <w:rFonts w:hint="eastAsia" w:eastAsia="仿宋_GB2312" w:cs="仿宋_GB2312"/>
          <w:sz w:val="32"/>
          <w:szCs w:val="32"/>
        </w:rPr>
        <w:t xml:space="preserve"> 支出决算为</w:t>
      </w:r>
      <w:r>
        <w:rPr>
          <w:rFonts w:hint="eastAsia" w:eastAsia="仿宋_GB2312" w:cs="仿宋_GB2312"/>
          <w:sz w:val="32"/>
          <w:szCs w:val="32"/>
          <w:lang w:val="en-US" w:eastAsia="zh-CN"/>
        </w:rPr>
        <w:t>204.33</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numPr>
          <w:ilvl w:val="0"/>
          <w:numId w:val="2"/>
        </w:numPr>
        <w:spacing w:line="600" w:lineRule="exact"/>
        <w:ind w:left="0" w:leftChars="0" w:firstLine="640" w:firstLineChars="200"/>
        <w:rPr>
          <w:rFonts w:hint="default" w:eastAsia="仿宋_GB2312" w:cs="仿宋_GB2312"/>
          <w:sz w:val="32"/>
          <w:szCs w:val="32"/>
          <w:highlight w:val="none"/>
          <w:lang w:val="en-US" w:eastAsia="zh-CN"/>
        </w:rPr>
      </w:pPr>
      <w:r>
        <w:rPr>
          <w:rFonts w:hint="eastAsia" w:eastAsia="仿宋_GB2312" w:cs="仿宋_GB2312"/>
          <w:sz w:val="32"/>
          <w:szCs w:val="32"/>
        </w:rPr>
        <w:t>一般公共服务（类）</w:t>
      </w:r>
      <w:r>
        <w:rPr>
          <w:rFonts w:hint="eastAsia" w:eastAsia="仿宋_GB2312" w:cs="仿宋_GB2312"/>
          <w:sz w:val="32"/>
          <w:szCs w:val="32"/>
          <w:lang w:eastAsia="zh-CN"/>
        </w:rPr>
        <w:t>信访事务</w:t>
      </w:r>
      <w:r>
        <w:rPr>
          <w:rFonts w:hint="eastAsia" w:eastAsia="仿宋_GB2312" w:cs="仿宋_GB2312"/>
          <w:sz w:val="32"/>
          <w:szCs w:val="32"/>
        </w:rPr>
        <w:t>（款）</w:t>
      </w:r>
      <w:r>
        <w:rPr>
          <w:rFonts w:hint="eastAsia" w:eastAsia="仿宋_GB2312" w:cs="仿宋_GB2312"/>
          <w:sz w:val="32"/>
          <w:szCs w:val="32"/>
          <w:lang w:eastAsia="zh-CN"/>
        </w:rPr>
        <w:t>一般行政管理事务</w:t>
      </w:r>
      <w:r>
        <w:rPr>
          <w:rFonts w:hint="eastAsia" w:eastAsia="仿宋_GB2312" w:cs="仿宋_GB2312"/>
          <w:sz w:val="32"/>
          <w:szCs w:val="32"/>
        </w:rPr>
        <w:t>（项）</w:t>
      </w:r>
      <w:r>
        <w:rPr>
          <w:rFonts w:hint="eastAsia" w:eastAsia="仿宋_GB2312" w:cs="仿宋_GB2312"/>
          <w:sz w:val="32"/>
          <w:szCs w:val="32"/>
          <w:lang w:eastAsia="zh-CN"/>
        </w:rPr>
        <w:t>：</w:t>
      </w:r>
      <w:r>
        <w:rPr>
          <w:rFonts w:hint="eastAsia" w:eastAsia="仿宋_GB2312" w:cs="仿宋_GB2312"/>
          <w:sz w:val="32"/>
          <w:szCs w:val="32"/>
        </w:rPr>
        <w:t xml:space="preserve"> 支出决算为</w:t>
      </w:r>
      <w:r>
        <w:rPr>
          <w:rFonts w:hint="eastAsia" w:eastAsia="仿宋_GB2312" w:cs="仿宋_GB2312"/>
          <w:sz w:val="32"/>
          <w:szCs w:val="32"/>
          <w:lang w:val="en-US" w:eastAsia="zh-CN"/>
        </w:rPr>
        <w:t>111.29</w:t>
      </w:r>
      <w:r>
        <w:rPr>
          <w:rFonts w:hint="eastAsia" w:eastAsia="仿宋_GB2312" w:cs="仿宋_GB2312"/>
          <w:sz w:val="32"/>
          <w:szCs w:val="32"/>
        </w:rPr>
        <w:t>万元，完成预算</w:t>
      </w:r>
      <w:r>
        <w:rPr>
          <w:rFonts w:hint="eastAsia" w:eastAsia="仿宋_GB2312" w:cs="仿宋_GB2312"/>
          <w:sz w:val="32"/>
          <w:szCs w:val="32"/>
          <w:lang w:val="en-US" w:eastAsia="zh-CN"/>
        </w:rPr>
        <w:t>94.32</w:t>
      </w:r>
      <w:r>
        <w:rPr>
          <w:rFonts w:hint="eastAsia" w:eastAsia="仿宋_GB2312" w:cs="仿宋_GB2312"/>
          <w:sz w:val="32"/>
          <w:szCs w:val="32"/>
        </w:rPr>
        <w:t>%，决算数小于预算数的</w:t>
      </w:r>
      <w:r>
        <w:rPr>
          <w:rFonts w:hint="eastAsia" w:eastAsia="仿宋_GB2312" w:cs="仿宋_GB2312"/>
          <w:sz w:val="32"/>
          <w:szCs w:val="32"/>
          <w:highlight w:val="none"/>
        </w:rPr>
        <w:t>主要原因是</w:t>
      </w:r>
      <w:r>
        <w:rPr>
          <w:rFonts w:hint="eastAsia" w:eastAsia="仿宋_GB2312" w:cs="仿宋_GB2312"/>
          <w:sz w:val="32"/>
          <w:szCs w:val="32"/>
          <w:highlight w:val="none"/>
          <w:lang w:val="en-US" w:eastAsia="zh-CN"/>
        </w:rPr>
        <w:t>本着节俭原则，在保证完成任务的情况下，减少开支。</w:t>
      </w:r>
    </w:p>
    <w:p>
      <w:pPr>
        <w:numPr>
          <w:ilvl w:val="0"/>
          <w:numId w:val="2"/>
        </w:numPr>
        <w:spacing w:line="600" w:lineRule="exact"/>
        <w:ind w:left="0" w:leftChars="0" w:firstLine="640" w:firstLineChars="200"/>
        <w:rPr>
          <w:rFonts w:hint="eastAsia" w:eastAsia="仿宋_GB2312" w:cs="仿宋_GB2312"/>
          <w:sz w:val="32"/>
          <w:szCs w:val="32"/>
          <w:lang w:eastAsia="zh-CN"/>
        </w:rPr>
      </w:pPr>
      <w:r>
        <w:rPr>
          <w:rFonts w:hint="eastAsia" w:eastAsia="仿宋_GB2312" w:cs="仿宋_GB2312"/>
          <w:sz w:val="32"/>
          <w:szCs w:val="32"/>
        </w:rPr>
        <w:t>一般公共服务（类）</w:t>
      </w:r>
      <w:r>
        <w:rPr>
          <w:rFonts w:hint="eastAsia" w:eastAsia="仿宋_GB2312" w:cs="仿宋_GB2312"/>
          <w:sz w:val="32"/>
          <w:szCs w:val="32"/>
          <w:lang w:eastAsia="zh-CN"/>
        </w:rPr>
        <w:t>信访事务</w:t>
      </w:r>
      <w:r>
        <w:rPr>
          <w:rFonts w:hint="eastAsia" w:eastAsia="仿宋_GB2312" w:cs="仿宋_GB2312"/>
          <w:sz w:val="32"/>
          <w:szCs w:val="32"/>
        </w:rPr>
        <w:t>（款）</w:t>
      </w:r>
      <w:r>
        <w:rPr>
          <w:rFonts w:hint="eastAsia" w:eastAsia="仿宋_GB2312" w:cs="仿宋_GB2312"/>
          <w:sz w:val="32"/>
          <w:szCs w:val="32"/>
          <w:lang w:eastAsia="zh-CN"/>
        </w:rPr>
        <w:t>其他信访事务支出</w:t>
      </w:r>
      <w:r>
        <w:rPr>
          <w:rFonts w:hint="eastAsia" w:eastAsia="仿宋_GB2312" w:cs="仿宋_GB2312"/>
          <w:sz w:val="32"/>
          <w:szCs w:val="32"/>
        </w:rPr>
        <w:t>（项）</w:t>
      </w:r>
      <w:r>
        <w:rPr>
          <w:rFonts w:hint="eastAsia" w:eastAsia="仿宋_GB2312" w:cs="仿宋_GB2312"/>
          <w:sz w:val="32"/>
          <w:szCs w:val="32"/>
          <w:lang w:eastAsia="zh-CN"/>
        </w:rPr>
        <w:t>：</w:t>
      </w:r>
      <w:r>
        <w:rPr>
          <w:rFonts w:hint="eastAsia" w:eastAsia="仿宋_GB2312" w:cs="仿宋_GB2312"/>
          <w:sz w:val="32"/>
          <w:szCs w:val="32"/>
        </w:rPr>
        <w:t xml:space="preserve"> 支出决算为</w:t>
      </w:r>
      <w:r>
        <w:rPr>
          <w:rFonts w:hint="eastAsia" w:eastAsia="仿宋_GB2312" w:cs="仿宋_GB2312"/>
          <w:sz w:val="32"/>
          <w:szCs w:val="32"/>
          <w:lang w:val="en-US" w:eastAsia="zh-CN"/>
        </w:rPr>
        <w:t>39.26</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numPr>
          <w:ilvl w:val="0"/>
          <w:numId w:val="2"/>
        </w:numPr>
        <w:spacing w:line="600" w:lineRule="exact"/>
        <w:ind w:left="0" w:leftChars="0" w:firstLine="640" w:firstLineChars="200"/>
        <w:rPr>
          <w:rFonts w:hint="eastAsia" w:eastAsia="仿宋_GB2312" w:cs="仿宋_GB2312"/>
          <w:sz w:val="32"/>
          <w:szCs w:val="32"/>
          <w:lang w:eastAsia="zh-CN"/>
        </w:rPr>
      </w:pPr>
      <w:r>
        <w:rPr>
          <w:rFonts w:hint="eastAsia" w:eastAsia="仿宋_GB2312" w:cs="仿宋_GB2312"/>
          <w:sz w:val="32"/>
          <w:szCs w:val="32"/>
        </w:rPr>
        <w:t>社会保障和就业（类）</w:t>
      </w:r>
      <w:r>
        <w:rPr>
          <w:rFonts w:hint="eastAsia" w:eastAsia="仿宋_GB2312" w:cs="仿宋_GB2312"/>
          <w:sz w:val="32"/>
          <w:szCs w:val="32"/>
          <w:lang w:eastAsia="zh-CN"/>
        </w:rPr>
        <w:t>行政事业单位养老支出</w:t>
      </w:r>
      <w:r>
        <w:rPr>
          <w:rFonts w:hint="eastAsia" w:eastAsia="仿宋_GB2312" w:cs="仿宋_GB2312"/>
          <w:sz w:val="32"/>
          <w:szCs w:val="32"/>
        </w:rPr>
        <w:t>（款）</w:t>
      </w:r>
      <w:r>
        <w:rPr>
          <w:rFonts w:hint="eastAsia" w:eastAsia="仿宋_GB2312" w:cs="仿宋_GB2312"/>
          <w:sz w:val="32"/>
          <w:szCs w:val="32"/>
          <w:lang w:eastAsia="zh-CN"/>
        </w:rPr>
        <w:t>机关事业单位基本养老保险缴费支出</w:t>
      </w:r>
      <w:r>
        <w:rPr>
          <w:rFonts w:hint="eastAsia" w:eastAsia="仿宋_GB2312" w:cs="仿宋_GB2312"/>
          <w:sz w:val="32"/>
          <w:szCs w:val="32"/>
        </w:rPr>
        <w:t>（项）：支出决算为</w:t>
      </w:r>
      <w:r>
        <w:rPr>
          <w:rFonts w:hint="eastAsia" w:eastAsia="仿宋_GB2312" w:cs="仿宋_GB2312"/>
          <w:sz w:val="32"/>
          <w:szCs w:val="32"/>
          <w:lang w:val="en-US" w:eastAsia="zh-CN"/>
        </w:rPr>
        <w:t>26.76</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numPr>
          <w:ilvl w:val="0"/>
          <w:numId w:val="2"/>
        </w:numPr>
        <w:spacing w:line="600" w:lineRule="exact"/>
        <w:ind w:left="0" w:leftChars="0" w:firstLine="640" w:firstLineChars="200"/>
        <w:rPr>
          <w:rFonts w:hint="eastAsia" w:eastAsia="仿宋_GB2312" w:cs="仿宋_GB2312"/>
          <w:sz w:val="32"/>
          <w:szCs w:val="32"/>
          <w:lang w:eastAsia="zh-CN"/>
        </w:rPr>
      </w:pPr>
      <w:r>
        <w:rPr>
          <w:rFonts w:hint="eastAsia" w:eastAsia="仿宋_GB2312" w:cs="仿宋_GB2312"/>
          <w:sz w:val="32"/>
          <w:szCs w:val="32"/>
        </w:rPr>
        <w:t>社会保障和就业（类）</w:t>
      </w:r>
      <w:r>
        <w:rPr>
          <w:rFonts w:hint="eastAsia" w:eastAsia="仿宋_GB2312" w:cs="仿宋_GB2312"/>
          <w:sz w:val="32"/>
          <w:szCs w:val="32"/>
          <w:lang w:eastAsia="zh-CN"/>
        </w:rPr>
        <w:t>行政事业单位养老支出</w:t>
      </w:r>
      <w:r>
        <w:rPr>
          <w:rFonts w:hint="eastAsia" w:eastAsia="仿宋_GB2312" w:cs="仿宋_GB2312"/>
          <w:sz w:val="32"/>
          <w:szCs w:val="32"/>
        </w:rPr>
        <w:t>（款）</w:t>
      </w:r>
      <w:r>
        <w:rPr>
          <w:rFonts w:hint="eastAsia" w:eastAsia="仿宋_GB2312" w:cs="仿宋_GB2312"/>
          <w:sz w:val="32"/>
          <w:szCs w:val="32"/>
          <w:lang w:eastAsia="zh-CN"/>
        </w:rPr>
        <w:t>机关事业单位职业年金缴费支出</w:t>
      </w:r>
      <w:r>
        <w:rPr>
          <w:rFonts w:hint="eastAsia" w:eastAsia="仿宋_GB2312" w:cs="仿宋_GB2312"/>
          <w:sz w:val="32"/>
          <w:szCs w:val="32"/>
        </w:rPr>
        <w:t>（项）：支出决算为</w:t>
      </w:r>
      <w:r>
        <w:rPr>
          <w:rFonts w:hint="eastAsia" w:eastAsia="仿宋_GB2312" w:cs="仿宋_GB2312"/>
          <w:sz w:val="32"/>
          <w:szCs w:val="32"/>
          <w:lang w:val="en-US" w:eastAsia="zh-CN"/>
        </w:rPr>
        <w:t>18.02</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numPr>
          <w:ilvl w:val="0"/>
          <w:numId w:val="2"/>
        </w:numPr>
        <w:spacing w:line="600" w:lineRule="exact"/>
        <w:ind w:left="0" w:leftChars="0" w:firstLine="640" w:firstLineChars="200"/>
        <w:rPr>
          <w:rFonts w:hint="eastAsia" w:eastAsia="仿宋_GB2312" w:cs="仿宋_GB2312"/>
          <w:sz w:val="32"/>
          <w:szCs w:val="32"/>
          <w:lang w:eastAsia="zh-CN"/>
        </w:rPr>
      </w:pPr>
      <w:r>
        <w:rPr>
          <w:rFonts w:hint="eastAsia" w:eastAsia="仿宋_GB2312" w:cs="仿宋_GB2312"/>
          <w:sz w:val="32"/>
          <w:szCs w:val="32"/>
        </w:rPr>
        <w:t>社会保障和就业（类）</w:t>
      </w:r>
      <w:r>
        <w:rPr>
          <w:rFonts w:hint="eastAsia" w:eastAsia="仿宋_GB2312" w:cs="仿宋_GB2312"/>
          <w:sz w:val="32"/>
          <w:szCs w:val="32"/>
          <w:lang w:eastAsia="zh-CN"/>
        </w:rPr>
        <w:t>行政事业单位养老支出</w:t>
      </w:r>
      <w:r>
        <w:rPr>
          <w:rFonts w:hint="eastAsia" w:eastAsia="仿宋_GB2312" w:cs="仿宋_GB2312"/>
          <w:sz w:val="32"/>
          <w:szCs w:val="32"/>
        </w:rPr>
        <w:t>（款）</w:t>
      </w:r>
      <w:r>
        <w:rPr>
          <w:rFonts w:hint="eastAsia" w:eastAsia="仿宋_GB2312" w:cs="仿宋_GB2312"/>
          <w:sz w:val="32"/>
          <w:szCs w:val="32"/>
          <w:lang w:eastAsia="zh-CN"/>
        </w:rPr>
        <w:t>其他行政事业单位养老支出</w:t>
      </w:r>
      <w:r>
        <w:rPr>
          <w:rFonts w:hint="eastAsia" w:eastAsia="仿宋_GB2312" w:cs="仿宋_GB2312"/>
          <w:sz w:val="32"/>
          <w:szCs w:val="32"/>
        </w:rPr>
        <w:t>（项）：支出决算为</w:t>
      </w:r>
      <w:r>
        <w:rPr>
          <w:rFonts w:hint="eastAsia" w:eastAsia="仿宋_GB2312" w:cs="仿宋_GB2312"/>
          <w:sz w:val="32"/>
          <w:szCs w:val="32"/>
          <w:lang w:val="en-US" w:eastAsia="zh-CN"/>
        </w:rPr>
        <w:t>2</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numPr>
          <w:ilvl w:val="0"/>
          <w:numId w:val="2"/>
        </w:numPr>
        <w:spacing w:line="600" w:lineRule="exact"/>
        <w:ind w:left="0" w:leftChars="0" w:firstLine="640" w:firstLineChars="200"/>
        <w:rPr>
          <w:rFonts w:hint="eastAsia" w:eastAsia="仿宋_GB2312" w:cs="仿宋_GB2312"/>
          <w:sz w:val="32"/>
          <w:szCs w:val="32"/>
          <w:lang w:eastAsia="zh-CN"/>
        </w:rPr>
      </w:pPr>
      <w:r>
        <w:rPr>
          <w:rFonts w:hint="eastAsia" w:eastAsia="仿宋_GB2312" w:cs="仿宋_GB2312"/>
          <w:sz w:val="32"/>
          <w:szCs w:val="32"/>
        </w:rPr>
        <w:t>社会保障和就业（类）</w:t>
      </w:r>
      <w:r>
        <w:rPr>
          <w:rFonts w:hint="eastAsia" w:eastAsia="仿宋_GB2312" w:cs="仿宋_GB2312"/>
          <w:sz w:val="32"/>
          <w:szCs w:val="32"/>
          <w:lang w:eastAsia="zh-CN"/>
        </w:rPr>
        <w:t>其他社会保障和就业支出</w:t>
      </w:r>
      <w:r>
        <w:rPr>
          <w:rFonts w:hint="eastAsia" w:eastAsia="仿宋_GB2312" w:cs="仿宋_GB2312"/>
          <w:sz w:val="32"/>
          <w:szCs w:val="32"/>
        </w:rPr>
        <w:t>（款）</w:t>
      </w:r>
      <w:r>
        <w:rPr>
          <w:rFonts w:hint="eastAsia" w:eastAsia="仿宋_GB2312" w:cs="仿宋_GB2312"/>
          <w:sz w:val="32"/>
          <w:szCs w:val="32"/>
          <w:lang w:eastAsia="zh-CN"/>
        </w:rPr>
        <w:t>其他社会保障和就业支出</w:t>
      </w:r>
      <w:r>
        <w:rPr>
          <w:rFonts w:hint="eastAsia" w:eastAsia="仿宋_GB2312" w:cs="仿宋_GB2312"/>
          <w:sz w:val="32"/>
          <w:szCs w:val="32"/>
        </w:rPr>
        <w:t>（项）：支出决算为</w:t>
      </w:r>
      <w:r>
        <w:rPr>
          <w:rFonts w:hint="eastAsia" w:eastAsia="仿宋_GB2312" w:cs="仿宋_GB2312"/>
          <w:sz w:val="32"/>
          <w:szCs w:val="32"/>
          <w:lang w:val="en-US" w:eastAsia="zh-CN"/>
        </w:rPr>
        <w:t>2.25</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numPr>
          <w:ilvl w:val="0"/>
          <w:numId w:val="2"/>
        </w:numPr>
        <w:spacing w:line="600" w:lineRule="exact"/>
        <w:ind w:left="0" w:leftChars="0" w:firstLine="640" w:firstLineChars="200"/>
        <w:rPr>
          <w:rFonts w:hint="eastAsia" w:eastAsia="仿宋_GB2312" w:cs="仿宋_GB2312"/>
          <w:sz w:val="32"/>
          <w:szCs w:val="32"/>
          <w:lang w:eastAsia="zh-CN"/>
        </w:rPr>
      </w:pPr>
      <w:r>
        <w:rPr>
          <w:rFonts w:hint="eastAsia" w:eastAsia="仿宋_GB2312" w:cs="仿宋_GB2312"/>
          <w:sz w:val="32"/>
          <w:szCs w:val="32"/>
        </w:rPr>
        <w:t>卫生健康（类）</w:t>
      </w:r>
      <w:r>
        <w:rPr>
          <w:rFonts w:hint="eastAsia" w:eastAsia="仿宋_GB2312" w:cs="仿宋_GB2312"/>
          <w:sz w:val="32"/>
          <w:szCs w:val="32"/>
          <w:lang w:eastAsia="zh-CN"/>
        </w:rPr>
        <w:t>行政事业单位医疗</w:t>
      </w:r>
      <w:r>
        <w:rPr>
          <w:rFonts w:hint="eastAsia" w:eastAsia="仿宋_GB2312" w:cs="仿宋_GB2312"/>
          <w:sz w:val="32"/>
          <w:szCs w:val="32"/>
        </w:rPr>
        <w:t>（款）</w:t>
      </w:r>
      <w:r>
        <w:rPr>
          <w:rFonts w:hint="eastAsia" w:eastAsia="仿宋_GB2312" w:cs="仿宋_GB2312"/>
          <w:sz w:val="32"/>
          <w:szCs w:val="32"/>
          <w:lang w:eastAsia="zh-CN"/>
        </w:rPr>
        <w:t>行政单位医疗</w:t>
      </w:r>
      <w:r>
        <w:rPr>
          <w:rFonts w:hint="eastAsia" w:eastAsia="仿宋_GB2312" w:cs="仿宋_GB2312"/>
          <w:sz w:val="32"/>
          <w:szCs w:val="32"/>
        </w:rPr>
        <w:t>（项）：支出决算为</w:t>
      </w:r>
      <w:r>
        <w:rPr>
          <w:rFonts w:hint="eastAsia" w:eastAsia="仿宋_GB2312" w:cs="仿宋_GB2312"/>
          <w:sz w:val="32"/>
          <w:szCs w:val="32"/>
          <w:lang w:val="en-US" w:eastAsia="zh-CN"/>
        </w:rPr>
        <w:t>6.96</w:t>
      </w:r>
      <w:r>
        <w:rPr>
          <w:rFonts w:hint="eastAsia" w:eastAsia="仿宋_GB2312" w:cs="仿宋_GB2312"/>
          <w:sz w:val="32"/>
          <w:szCs w:val="32"/>
        </w:rPr>
        <w:t>万元，完成预算</w:t>
      </w:r>
      <w:r>
        <w:rPr>
          <w:rFonts w:hint="eastAsia" w:eastAsia="仿宋_GB2312" w:cs="仿宋_GB2312"/>
          <w:sz w:val="32"/>
          <w:szCs w:val="32"/>
          <w:lang w:val="en-US" w:eastAsia="zh-CN"/>
        </w:rPr>
        <w:t>10</w:t>
      </w:r>
      <w:r>
        <w:rPr>
          <w:rFonts w:hint="eastAsia" w:eastAsia="仿宋_GB2312" w:cs="仿宋_GB2312"/>
          <w:sz w:val="32"/>
          <w:szCs w:val="32"/>
          <w:lang w:eastAsia="zh-CN"/>
        </w:rPr>
        <w:t>0</w:t>
      </w:r>
      <w:r>
        <w:rPr>
          <w:rFonts w:hint="eastAsia" w:eastAsia="仿宋_GB2312" w:cs="仿宋_GB2312"/>
          <w:sz w:val="32"/>
          <w:szCs w:val="32"/>
        </w:rPr>
        <w:t>%，决算数等于预算数</w:t>
      </w:r>
      <w:r>
        <w:rPr>
          <w:rFonts w:hint="eastAsia" w:eastAsia="仿宋_GB2312" w:cs="仿宋_GB2312"/>
          <w:sz w:val="32"/>
          <w:szCs w:val="32"/>
          <w:lang w:eastAsia="zh-CN"/>
        </w:rPr>
        <w:t>。</w:t>
      </w:r>
    </w:p>
    <w:p>
      <w:pPr>
        <w:numPr>
          <w:ilvl w:val="0"/>
          <w:numId w:val="2"/>
        </w:numPr>
        <w:spacing w:line="600" w:lineRule="exact"/>
        <w:ind w:left="0" w:leftChars="0" w:firstLine="640" w:firstLineChars="200"/>
        <w:rPr>
          <w:rFonts w:hint="eastAsia" w:eastAsia="仿宋_GB2312" w:cs="仿宋_GB2312"/>
          <w:sz w:val="32"/>
          <w:szCs w:val="32"/>
          <w:lang w:eastAsia="zh-CN"/>
        </w:rPr>
      </w:pPr>
      <w:r>
        <w:rPr>
          <w:rFonts w:hint="eastAsia" w:eastAsia="仿宋_GB2312" w:cs="仿宋_GB2312"/>
          <w:sz w:val="32"/>
          <w:szCs w:val="32"/>
        </w:rPr>
        <w:t>卫生健康（类）</w:t>
      </w:r>
      <w:r>
        <w:rPr>
          <w:rFonts w:hint="eastAsia" w:eastAsia="仿宋_GB2312" w:cs="仿宋_GB2312"/>
          <w:sz w:val="32"/>
          <w:szCs w:val="32"/>
          <w:lang w:eastAsia="zh-CN"/>
        </w:rPr>
        <w:t>行政事业单位医疗</w:t>
      </w:r>
      <w:r>
        <w:rPr>
          <w:rFonts w:hint="eastAsia" w:eastAsia="仿宋_GB2312" w:cs="仿宋_GB2312"/>
          <w:sz w:val="32"/>
          <w:szCs w:val="32"/>
        </w:rPr>
        <w:t>（款）</w:t>
      </w:r>
      <w:r>
        <w:rPr>
          <w:rFonts w:hint="eastAsia" w:eastAsia="仿宋_GB2312" w:cs="仿宋_GB2312"/>
          <w:sz w:val="32"/>
          <w:szCs w:val="32"/>
          <w:lang w:eastAsia="zh-CN"/>
        </w:rPr>
        <w:t>事业单位医疗</w:t>
      </w:r>
      <w:r>
        <w:rPr>
          <w:rFonts w:hint="eastAsia" w:eastAsia="仿宋_GB2312" w:cs="仿宋_GB2312"/>
          <w:sz w:val="32"/>
          <w:szCs w:val="32"/>
        </w:rPr>
        <w:t>（项）：支出决算为</w:t>
      </w:r>
      <w:r>
        <w:rPr>
          <w:rFonts w:hint="eastAsia" w:eastAsia="仿宋_GB2312" w:cs="仿宋_GB2312"/>
          <w:sz w:val="32"/>
          <w:szCs w:val="32"/>
          <w:lang w:val="en-US" w:eastAsia="zh-CN"/>
        </w:rPr>
        <w:t>0.92</w:t>
      </w:r>
      <w:r>
        <w:rPr>
          <w:rFonts w:hint="eastAsia" w:eastAsia="仿宋_GB2312" w:cs="仿宋_GB2312"/>
          <w:sz w:val="32"/>
          <w:szCs w:val="32"/>
        </w:rPr>
        <w:t>万元，完成预算</w:t>
      </w:r>
      <w:r>
        <w:rPr>
          <w:rFonts w:hint="eastAsia" w:eastAsia="仿宋_GB2312" w:cs="仿宋_GB2312"/>
          <w:sz w:val="32"/>
          <w:szCs w:val="32"/>
          <w:lang w:val="en-US" w:eastAsia="zh-CN"/>
        </w:rPr>
        <w:t>10</w:t>
      </w:r>
      <w:r>
        <w:rPr>
          <w:rFonts w:hint="eastAsia" w:eastAsia="仿宋_GB2312" w:cs="仿宋_GB2312"/>
          <w:sz w:val="32"/>
          <w:szCs w:val="32"/>
          <w:lang w:eastAsia="zh-CN"/>
        </w:rPr>
        <w:t>0</w:t>
      </w:r>
      <w:r>
        <w:rPr>
          <w:rFonts w:hint="eastAsia" w:eastAsia="仿宋_GB2312" w:cs="仿宋_GB2312"/>
          <w:sz w:val="32"/>
          <w:szCs w:val="32"/>
        </w:rPr>
        <w:t>%，决算数等于预算数</w:t>
      </w:r>
      <w:r>
        <w:rPr>
          <w:rFonts w:hint="eastAsia" w:eastAsia="仿宋_GB2312" w:cs="仿宋_GB2312"/>
          <w:sz w:val="32"/>
          <w:szCs w:val="32"/>
          <w:lang w:eastAsia="zh-CN"/>
        </w:rPr>
        <w:t>。</w:t>
      </w:r>
    </w:p>
    <w:p>
      <w:pPr>
        <w:numPr>
          <w:ilvl w:val="0"/>
          <w:numId w:val="2"/>
        </w:numPr>
        <w:spacing w:line="600" w:lineRule="exact"/>
        <w:ind w:left="0" w:leftChars="0" w:firstLine="640" w:firstLineChars="200"/>
        <w:rPr>
          <w:rFonts w:hint="eastAsia" w:eastAsia="仿宋_GB2312" w:cs="仿宋_GB2312"/>
          <w:sz w:val="32"/>
          <w:szCs w:val="32"/>
          <w:lang w:eastAsia="zh-CN"/>
        </w:rPr>
      </w:pPr>
      <w:r>
        <w:rPr>
          <w:rFonts w:hint="eastAsia" w:eastAsia="仿宋_GB2312" w:cs="仿宋_GB2312"/>
          <w:sz w:val="32"/>
          <w:szCs w:val="32"/>
        </w:rPr>
        <w:t>卫生健康（类）</w:t>
      </w:r>
      <w:r>
        <w:rPr>
          <w:rFonts w:hint="eastAsia" w:eastAsia="仿宋_GB2312" w:cs="仿宋_GB2312"/>
          <w:sz w:val="32"/>
          <w:szCs w:val="32"/>
          <w:lang w:eastAsia="zh-CN"/>
        </w:rPr>
        <w:t>行政事业单位医疗</w:t>
      </w:r>
      <w:r>
        <w:rPr>
          <w:rFonts w:hint="eastAsia" w:eastAsia="仿宋_GB2312" w:cs="仿宋_GB2312"/>
          <w:sz w:val="32"/>
          <w:szCs w:val="32"/>
        </w:rPr>
        <w:t>（款）</w:t>
      </w:r>
      <w:r>
        <w:rPr>
          <w:rFonts w:hint="eastAsia" w:eastAsia="仿宋_GB2312" w:cs="仿宋_GB2312"/>
          <w:sz w:val="32"/>
          <w:szCs w:val="32"/>
          <w:lang w:eastAsia="zh-CN"/>
        </w:rPr>
        <w:t>公务员医疗补助</w:t>
      </w:r>
      <w:r>
        <w:rPr>
          <w:rFonts w:hint="eastAsia" w:eastAsia="仿宋_GB2312" w:cs="仿宋_GB2312"/>
          <w:sz w:val="32"/>
          <w:szCs w:val="32"/>
        </w:rPr>
        <w:t>（项）：支出决算为</w:t>
      </w:r>
      <w:r>
        <w:rPr>
          <w:rFonts w:hint="eastAsia" w:eastAsia="仿宋_GB2312" w:cs="仿宋_GB2312"/>
          <w:sz w:val="32"/>
          <w:szCs w:val="32"/>
          <w:lang w:val="en-US" w:eastAsia="zh-CN"/>
        </w:rPr>
        <w:t>1.95</w:t>
      </w:r>
      <w:r>
        <w:rPr>
          <w:rFonts w:hint="eastAsia" w:eastAsia="仿宋_GB2312" w:cs="仿宋_GB2312"/>
          <w:sz w:val="32"/>
          <w:szCs w:val="32"/>
        </w:rPr>
        <w:t>万元，完成预算</w:t>
      </w:r>
      <w:r>
        <w:rPr>
          <w:rFonts w:hint="eastAsia" w:eastAsia="仿宋_GB2312" w:cs="仿宋_GB2312"/>
          <w:sz w:val="32"/>
          <w:szCs w:val="32"/>
          <w:lang w:val="en-US" w:eastAsia="zh-CN"/>
        </w:rPr>
        <w:t>10</w:t>
      </w:r>
      <w:r>
        <w:rPr>
          <w:rFonts w:hint="eastAsia" w:eastAsia="仿宋_GB2312" w:cs="仿宋_GB2312"/>
          <w:sz w:val="32"/>
          <w:szCs w:val="32"/>
          <w:lang w:eastAsia="zh-CN"/>
        </w:rPr>
        <w:t>0</w:t>
      </w:r>
      <w:r>
        <w:rPr>
          <w:rFonts w:hint="eastAsia" w:eastAsia="仿宋_GB2312" w:cs="仿宋_GB2312"/>
          <w:sz w:val="32"/>
          <w:szCs w:val="32"/>
        </w:rPr>
        <w:t>%，决算数等于预算数</w:t>
      </w:r>
      <w:r>
        <w:rPr>
          <w:rFonts w:hint="eastAsia" w:eastAsia="仿宋_GB2312" w:cs="仿宋_GB2312"/>
          <w:sz w:val="32"/>
          <w:szCs w:val="32"/>
          <w:lang w:eastAsia="zh-CN"/>
        </w:rPr>
        <w:t>。</w:t>
      </w:r>
    </w:p>
    <w:p>
      <w:pPr>
        <w:numPr>
          <w:ilvl w:val="0"/>
          <w:numId w:val="2"/>
        </w:numPr>
        <w:spacing w:line="600" w:lineRule="exact"/>
        <w:ind w:left="0" w:leftChars="0" w:firstLine="640" w:firstLineChars="200"/>
        <w:rPr>
          <w:rFonts w:hint="eastAsia" w:eastAsia="仿宋_GB2312" w:cs="仿宋_GB2312"/>
          <w:sz w:val="32"/>
          <w:szCs w:val="32"/>
          <w:lang w:eastAsia="zh-CN"/>
        </w:rPr>
      </w:pPr>
      <w:r>
        <w:rPr>
          <w:rFonts w:hint="eastAsia" w:eastAsia="仿宋_GB2312" w:cs="仿宋_GB2312"/>
          <w:sz w:val="32"/>
          <w:szCs w:val="32"/>
        </w:rPr>
        <w:t>住房保障（类）</w:t>
      </w:r>
      <w:r>
        <w:rPr>
          <w:rFonts w:hint="eastAsia" w:eastAsia="仿宋_GB2312" w:cs="仿宋_GB2312"/>
          <w:sz w:val="32"/>
          <w:szCs w:val="32"/>
          <w:lang w:eastAsia="zh-CN"/>
        </w:rPr>
        <w:t>住房改革支出</w:t>
      </w:r>
      <w:r>
        <w:rPr>
          <w:rFonts w:hint="eastAsia" w:eastAsia="仿宋_GB2312" w:cs="仿宋_GB2312"/>
          <w:sz w:val="32"/>
          <w:szCs w:val="32"/>
        </w:rPr>
        <w:t>（款）</w:t>
      </w:r>
      <w:r>
        <w:rPr>
          <w:rFonts w:hint="eastAsia" w:eastAsia="仿宋_GB2312" w:cs="仿宋_GB2312"/>
          <w:sz w:val="32"/>
          <w:szCs w:val="32"/>
          <w:lang w:eastAsia="zh-CN"/>
        </w:rPr>
        <w:t>住房公积金</w:t>
      </w:r>
      <w:r>
        <w:rPr>
          <w:rFonts w:hint="eastAsia" w:eastAsia="仿宋_GB2312" w:cs="仿宋_GB2312"/>
          <w:sz w:val="32"/>
          <w:szCs w:val="32"/>
        </w:rPr>
        <w:t>（项）：支出决算为</w:t>
      </w:r>
      <w:r>
        <w:rPr>
          <w:rFonts w:hint="eastAsia" w:eastAsia="仿宋_GB2312" w:cs="仿宋_GB2312"/>
          <w:sz w:val="32"/>
          <w:szCs w:val="32"/>
          <w:lang w:val="en-US" w:eastAsia="zh-CN"/>
        </w:rPr>
        <w:t>21.99</w:t>
      </w:r>
      <w:r>
        <w:rPr>
          <w:rFonts w:hint="eastAsia" w:eastAsia="仿宋_GB2312" w:cs="仿宋_GB2312"/>
          <w:sz w:val="32"/>
          <w:szCs w:val="32"/>
        </w:rPr>
        <w:t>万元，完成预算</w:t>
      </w:r>
      <w:r>
        <w:rPr>
          <w:rFonts w:hint="eastAsia" w:eastAsia="仿宋_GB2312" w:cs="仿宋_GB2312"/>
          <w:sz w:val="32"/>
          <w:szCs w:val="32"/>
          <w:lang w:val="en-US" w:eastAsia="zh-CN"/>
        </w:rPr>
        <w:t>10</w:t>
      </w:r>
      <w:r>
        <w:rPr>
          <w:rFonts w:hint="eastAsia" w:eastAsia="仿宋_GB2312" w:cs="仿宋_GB2312"/>
          <w:sz w:val="32"/>
          <w:szCs w:val="32"/>
          <w:lang w:eastAsia="zh-CN"/>
        </w:rPr>
        <w:t>0</w:t>
      </w:r>
      <w:r>
        <w:rPr>
          <w:rFonts w:hint="eastAsia" w:eastAsia="仿宋_GB2312" w:cs="仿宋_GB2312"/>
          <w:sz w:val="32"/>
          <w:szCs w:val="32"/>
        </w:rPr>
        <w:t>%，决算数等于预算数</w:t>
      </w:r>
      <w:r>
        <w:rPr>
          <w:rFonts w:hint="eastAsia" w:eastAsia="仿宋_GB2312" w:cs="仿宋_GB2312"/>
          <w:sz w:val="32"/>
          <w:szCs w:val="32"/>
          <w:lang w:eastAsia="zh-CN"/>
        </w:rPr>
        <w:t>。</w:t>
      </w:r>
    </w:p>
    <w:p>
      <w:pPr>
        <w:tabs>
          <w:tab w:val="right" w:pos="8306"/>
        </w:tabs>
        <w:spacing w:line="600" w:lineRule="exact"/>
        <w:ind w:firstLine="640"/>
        <w:outlineLvl w:val="1"/>
        <w:rPr>
          <w:rStyle w:val="19"/>
        </w:rPr>
      </w:pPr>
      <w:bookmarkStart w:id="12" w:name="_Toc31425"/>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19"/>
          <w:rFonts w:hint="eastAsia" w:ascii="黑体" w:hAnsi="黑体" w:eastAsia="黑体"/>
          <w:b w:val="0"/>
        </w:rPr>
        <w:t>般公共预算财政拨款基本支出决算情况说明</w:t>
      </w:r>
      <w:bookmarkEnd w:id="12"/>
      <w:r>
        <w:rPr>
          <w:rStyle w:val="19"/>
          <w:rFonts w:ascii="黑体" w:hAnsi="黑体" w:eastAsia="黑体"/>
          <w:b w:val="0"/>
        </w:rPr>
        <w:tab/>
      </w:r>
    </w:p>
    <w:p>
      <w:pPr>
        <w:spacing w:line="600" w:lineRule="exact"/>
        <w:ind w:firstLine="640" w:firstLineChars="200"/>
        <w:rPr>
          <w:rFonts w:eastAsia="仿宋_GB2312" w:cs="仿宋_GB2312"/>
          <w:sz w:val="32"/>
          <w:szCs w:val="32"/>
        </w:rPr>
      </w:pPr>
      <w:r>
        <w:rPr>
          <w:rFonts w:hint="eastAsia" w:eastAsia="仿宋_GB2312" w:cs="仿宋_GB2312"/>
          <w:sz w:val="32"/>
          <w:szCs w:val="32"/>
        </w:rPr>
        <w:t>2024年度一般公共预算财政拨款基本支出</w:t>
      </w:r>
      <w:r>
        <w:rPr>
          <w:rFonts w:hint="eastAsia" w:eastAsia="仿宋_GB2312" w:cs="仿宋_GB2312"/>
          <w:sz w:val="32"/>
          <w:szCs w:val="32"/>
          <w:lang w:val="en-US" w:eastAsia="zh-CN"/>
        </w:rPr>
        <w:t>324.43</w:t>
      </w:r>
      <w:r>
        <w:rPr>
          <w:rFonts w:hint="eastAsia" w:ascii="仿宋_GB2312" w:hAnsi="仿宋_GB2312" w:eastAsia="仿宋_GB2312" w:cs="仿宋_GB2312"/>
          <w:sz w:val="32"/>
          <w:szCs w:val="32"/>
        </w:rPr>
        <w:t>万</w:t>
      </w:r>
      <w:r>
        <w:rPr>
          <w:rFonts w:hint="eastAsia" w:eastAsia="仿宋_GB2312" w:cs="仿宋_GB2312"/>
          <w:sz w:val="32"/>
          <w:szCs w:val="32"/>
        </w:rPr>
        <w:t>元，其中：</w:t>
      </w:r>
    </w:p>
    <w:p>
      <w:pPr>
        <w:spacing w:line="600" w:lineRule="exact"/>
        <w:ind w:firstLine="640" w:firstLineChars="200"/>
      </w:pPr>
      <w:r>
        <w:rPr>
          <w:rFonts w:hint="eastAsia" w:eastAsia="仿宋_GB2312" w:cs="仿宋_GB2312"/>
          <w:sz w:val="32"/>
          <w:szCs w:val="32"/>
        </w:rPr>
        <w:t>人员经费</w:t>
      </w:r>
      <w:r>
        <w:rPr>
          <w:rFonts w:hint="eastAsia" w:eastAsia="仿宋_GB2312" w:cs="仿宋_GB2312"/>
          <w:sz w:val="32"/>
          <w:szCs w:val="32"/>
          <w:lang w:val="en-US" w:eastAsia="zh-CN"/>
        </w:rPr>
        <w:t>289.05</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元，主要包括：基本工资、津贴补贴、奖金、伙食补助费、绩效工资、机关事业单位基本养老保险缴费、职业年金缴费、职工基本医疗保险缴费</w:t>
      </w:r>
      <w:r>
        <w:rPr>
          <w:rFonts w:hint="eastAsia" w:eastAsia="仿宋_GB2312" w:cs="仿宋_GB2312"/>
          <w:sz w:val="32"/>
          <w:szCs w:val="32"/>
          <w:lang w:eastAsia="zh-CN"/>
        </w:rPr>
        <w:t>、公务员医疗补助缴费、</w:t>
      </w:r>
      <w:r>
        <w:rPr>
          <w:rFonts w:hint="eastAsia" w:eastAsia="仿宋_GB2312" w:cs="仿宋_GB2312"/>
          <w:sz w:val="32"/>
          <w:szCs w:val="32"/>
        </w:rPr>
        <w:t>其他社会保障缴费、住房公积金、其他工资福利支出、奖励金、其他对个人和家庭的补助支出等。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eastAsia="仿宋_GB2312" w:cs="仿宋_GB2312"/>
          <w:sz w:val="32"/>
          <w:szCs w:val="32"/>
          <w:lang w:val="en-US" w:eastAsia="zh-CN"/>
        </w:rPr>
        <w:t>35.38</w:t>
      </w:r>
      <w:r>
        <w:rPr>
          <w:rFonts w:hint="eastAsia" w:ascii="仿宋_GB2312" w:hAnsi="仿宋_GB2312" w:eastAsia="仿宋_GB2312" w:cs="仿宋_GB2312"/>
          <w:sz w:val="32"/>
          <w:szCs w:val="32"/>
        </w:rPr>
        <w:t>万</w:t>
      </w:r>
      <w:r>
        <w:rPr>
          <w:rFonts w:hint="eastAsia" w:eastAsia="仿宋_GB2312" w:cs="仿宋_GB2312"/>
          <w:sz w:val="32"/>
          <w:szCs w:val="32"/>
        </w:rPr>
        <w:t>元，主要包括：办公费、印刷费、水费、电费、邮电费、物业管理费、维修（护）费、培训费、公务接待费、劳务费、委托业务费、工会经费、福利费、其他交通费、其他商品和服务支出、办公设备购置。</w:t>
      </w:r>
    </w:p>
    <w:p>
      <w:pPr>
        <w:spacing w:line="600" w:lineRule="exact"/>
        <w:ind w:firstLine="640"/>
        <w:outlineLvl w:val="1"/>
        <w:rPr>
          <w:rStyle w:val="19"/>
          <w:rFonts w:ascii="黑体" w:hAnsi="黑体" w:eastAsia="黑体"/>
          <w:b w:val="0"/>
        </w:rPr>
      </w:pPr>
      <w:bookmarkStart w:id="13" w:name="_Toc25226"/>
      <w:r>
        <w:rPr>
          <w:rFonts w:hint="eastAsia" w:ascii="黑体" w:eastAsia="黑体"/>
          <w:sz w:val="32"/>
          <w:szCs w:val="32"/>
        </w:rPr>
        <w:t>七、</w:t>
      </w:r>
      <w:r>
        <w:rPr>
          <w:rStyle w:val="19"/>
          <w:rFonts w:hint="eastAsia" w:ascii="黑体" w:hAnsi="黑体" w:eastAsia="黑体"/>
          <w:b w:val="0"/>
        </w:rPr>
        <w:t>财政拨款</w:t>
      </w:r>
      <w:r>
        <w:rPr>
          <w:rStyle w:val="19"/>
          <w:rFonts w:hint="eastAsia" w:ascii="黑体" w:hAnsi="黑体" w:eastAsia="黑体"/>
        </w:rPr>
        <w:t>“</w:t>
      </w:r>
      <w:r>
        <w:rPr>
          <w:rStyle w:val="19"/>
          <w:rFonts w:hint="eastAsia" w:ascii="黑体" w:hAnsi="黑体" w:eastAsia="黑体"/>
          <w:b w:val="0"/>
        </w:rPr>
        <w:t>三公”经费支出决算情况说明</w:t>
      </w:r>
      <w:bookmarkEnd w:id="13"/>
    </w:p>
    <w:p>
      <w:pPr>
        <w:spacing w:line="600" w:lineRule="exact"/>
        <w:ind w:firstLine="640"/>
        <w:outlineLvl w:val="2"/>
        <w:rPr>
          <w:rFonts w:ascii="仿宋" w:hAnsi="仿宋" w:eastAsia="仿宋"/>
          <w:b/>
          <w:sz w:val="32"/>
          <w:szCs w:val="32"/>
        </w:rPr>
      </w:pPr>
      <w:r>
        <w:rPr>
          <w:rFonts w:hint="eastAsia" w:ascii="仿宋" w:hAnsi="仿宋" w:eastAsia="仿宋"/>
          <w:b/>
          <w:sz w:val="32"/>
          <w:szCs w:val="32"/>
        </w:rPr>
        <w:t>（一）“三公”经费财政拨款支出决算总体情况说明</w:t>
      </w:r>
    </w:p>
    <w:p>
      <w:pPr>
        <w:spacing w:line="600" w:lineRule="exact"/>
        <w:ind w:firstLine="640"/>
        <w:rPr>
          <w:rFonts w:ascii="仿宋" w:hAnsi="仿宋" w:eastAsia="仿宋"/>
          <w:sz w:val="32"/>
          <w:szCs w:val="32"/>
        </w:rPr>
      </w:pPr>
      <w:r>
        <w:rPr>
          <w:rFonts w:hint="eastAsia" w:ascii="仿宋" w:hAnsi="仿宋" w:eastAsia="仿宋"/>
          <w:sz w:val="32"/>
          <w:szCs w:val="32"/>
        </w:rPr>
        <w:t>2024年度“三公”经费财政拨款支出决算为</w:t>
      </w:r>
      <w:r>
        <w:rPr>
          <w:rFonts w:hint="eastAsia" w:ascii="仿宋" w:hAnsi="仿宋" w:eastAsia="仿宋"/>
          <w:sz w:val="32"/>
          <w:szCs w:val="32"/>
          <w:lang w:val="en-US" w:eastAsia="zh-CN"/>
        </w:rPr>
        <w:t>1.02</w:t>
      </w:r>
      <w:r>
        <w:rPr>
          <w:rFonts w:hint="eastAsia" w:ascii="仿宋" w:hAnsi="仿宋" w:eastAsia="仿宋"/>
          <w:sz w:val="32"/>
          <w:szCs w:val="32"/>
        </w:rPr>
        <w:t>万元，完成预算</w:t>
      </w:r>
      <w:r>
        <w:rPr>
          <w:rFonts w:hint="eastAsia" w:ascii="仿宋" w:hAnsi="仿宋" w:eastAsia="仿宋"/>
          <w:sz w:val="32"/>
          <w:szCs w:val="32"/>
          <w:lang w:val="en-US" w:eastAsia="zh-CN"/>
        </w:rPr>
        <w:t>10</w:t>
      </w:r>
      <w:r>
        <w:rPr>
          <w:rFonts w:hint="eastAsia" w:ascii="仿宋" w:hAnsi="仿宋" w:eastAsia="仿宋"/>
          <w:sz w:val="32"/>
          <w:szCs w:val="32"/>
          <w:lang w:eastAsia="zh-CN"/>
        </w:rPr>
        <w:t>0</w:t>
      </w:r>
      <w:r>
        <w:rPr>
          <w:rFonts w:hint="eastAsia" w:ascii="仿宋" w:hAnsi="仿宋" w:eastAsia="仿宋"/>
          <w:sz w:val="32"/>
          <w:szCs w:val="32"/>
        </w:rPr>
        <w:t>%，较上年度增加</w:t>
      </w:r>
      <w:r>
        <w:rPr>
          <w:rFonts w:hint="eastAsia" w:ascii="仿宋" w:hAnsi="仿宋" w:eastAsia="仿宋"/>
          <w:sz w:val="32"/>
          <w:szCs w:val="32"/>
          <w:lang w:val="en-US" w:eastAsia="zh-CN"/>
        </w:rPr>
        <w:t>1.02</w:t>
      </w:r>
      <w:r>
        <w:rPr>
          <w:rFonts w:hint="eastAsia" w:ascii="仿宋" w:hAnsi="仿宋" w:eastAsia="仿宋"/>
          <w:sz w:val="32"/>
          <w:szCs w:val="32"/>
        </w:rPr>
        <w:t>万元，增长</w:t>
      </w:r>
      <w:r>
        <w:rPr>
          <w:rFonts w:hint="eastAsia" w:ascii="仿宋" w:hAnsi="仿宋" w:eastAsia="仿宋"/>
          <w:sz w:val="32"/>
          <w:szCs w:val="32"/>
          <w:lang w:val="en-US" w:eastAsia="zh-CN"/>
        </w:rPr>
        <w:t>100</w:t>
      </w:r>
      <w:r>
        <w:rPr>
          <w:rFonts w:hint="eastAsia" w:ascii="仿宋" w:hAnsi="仿宋" w:eastAsia="仿宋"/>
          <w:sz w:val="32"/>
          <w:szCs w:val="32"/>
        </w:rPr>
        <w:t>%。决算数与预算数持平</w:t>
      </w:r>
      <w:r>
        <w:rPr>
          <w:rFonts w:hint="eastAsia" w:ascii="仿宋" w:hAnsi="仿宋" w:eastAsia="仿宋"/>
          <w:sz w:val="32"/>
          <w:szCs w:val="32"/>
          <w:lang w:eastAsia="zh-CN"/>
        </w:rPr>
        <w:t>。</w:t>
      </w:r>
    </w:p>
    <w:p>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p>
    <w:p>
      <w:pPr>
        <w:spacing w:line="600" w:lineRule="exact"/>
        <w:ind w:firstLine="640"/>
        <w:rPr>
          <w:rFonts w:hint="eastAsia" w:ascii="仿宋" w:hAnsi="仿宋" w:eastAsia="仿宋"/>
          <w:sz w:val="32"/>
          <w:szCs w:val="32"/>
        </w:rPr>
      </w:pPr>
      <w:r>
        <w:rPr>
          <w:rFonts w:hint="eastAsia" w:ascii="仿宋" w:hAnsi="仿宋" w:eastAsia="仿宋"/>
          <w:sz w:val="32"/>
          <w:szCs w:val="32"/>
        </w:rPr>
        <w:t>2024年度“三公”经费财政拨款支出决算中，因公出国（境）费支出决算</w:t>
      </w:r>
      <w:r>
        <w:rPr>
          <w:rFonts w:hint="eastAsia" w:ascii="仿宋" w:hAnsi="仿宋" w:eastAsia="仿宋"/>
          <w:sz w:val="32"/>
          <w:szCs w:val="32"/>
          <w:lang w:eastAsia="zh-CN"/>
        </w:rPr>
        <w:t>0</w:t>
      </w:r>
      <w:r>
        <w:rPr>
          <w:rFonts w:hint="eastAsia" w:ascii="仿宋" w:hAnsi="仿宋" w:eastAsia="仿宋"/>
          <w:sz w:val="32"/>
          <w:szCs w:val="32"/>
        </w:rPr>
        <w:t>万元，占</w:t>
      </w:r>
      <w:r>
        <w:rPr>
          <w:rFonts w:hint="eastAsia" w:ascii="仿宋" w:hAnsi="仿宋" w:eastAsia="仿宋"/>
          <w:sz w:val="32"/>
          <w:szCs w:val="32"/>
          <w:lang w:eastAsia="zh-CN"/>
        </w:rPr>
        <w:t>0</w:t>
      </w:r>
      <w:r>
        <w:rPr>
          <w:rFonts w:hint="eastAsia" w:ascii="仿宋" w:hAnsi="仿宋" w:eastAsia="仿宋"/>
          <w:sz w:val="32"/>
          <w:szCs w:val="32"/>
        </w:rPr>
        <w:t>%；公务用车购置及运行维护费支出决算</w:t>
      </w:r>
      <w:r>
        <w:rPr>
          <w:rFonts w:hint="eastAsia" w:ascii="仿宋" w:hAnsi="仿宋" w:eastAsia="仿宋"/>
          <w:sz w:val="32"/>
          <w:szCs w:val="32"/>
          <w:lang w:eastAsia="zh-CN"/>
        </w:rPr>
        <w:t>0</w:t>
      </w:r>
      <w:r>
        <w:rPr>
          <w:rFonts w:hint="eastAsia" w:ascii="仿宋" w:hAnsi="仿宋" w:eastAsia="仿宋"/>
          <w:sz w:val="32"/>
          <w:szCs w:val="32"/>
        </w:rPr>
        <w:t>万元，占</w:t>
      </w:r>
      <w:r>
        <w:rPr>
          <w:rFonts w:hint="eastAsia" w:ascii="仿宋" w:hAnsi="仿宋" w:eastAsia="仿宋"/>
          <w:sz w:val="32"/>
          <w:szCs w:val="32"/>
          <w:lang w:eastAsia="zh-CN"/>
        </w:rPr>
        <w:t>0</w:t>
      </w:r>
      <w:r>
        <w:rPr>
          <w:rFonts w:hint="eastAsia" w:ascii="仿宋" w:hAnsi="仿宋" w:eastAsia="仿宋"/>
          <w:sz w:val="32"/>
          <w:szCs w:val="32"/>
        </w:rPr>
        <w:t>%；公务接待费支出决算</w:t>
      </w:r>
      <w:r>
        <w:rPr>
          <w:rFonts w:hint="eastAsia" w:ascii="仿宋" w:hAnsi="仿宋" w:eastAsia="仿宋"/>
          <w:sz w:val="32"/>
          <w:szCs w:val="32"/>
          <w:lang w:val="en-US" w:eastAsia="zh-CN"/>
        </w:rPr>
        <w:t>1.02</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hint="eastAsia" w:ascii="仿宋" w:hAnsi="仿宋" w:eastAsia="仿宋"/>
          <w:sz w:val="32"/>
          <w:szCs w:val="32"/>
        </w:rPr>
        <w:t>%。具体情况如下：</w:t>
      </w:r>
    </w:p>
    <w:p>
      <w:pPr>
        <w:spacing w:line="240" w:lineRule="auto"/>
        <w:ind w:firstLine="0"/>
        <w:jc w:val="center"/>
        <w:rPr>
          <w:rFonts w:ascii="仿宋" w:hAnsi="仿宋" w:eastAsia="仿宋"/>
          <w:sz w:val="32"/>
          <w:szCs w:val="32"/>
        </w:rPr>
      </w:pPr>
      <w:r>
        <w:rPr>
          <w:rFonts w:hint="eastAsia" w:ascii="仿宋" w:hAnsi="仿宋" w:eastAsia="仿宋"/>
          <w:sz w:val="32"/>
          <w:szCs w:val="32"/>
        </w:rPr>
        <w:drawing>
          <wp:inline distT="0" distB="0" distL="114300" distR="114300">
            <wp:extent cx="3771900" cy="2114550"/>
            <wp:effectExtent l="38735" t="18415" r="56515" b="76835"/>
            <wp:docPr id="7"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3" w:firstLineChars="200"/>
        <w:rPr>
          <w:rFonts w:eastAsia="仿宋_GB2312" w:cs="仿宋_GB2312"/>
          <w:sz w:val="32"/>
          <w:szCs w:val="32"/>
        </w:rPr>
      </w:pPr>
      <w:r>
        <w:rPr>
          <w:rFonts w:hint="eastAsia" w:eastAsia="仿宋_GB2312" w:cs="仿宋_GB2312"/>
          <w:b/>
          <w:bCs/>
          <w:sz w:val="32"/>
          <w:szCs w:val="32"/>
        </w:rPr>
        <w:t>1.</w:t>
      </w:r>
      <w:r>
        <w:rPr>
          <w:rFonts w:hint="eastAsia" w:ascii="仿宋_GB2312" w:eastAsia="仿宋_GB2312"/>
          <w:b/>
          <w:bCs/>
          <w:sz w:val="32"/>
          <w:szCs w:val="32"/>
        </w:rPr>
        <w:t>因公出国（境）经费支出</w:t>
      </w:r>
      <w:r>
        <w:rPr>
          <w:rFonts w:hint="eastAsia" w:ascii="仿宋_GB2312" w:eastAsia="仿宋_GB2312"/>
          <w:b w:val="0"/>
          <w:bCs w:val="0"/>
          <w:sz w:val="32"/>
          <w:szCs w:val="32"/>
        </w:rPr>
        <w:t>0万元，</w:t>
      </w:r>
      <w:r>
        <w:rPr>
          <w:rFonts w:hint="eastAsia" w:ascii="仿宋_GB2312" w:eastAsia="仿宋_GB2312"/>
          <w:sz w:val="32"/>
          <w:szCs w:val="32"/>
        </w:rPr>
        <w:t>完成预算0</w:t>
      </w:r>
      <w:r>
        <w:rPr>
          <w:rFonts w:ascii="仿宋_GB2312" w:eastAsia="仿宋_GB2312"/>
          <w:sz w:val="32"/>
          <w:szCs w:val="32"/>
        </w:rPr>
        <w:t>%</w:t>
      </w:r>
      <w:r>
        <w:rPr>
          <w:rFonts w:hint="eastAsia" w:ascii="仿宋_GB2312" w:eastAsia="仿宋_GB2312"/>
          <w:sz w:val="32"/>
          <w:szCs w:val="32"/>
        </w:rPr>
        <w:t>。全年安排因公出国（境）团组0次，出国（境）0人。因公出国（境）支出决算与202</w:t>
      </w:r>
      <w:r>
        <w:rPr>
          <w:rFonts w:hint="eastAsia" w:ascii="仿宋_GB2312" w:eastAsia="仿宋_GB2312"/>
          <w:sz w:val="32"/>
          <w:szCs w:val="32"/>
          <w:lang w:val="en-US" w:eastAsia="zh-CN"/>
        </w:rPr>
        <w:t>3</w:t>
      </w:r>
      <w:r>
        <w:rPr>
          <w:rFonts w:hint="eastAsia" w:ascii="仿宋_GB2312" w:eastAsia="仿宋_GB2312"/>
          <w:sz w:val="32"/>
          <w:szCs w:val="32"/>
        </w:rPr>
        <w:t>年持平。主要原因是202</w:t>
      </w:r>
      <w:r>
        <w:rPr>
          <w:rFonts w:hint="eastAsia" w:ascii="仿宋_GB2312" w:eastAsia="仿宋_GB2312"/>
          <w:sz w:val="32"/>
          <w:szCs w:val="32"/>
          <w:lang w:val="en-US" w:eastAsia="zh-CN"/>
        </w:rPr>
        <w:t>4</w:t>
      </w:r>
      <w:r>
        <w:rPr>
          <w:rFonts w:hint="eastAsia" w:ascii="仿宋_GB2312" w:eastAsia="仿宋_GB2312"/>
          <w:sz w:val="32"/>
          <w:szCs w:val="32"/>
        </w:rPr>
        <w:t>年本单位无因公出国（境）经费支出。</w:t>
      </w:r>
    </w:p>
    <w:p>
      <w:pPr>
        <w:spacing w:line="600" w:lineRule="exact"/>
        <w:ind w:firstLine="643" w:firstLineChars="200"/>
        <w:jc w:val="both"/>
        <w:rPr>
          <w:rFonts w:ascii="仿宋_GB2312" w:eastAsia="仿宋_GB2312"/>
          <w:sz w:val="32"/>
          <w:szCs w:val="32"/>
        </w:rPr>
      </w:pPr>
      <w:r>
        <w:rPr>
          <w:rFonts w:hint="eastAsia" w:eastAsia="仿宋_GB2312" w:cs="仿宋_GB2312"/>
          <w:b/>
          <w:bCs/>
          <w:sz w:val="32"/>
          <w:szCs w:val="32"/>
        </w:rPr>
        <w:t>2.</w:t>
      </w:r>
      <w:r>
        <w:rPr>
          <w:rFonts w:hint="eastAsia" w:ascii="仿宋_GB2312" w:eastAsia="仿宋_GB2312"/>
          <w:b/>
          <w:bCs/>
          <w:sz w:val="32"/>
          <w:szCs w:val="32"/>
        </w:rPr>
        <w:t>公务用车购置及运行维护费支出</w:t>
      </w:r>
      <w:r>
        <w:rPr>
          <w:rFonts w:hint="eastAsia" w:ascii="仿宋_GB2312" w:eastAsia="仿宋_GB2312"/>
          <w:b w:val="0"/>
          <w:bCs w:val="0"/>
          <w:sz w:val="32"/>
          <w:szCs w:val="32"/>
        </w:rPr>
        <w:t>0万元</w:t>
      </w:r>
      <w:r>
        <w:rPr>
          <w:rFonts w:hint="eastAsia" w:ascii="仿宋_GB2312" w:eastAsia="仿宋_GB2312"/>
          <w:b w:val="0"/>
          <w:bCs w:val="0"/>
          <w:sz w:val="32"/>
          <w:szCs w:val="32"/>
          <w:lang w:eastAsia="zh-CN"/>
        </w:rPr>
        <w:t>，</w:t>
      </w:r>
      <w:r>
        <w:rPr>
          <w:rFonts w:hint="eastAsia" w:ascii="仿宋_GB2312" w:eastAsia="仿宋_GB2312"/>
          <w:sz w:val="32"/>
          <w:szCs w:val="32"/>
        </w:rPr>
        <w:t>完成预算0</w:t>
      </w:r>
      <w:r>
        <w:rPr>
          <w:rFonts w:ascii="仿宋_GB2312" w:eastAsia="仿宋_GB2312"/>
          <w:sz w:val="32"/>
          <w:szCs w:val="32"/>
        </w:rPr>
        <w:t>%</w:t>
      </w:r>
      <w:r>
        <w:rPr>
          <w:rFonts w:hint="eastAsia" w:ascii="仿宋_GB2312" w:eastAsia="仿宋_GB2312"/>
          <w:sz w:val="32"/>
          <w:szCs w:val="32"/>
        </w:rPr>
        <w:t>。公务用车购置及运行维护费支出决算与202</w:t>
      </w:r>
      <w:r>
        <w:rPr>
          <w:rFonts w:hint="eastAsia" w:ascii="仿宋_GB2312" w:eastAsia="仿宋_GB2312"/>
          <w:sz w:val="32"/>
          <w:szCs w:val="32"/>
          <w:lang w:val="en-US" w:eastAsia="zh-CN"/>
        </w:rPr>
        <w:t>3</w:t>
      </w:r>
      <w:r>
        <w:rPr>
          <w:rFonts w:hint="eastAsia" w:ascii="仿宋_GB2312" w:eastAsia="仿宋_GB2312"/>
          <w:sz w:val="32"/>
          <w:szCs w:val="32"/>
        </w:rPr>
        <w:t>年度持平。主要原因是202</w:t>
      </w:r>
      <w:r>
        <w:rPr>
          <w:rFonts w:hint="eastAsia" w:ascii="仿宋_GB2312" w:eastAsia="仿宋_GB2312"/>
          <w:sz w:val="32"/>
          <w:szCs w:val="32"/>
          <w:lang w:val="en-US" w:eastAsia="zh-CN"/>
        </w:rPr>
        <w:t>4</w:t>
      </w:r>
      <w:r>
        <w:rPr>
          <w:rFonts w:hint="eastAsia" w:ascii="仿宋_GB2312" w:eastAsia="仿宋_GB2312"/>
          <w:sz w:val="32"/>
          <w:szCs w:val="32"/>
        </w:rPr>
        <w:t>年本单位无公务用车购置及运行维护费支出。</w:t>
      </w:r>
    </w:p>
    <w:p>
      <w:pPr>
        <w:spacing w:line="600" w:lineRule="exact"/>
        <w:ind w:firstLine="640" w:firstLineChars="200"/>
        <w:jc w:val="both"/>
        <w:rPr>
          <w:rFonts w:ascii="仿宋_GB2312" w:eastAsia="仿宋_GB2312"/>
          <w:sz w:val="32"/>
          <w:szCs w:val="32"/>
        </w:rPr>
      </w:pPr>
      <w:r>
        <w:rPr>
          <w:rFonts w:hint="eastAsia" w:ascii="仿宋_GB2312" w:eastAsia="仿宋_GB2312"/>
          <w:sz w:val="32"/>
          <w:szCs w:val="32"/>
        </w:rPr>
        <w:t>其中：</w:t>
      </w:r>
      <w:r>
        <w:rPr>
          <w:rFonts w:hint="eastAsia" w:ascii="仿宋_GB2312" w:eastAsia="仿宋_GB2312"/>
          <w:b/>
          <w:bCs/>
          <w:sz w:val="32"/>
          <w:szCs w:val="32"/>
        </w:rPr>
        <w:t>公务用车购置支出</w:t>
      </w:r>
      <w:r>
        <w:rPr>
          <w:rFonts w:hint="eastAsia" w:ascii="仿宋_GB2312" w:eastAsia="仿宋_GB2312"/>
          <w:b w:val="0"/>
          <w:bCs w:val="0"/>
          <w:sz w:val="32"/>
          <w:szCs w:val="32"/>
        </w:rPr>
        <w:t>0万元。</w:t>
      </w:r>
      <w:r>
        <w:rPr>
          <w:rFonts w:hint="eastAsia" w:ascii="仿宋_GB2312" w:eastAsia="仿宋_GB2312"/>
          <w:sz w:val="32"/>
          <w:szCs w:val="32"/>
        </w:rPr>
        <w:t>全年按规定更新购置公务用车0辆，其中：轿车0辆、金额0万元，越野车0辆、金额0万元，载客汽车0辆、金额0万元。截至202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月31日，单位共有公务用车0辆，其中：轿车0辆、越野车0辆、载客汽车0辆。</w:t>
      </w:r>
    </w:p>
    <w:p>
      <w:pPr>
        <w:spacing w:line="600" w:lineRule="exact"/>
        <w:ind w:firstLine="643" w:firstLineChars="200"/>
        <w:jc w:val="both"/>
        <w:rPr>
          <w:rFonts w:eastAsia="仿宋_GB2312" w:cs="仿宋_GB2312"/>
          <w:sz w:val="32"/>
          <w:szCs w:val="32"/>
        </w:rPr>
      </w:pPr>
      <w:r>
        <w:rPr>
          <w:rFonts w:hint="eastAsia" w:ascii="仿宋_GB2312" w:eastAsia="仿宋_GB2312"/>
          <w:b/>
          <w:bCs/>
          <w:sz w:val="32"/>
          <w:szCs w:val="32"/>
        </w:rPr>
        <w:t>公务用车运行维护费支出</w:t>
      </w:r>
      <w:r>
        <w:rPr>
          <w:rFonts w:hint="eastAsia" w:ascii="仿宋_GB2312" w:eastAsia="仿宋_GB2312"/>
          <w:sz w:val="32"/>
          <w:szCs w:val="32"/>
        </w:rPr>
        <w:t>0万元。</w:t>
      </w:r>
    </w:p>
    <w:p>
      <w:pPr>
        <w:spacing w:line="600" w:lineRule="exact"/>
        <w:ind w:firstLine="643" w:firstLineChars="200"/>
        <w:rPr>
          <w:rFonts w:eastAsia="仿宋_GB2312" w:cs="仿宋_GB2312"/>
          <w:sz w:val="32"/>
          <w:szCs w:val="32"/>
        </w:rPr>
      </w:pPr>
      <w:r>
        <w:rPr>
          <w:rFonts w:hint="eastAsia" w:eastAsia="仿宋_GB2312" w:cs="仿宋_GB2312"/>
          <w:b/>
          <w:bCs/>
          <w:sz w:val="32"/>
          <w:szCs w:val="32"/>
        </w:rPr>
        <w:t>3.公务接待费支出</w:t>
      </w:r>
      <w:r>
        <w:rPr>
          <w:rFonts w:hint="eastAsia" w:eastAsia="仿宋_GB2312" w:cs="仿宋_GB2312"/>
          <w:sz w:val="32"/>
          <w:szCs w:val="32"/>
          <w:lang w:val="en-US" w:eastAsia="zh-CN"/>
        </w:rPr>
        <w:t>1.02</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公务接待费支出决算比2023年度增加</w:t>
      </w:r>
      <w:r>
        <w:rPr>
          <w:rFonts w:hint="eastAsia" w:eastAsia="仿宋_GB2312" w:cs="仿宋_GB2312"/>
          <w:sz w:val="32"/>
          <w:szCs w:val="32"/>
          <w:lang w:val="en-US" w:eastAsia="zh-CN"/>
        </w:rPr>
        <w:t>1.02</w:t>
      </w:r>
      <w:r>
        <w:rPr>
          <w:rFonts w:hint="eastAsia" w:eastAsia="仿宋_GB2312" w:cs="仿宋_GB2312"/>
          <w:sz w:val="32"/>
          <w:szCs w:val="32"/>
        </w:rPr>
        <w:t>万元，增长</w:t>
      </w:r>
      <w:r>
        <w:rPr>
          <w:rFonts w:hint="eastAsia" w:eastAsia="仿宋_GB2312" w:cs="仿宋_GB2312"/>
          <w:sz w:val="32"/>
          <w:szCs w:val="32"/>
          <w:lang w:val="en-US" w:eastAsia="zh-CN"/>
        </w:rPr>
        <w:t>100</w:t>
      </w:r>
      <w:r>
        <w:rPr>
          <w:rFonts w:hint="eastAsia" w:eastAsia="仿宋_GB2312" w:cs="仿宋_GB2312"/>
          <w:sz w:val="32"/>
          <w:szCs w:val="32"/>
        </w:rPr>
        <w:t>%。主要原因是</w:t>
      </w:r>
      <w:r>
        <w:rPr>
          <w:rFonts w:hint="eastAsia" w:eastAsia="仿宋_GB2312" w:cs="仿宋_GB2312"/>
          <w:sz w:val="32"/>
          <w:szCs w:val="32"/>
          <w:lang w:val="en-US" w:eastAsia="zh-CN"/>
        </w:rPr>
        <w:t>2023年无公务接待事务，20</w:t>
      </w:r>
      <w:r>
        <w:rPr>
          <w:rFonts w:hint="eastAsia" w:eastAsia="仿宋_GB2312" w:cs="仿宋_GB2312"/>
          <w:sz w:val="32"/>
          <w:szCs w:val="32"/>
        </w:rPr>
        <w:t>24年</w:t>
      </w:r>
      <w:r>
        <w:rPr>
          <w:rFonts w:hint="eastAsia" w:eastAsia="仿宋_GB2312" w:cs="仿宋_GB2312"/>
          <w:sz w:val="32"/>
          <w:szCs w:val="32"/>
          <w:lang w:val="en-US" w:eastAsia="zh-CN"/>
        </w:rPr>
        <w:t>有</w:t>
      </w:r>
      <w:r>
        <w:rPr>
          <w:rFonts w:hint="eastAsia" w:eastAsia="仿宋_GB2312" w:cs="仿宋_GB2312"/>
          <w:sz w:val="32"/>
          <w:szCs w:val="32"/>
        </w:rPr>
        <w:t>公务接待事</w:t>
      </w:r>
      <w:r>
        <w:rPr>
          <w:rFonts w:hint="eastAsia" w:eastAsia="仿宋_GB2312" w:cs="仿宋_GB2312"/>
          <w:sz w:val="32"/>
          <w:szCs w:val="32"/>
          <w:lang w:val="en-US" w:eastAsia="zh-CN"/>
        </w:rPr>
        <w:t>由，安排了公务接待支出</w:t>
      </w:r>
      <w:r>
        <w:rPr>
          <w:rFonts w:hint="eastAsia" w:eastAsia="仿宋_GB2312" w:cs="仿宋_GB2312"/>
          <w:sz w:val="32"/>
          <w:szCs w:val="32"/>
        </w:rPr>
        <w:t>。其中：</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w:t>
      </w:r>
      <w:r>
        <w:rPr>
          <w:rFonts w:hint="eastAsia" w:eastAsia="仿宋_GB2312" w:cs="仿宋_GB2312"/>
          <w:sz w:val="32"/>
          <w:szCs w:val="32"/>
          <w:lang w:val="en-US" w:eastAsia="zh-CN"/>
        </w:rPr>
        <w:t>1.02</w:t>
      </w:r>
      <w:r>
        <w:rPr>
          <w:rFonts w:hint="eastAsia" w:ascii="仿宋_GB2312" w:hAnsi="仿宋_GB2312" w:eastAsia="仿宋_GB2312" w:cs="仿宋_GB2312"/>
          <w:sz w:val="32"/>
          <w:szCs w:val="32"/>
        </w:rPr>
        <w:t>万</w:t>
      </w:r>
      <w:r>
        <w:rPr>
          <w:rFonts w:hint="eastAsia" w:eastAsia="仿宋_GB2312" w:cs="仿宋_GB2312"/>
          <w:sz w:val="32"/>
          <w:szCs w:val="32"/>
        </w:rPr>
        <w:t>元，主要用于</w:t>
      </w:r>
      <w:r>
        <w:rPr>
          <w:rFonts w:hint="eastAsia" w:eastAsia="仿宋_GB2312" w:cs="仿宋_GB2312"/>
          <w:sz w:val="32"/>
          <w:szCs w:val="32"/>
          <w:lang w:val="en-US" w:eastAsia="zh-CN"/>
        </w:rPr>
        <w:t>交流学习</w:t>
      </w:r>
      <w:r>
        <w:rPr>
          <w:rFonts w:hint="eastAsia" w:eastAsia="仿宋_GB2312" w:cs="仿宋_GB2312"/>
          <w:sz w:val="32"/>
          <w:szCs w:val="32"/>
        </w:rPr>
        <w:t>的用餐费等。国内公务接</w:t>
      </w:r>
      <w:r>
        <w:rPr>
          <w:rFonts w:hint="eastAsia" w:ascii="仿宋_GB2312" w:hAnsi="仿宋_GB2312" w:eastAsia="仿宋_GB2312" w:cs="仿宋_GB2312"/>
          <w:sz w:val="32"/>
          <w:szCs w:val="32"/>
        </w:rPr>
        <w:t>待</w:t>
      </w:r>
      <w:r>
        <w:rPr>
          <w:rFonts w:hint="eastAsia" w:eastAsia="仿宋_GB2312" w:cs="仿宋_GB2312"/>
          <w:sz w:val="32"/>
          <w:szCs w:val="32"/>
          <w:lang w:val="en-US" w:eastAsia="zh-CN"/>
        </w:rPr>
        <w:t>6</w:t>
      </w:r>
      <w:r>
        <w:rPr>
          <w:rFonts w:hint="eastAsia" w:ascii="仿宋_GB2312" w:hAnsi="仿宋_GB2312" w:eastAsia="仿宋_GB2312" w:cs="仿宋_GB2312"/>
          <w:sz w:val="32"/>
          <w:szCs w:val="32"/>
        </w:rPr>
        <w:t>批次，</w:t>
      </w:r>
      <w:r>
        <w:rPr>
          <w:rFonts w:hint="eastAsia" w:eastAsia="仿宋_GB2312" w:cs="仿宋_GB2312"/>
          <w:sz w:val="32"/>
          <w:szCs w:val="32"/>
          <w:lang w:val="en-US" w:eastAsia="zh-CN"/>
        </w:rPr>
        <w:t>123</w:t>
      </w:r>
      <w:r>
        <w:rPr>
          <w:rFonts w:hint="eastAsia" w:eastAsia="仿宋_GB2312" w:cs="仿宋_GB2312"/>
          <w:sz w:val="32"/>
          <w:szCs w:val="32"/>
        </w:rPr>
        <w:t>人次（不包括陪同人员），共计支出</w:t>
      </w:r>
      <w:r>
        <w:rPr>
          <w:rFonts w:hint="eastAsia" w:eastAsia="仿宋_GB2312" w:cs="仿宋_GB2312"/>
          <w:sz w:val="32"/>
          <w:szCs w:val="32"/>
          <w:lang w:val="en-US" w:eastAsia="zh-CN"/>
        </w:rPr>
        <w:t>1.02</w:t>
      </w:r>
      <w:r>
        <w:rPr>
          <w:rFonts w:hint="eastAsia" w:eastAsia="仿宋_GB2312" w:cs="仿宋_GB2312"/>
          <w:sz w:val="32"/>
          <w:szCs w:val="32"/>
        </w:rPr>
        <w:t>万元，具体内容包括：</w:t>
      </w:r>
    </w:p>
    <w:p>
      <w:pPr>
        <w:pStyle w:val="27"/>
        <w:keepNext w:val="0"/>
        <w:keepLines w:val="0"/>
        <w:pageBreakBefore w:val="0"/>
        <w:numPr>
          <w:ilvl w:val="0"/>
          <w:numId w:val="3"/>
        </w:numPr>
        <w:kinsoku/>
        <w:wordWrap/>
        <w:overflowPunct/>
        <w:topLinePunct w:val="0"/>
        <w:autoSpaceDE/>
        <w:autoSpaceDN/>
        <w:bidi w:val="0"/>
        <w:adjustRightInd/>
        <w:spacing w:line="360" w:lineRule="auto"/>
        <w:ind w:left="0" w:leftChars="0"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2024年3月19日：接待双流来学习法治化的人员16名，发生接待费用0.0909万元。</w:t>
      </w:r>
    </w:p>
    <w:p>
      <w:pPr>
        <w:pStyle w:val="27"/>
        <w:keepNext w:val="0"/>
        <w:keepLines w:val="0"/>
        <w:pageBreakBefore w:val="0"/>
        <w:numPr>
          <w:ilvl w:val="0"/>
          <w:numId w:val="3"/>
        </w:numPr>
        <w:kinsoku/>
        <w:wordWrap/>
        <w:overflowPunct/>
        <w:topLinePunct w:val="0"/>
        <w:autoSpaceDE/>
        <w:autoSpaceDN/>
        <w:bidi w:val="0"/>
        <w:adjustRightInd/>
        <w:spacing w:line="360" w:lineRule="auto"/>
        <w:ind w:left="0" w:leftChars="0"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2024年3月21日：接待遂宁来学习考察人员44名，发生接待费用0.428万元。</w:t>
      </w:r>
    </w:p>
    <w:p>
      <w:pPr>
        <w:pStyle w:val="27"/>
        <w:keepNext w:val="0"/>
        <w:keepLines w:val="0"/>
        <w:pageBreakBefore w:val="0"/>
        <w:numPr>
          <w:ilvl w:val="0"/>
          <w:numId w:val="3"/>
        </w:numPr>
        <w:kinsoku/>
        <w:wordWrap/>
        <w:overflowPunct/>
        <w:topLinePunct w:val="0"/>
        <w:autoSpaceDE/>
        <w:autoSpaceDN/>
        <w:bidi w:val="0"/>
        <w:adjustRightInd/>
        <w:spacing w:line="360" w:lineRule="auto"/>
        <w:ind w:left="0" w:leftChars="0"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2024年3月22日：接待达州来学习考察人员12名，发生接待费用0.107万元。</w:t>
      </w:r>
    </w:p>
    <w:p>
      <w:pPr>
        <w:pStyle w:val="27"/>
        <w:keepNext w:val="0"/>
        <w:keepLines w:val="0"/>
        <w:pageBreakBefore w:val="0"/>
        <w:numPr>
          <w:ilvl w:val="0"/>
          <w:numId w:val="3"/>
        </w:numPr>
        <w:kinsoku/>
        <w:wordWrap/>
        <w:overflowPunct/>
        <w:topLinePunct w:val="0"/>
        <w:autoSpaceDE/>
        <w:autoSpaceDN/>
        <w:bidi w:val="0"/>
        <w:adjustRightInd/>
        <w:spacing w:line="360" w:lineRule="auto"/>
        <w:ind w:left="0" w:leftChars="0" w:firstLine="640" w:firstLineChars="200"/>
        <w:textAlignment w:val="auto"/>
        <w:rPr>
          <w:rFonts w:hint="default"/>
          <w:lang w:val="en-US" w:eastAsia="zh-CN"/>
        </w:rPr>
      </w:pPr>
      <w:r>
        <w:rPr>
          <w:rFonts w:hint="eastAsia" w:ascii="仿宋_GB2312" w:hAnsi="仿宋" w:eastAsia="仿宋_GB2312" w:cs="Times New Roman"/>
          <w:sz w:val="32"/>
          <w:szCs w:val="32"/>
          <w:highlight w:val="none"/>
          <w:lang w:val="en-US" w:eastAsia="zh-CN"/>
        </w:rPr>
        <w:t>2024年4月2日：接待眉山来法治化学习16名，发生接待费用0.1038万元。</w:t>
      </w:r>
    </w:p>
    <w:p>
      <w:pPr>
        <w:pStyle w:val="27"/>
        <w:keepNext w:val="0"/>
        <w:keepLines w:val="0"/>
        <w:pageBreakBefore w:val="0"/>
        <w:numPr>
          <w:ilvl w:val="0"/>
          <w:numId w:val="3"/>
        </w:numPr>
        <w:kinsoku/>
        <w:wordWrap/>
        <w:overflowPunct/>
        <w:topLinePunct w:val="0"/>
        <w:autoSpaceDE/>
        <w:autoSpaceDN/>
        <w:bidi w:val="0"/>
        <w:adjustRightInd/>
        <w:spacing w:line="360" w:lineRule="auto"/>
        <w:ind w:left="0" w:leftChars="0"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2024年4月3日：接待沙湾区来法治化学习的11名，发生接待费用0.0827万元。</w:t>
      </w:r>
    </w:p>
    <w:p>
      <w:pPr>
        <w:numPr>
          <w:ilvl w:val="0"/>
          <w:numId w:val="3"/>
        </w:numPr>
        <w:spacing w:line="600" w:lineRule="exact"/>
        <w:ind w:left="0" w:leftChars="0" w:firstLine="640" w:firstLineChars="200"/>
        <w:rPr>
          <w:rFonts w:hint="eastAsia" w:eastAsia="仿宋_GB2312" w:cs="仿宋_GB2312"/>
          <w:sz w:val="32"/>
          <w:szCs w:val="32"/>
        </w:rPr>
      </w:pPr>
      <w:r>
        <w:rPr>
          <w:rFonts w:hint="eastAsia" w:ascii="仿宋_GB2312" w:hAnsi="仿宋" w:eastAsia="仿宋_GB2312" w:cs="Times New Roman"/>
          <w:sz w:val="32"/>
          <w:szCs w:val="32"/>
          <w:highlight w:val="none"/>
          <w:lang w:val="en-US" w:eastAsia="zh-CN"/>
        </w:rPr>
        <w:t>2024年4月22日：接待五通桥区法治化学习的人员18名，市中区人员6名，发生接待费用0.2107万元。</w:t>
      </w:r>
    </w:p>
    <w:p>
      <w:pPr>
        <w:spacing w:line="600" w:lineRule="exact"/>
        <w:ind w:firstLine="643" w:firstLineChars="200"/>
        <w:rPr>
          <w:rFonts w:ascii="黑体" w:eastAsia="黑体"/>
          <w:sz w:val="32"/>
          <w:szCs w:val="32"/>
        </w:rPr>
      </w:pPr>
      <w:r>
        <w:rPr>
          <w:rFonts w:hint="eastAsia" w:ascii="仿宋_GB2312" w:eastAsia="仿宋_GB2312"/>
          <w:b/>
          <w:bCs/>
          <w:sz w:val="32"/>
          <w:szCs w:val="32"/>
        </w:rPr>
        <w:t>外事接待支出</w:t>
      </w:r>
      <w:r>
        <w:rPr>
          <w:rFonts w:hint="eastAsia" w:ascii="仿宋_GB2312" w:eastAsia="仿宋_GB2312"/>
          <w:b w:val="0"/>
          <w:bCs w:val="0"/>
          <w:sz w:val="32"/>
          <w:szCs w:val="32"/>
        </w:rPr>
        <w:t>0万元。</w:t>
      </w:r>
    </w:p>
    <w:p>
      <w:pPr>
        <w:spacing w:line="600" w:lineRule="exact"/>
        <w:ind w:firstLine="640"/>
        <w:outlineLvl w:val="1"/>
        <w:rPr>
          <w:rStyle w:val="19"/>
          <w:rFonts w:ascii="黑体" w:hAnsi="黑体" w:eastAsia="黑体"/>
        </w:rPr>
      </w:pPr>
      <w:bookmarkStart w:id="14" w:name="_Toc3938"/>
      <w:r>
        <w:rPr>
          <w:rFonts w:hint="eastAsia" w:ascii="黑体" w:eastAsia="黑体"/>
          <w:sz w:val="32"/>
          <w:szCs w:val="32"/>
        </w:rPr>
        <w:t>八、</w:t>
      </w:r>
      <w:r>
        <w:rPr>
          <w:rStyle w:val="19"/>
          <w:rFonts w:hint="eastAsia" w:ascii="黑体" w:hAnsi="黑体" w:eastAsia="黑体"/>
          <w:b w:val="0"/>
        </w:rPr>
        <w:t>政府性基金预算支出决算情况说明</w:t>
      </w:r>
      <w:bookmarkEnd w:id="14"/>
    </w:p>
    <w:p>
      <w:pPr>
        <w:spacing w:line="600" w:lineRule="exact"/>
        <w:ind w:firstLine="640"/>
        <w:rPr>
          <w:rFonts w:ascii="仿宋_GB2312" w:eastAsia="仿宋_GB2312"/>
          <w:sz w:val="32"/>
          <w:szCs w:val="32"/>
        </w:rPr>
      </w:pPr>
      <w:r>
        <w:rPr>
          <w:rFonts w:hint="eastAsia" w:ascii="仿宋_GB2312" w:eastAsia="仿宋_GB2312"/>
          <w:sz w:val="32"/>
          <w:szCs w:val="32"/>
        </w:rPr>
        <w:t>2024年度政府性基金预算财政拨款支出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Style w:val="19"/>
          <w:rFonts w:ascii="黑体" w:hAnsi="黑体" w:eastAsia="黑体"/>
          <w:b w:val="0"/>
        </w:rPr>
      </w:pPr>
      <w:bookmarkStart w:id="15" w:name="_Toc1266"/>
      <w:r>
        <w:rPr>
          <w:rStyle w:val="19"/>
          <w:rFonts w:hint="eastAsia" w:ascii="黑体" w:hAnsi="黑体" w:eastAsia="黑体"/>
          <w:b w:val="0"/>
        </w:rPr>
        <w:t>九、国有资本经营预算支出决算情况说明</w:t>
      </w:r>
      <w:bookmarkEnd w:id="15"/>
    </w:p>
    <w:p>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2024年度国有资本经营预算财政拨款支出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Style w:val="19"/>
          <w:rFonts w:hint="eastAsia" w:ascii="黑体" w:hAnsi="黑体" w:eastAsia="黑体"/>
          <w:b w:val="0"/>
        </w:rPr>
      </w:pPr>
      <w:bookmarkStart w:id="16" w:name="_Toc30185"/>
      <w:r>
        <w:rPr>
          <w:rStyle w:val="19"/>
          <w:rFonts w:hint="eastAsia" w:ascii="黑体" w:hAnsi="黑体" w:eastAsia="黑体"/>
          <w:b w:val="0"/>
        </w:rPr>
        <w:t>十、其他重要事项的情况说明</w:t>
      </w:r>
      <w:bookmarkEnd w:id="16"/>
    </w:p>
    <w:p>
      <w:pPr>
        <w:spacing w:line="600" w:lineRule="exact"/>
        <w:ind w:firstLine="643" w:firstLineChars="200"/>
        <w:outlineLvl w:val="2"/>
        <w:rPr>
          <w:rFonts w:ascii="仿宋" w:hAnsi="仿宋" w:eastAsia="仿宋"/>
          <w:sz w:val="32"/>
          <w:szCs w:val="32"/>
        </w:rPr>
      </w:pPr>
      <w:r>
        <w:rPr>
          <w:rFonts w:hint="eastAsia" w:ascii="仿宋" w:hAnsi="仿宋" w:eastAsia="仿宋"/>
          <w:b/>
          <w:sz w:val="32"/>
          <w:szCs w:val="32"/>
        </w:rPr>
        <w:t>（一）机关运行经费支出情况</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2024年度，乐山市市中区信访局机关运行经费支出</w:t>
      </w:r>
      <w:r>
        <w:rPr>
          <w:rFonts w:hint="eastAsia" w:ascii="仿宋_GB2312" w:eastAsia="仿宋_GB2312"/>
          <w:sz w:val="32"/>
          <w:szCs w:val="32"/>
          <w:lang w:val="en-US" w:eastAsia="zh-CN"/>
        </w:rPr>
        <w:t>35.38</w:t>
      </w:r>
      <w:r>
        <w:rPr>
          <w:rFonts w:hint="eastAsia" w:ascii="仿宋_GB2312" w:eastAsia="仿宋_GB2312"/>
          <w:sz w:val="32"/>
          <w:szCs w:val="32"/>
        </w:rPr>
        <w:t>万元，比2023年度增加</w:t>
      </w:r>
      <w:r>
        <w:rPr>
          <w:rFonts w:hint="eastAsia" w:ascii="仿宋_GB2312" w:eastAsia="仿宋_GB2312"/>
          <w:sz w:val="32"/>
          <w:szCs w:val="32"/>
          <w:lang w:val="en-US" w:eastAsia="zh-CN"/>
        </w:rPr>
        <w:t>1.8</w:t>
      </w:r>
      <w:r>
        <w:rPr>
          <w:rFonts w:hint="eastAsia" w:ascii="仿宋_GB2312" w:eastAsia="仿宋_GB2312"/>
          <w:sz w:val="32"/>
          <w:szCs w:val="32"/>
        </w:rPr>
        <w:t>万元，增长</w:t>
      </w:r>
      <w:r>
        <w:rPr>
          <w:rFonts w:hint="eastAsia" w:ascii="仿宋_GB2312" w:eastAsia="仿宋_GB2312"/>
          <w:sz w:val="32"/>
          <w:szCs w:val="32"/>
          <w:lang w:val="en-US" w:eastAsia="zh-CN"/>
        </w:rPr>
        <w:t>5.36</w:t>
      </w:r>
      <w:r>
        <w:rPr>
          <w:rFonts w:hint="eastAsia" w:ascii="仿宋_GB2312" w:eastAsia="仿宋_GB2312"/>
          <w:sz w:val="32"/>
          <w:szCs w:val="32"/>
        </w:rPr>
        <w:t>%。主要原因是</w:t>
      </w:r>
      <w:r>
        <w:rPr>
          <w:rFonts w:hint="eastAsia" w:ascii="仿宋_GB2312" w:eastAsia="仿宋_GB2312"/>
          <w:sz w:val="32"/>
          <w:szCs w:val="32"/>
          <w:lang w:val="en-US" w:eastAsia="zh-CN"/>
        </w:rPr>
        <w:t>新招2名公务员，机关运行经费的支出增加。</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（二）政府采购支出情况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2024年度，乐山市市中区信访局政府采购支出总额</w:t>
      </w:r>
      <w:r>
        <w:rPr>
          <w:rFonts w:hint="eastAsia" w:ascii="仿宋_GB2312" w:eastAsia="仿宋_GB2312"/>
          <w:sz w:val="32"/>
          <w:szCs w:val="32"/>
          <w:lang w:val="en-US" w:eastAsia="zh-CN"/>
        </w:rPr>
        <w:t>0.98</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0.98</w:t>
      </w:r>
      <w:r>
        <w:rPr>
          <w:rFonts w:hint="eastAsia" w:ascii="仿宋_GB2312" w:eastAsia="仿宋_GB2312"/>
          <w:sz w:val="32"/>
          <w:szCs w:val="32"/>
        </w:rPr>
        <w:t>万元、政府采购工程支出</w:t>
      </w:r>
      <w:r>
        <w:rPr>
          <w:rFonts w:hint="eastAsia" w:ascii="仿宋_GB2312" w:eastAsia="仿宋_GB2312"/>
          <w:sz w:val="32"/>
          <w:szCs w:val="32"/>
          <w:lang w:eastAsia="zh-CN"/>
        </w:rPr>
        <w:t>0</w:t>
      </w:r>
      <w:r>
        <w:rPr>
          <w:rFonts w:hint="eastAsia" w:ascii="仿宋_GB2312" w:eastAsia="仿宋_GB2312"/>
          <w:sz w:val="32"/>
          <w:szCs w:val="32"/>
        </w:rPr>
        <w:t>万元、政府采购服务支出</w:t>
      </w:r>
      <w:r>
        <w:rPr>
          <w:rFonts w:hint="eastAsia" w:ascii="仿宋_GB2312" w:eastAsia="仿宋_GB2312"/>
          <w:sz w:val="32"/>
          <w:szCs w:val="32"/>
          <w:lang w:eastAsia="zh-CN"/>
        </w:rPr>
        <w:t>0</w:t>
      </w:r>
      <w:r>
        <w:rPr>
          <w:rFonts w:hint="eastAsia" w:ascii="仿宋_GB2312" w:eastAsia="仿宋_GB2312"/>
          <w:sz w:val="32"/>
          <w:szCs w:val="32"/>
        </w:rPr>
        <w:t>万元。授予中小企业合同金额</w:t>
      </w:r>
      <w:r>
        <w:rPr>
          <w:rFonts w:hint="eastAsia" w:ascii="仿宋_GB2312" w:eastAsia="仿宋_GB2312"/>
          <w:sz w:val="32"/>
          <w:szCs w:val="32"/>
          <w:lang w:eastAsia="zh-CN"/>
        </w:rPr>
        <w:t>0</w:t>
      </w:r>
      <w:r>
        <w:rPr>
          <w:rFonts w:hint="eastAsia" w:ascii="仿宋_GB2312" w:eastAsia="仿宋_GB2312"/>
          <w:sz w:val="32"/>
          <w:szCs w:val="32"/>
        </w:rPr>
        <w:t>万元，占政府采购支出总额的</w:t>
      </w:r>
      <w:r>
        <w:rPr>
          <w:rFonts w:hint="eastAsia" w:ascii="仿宋_GB2312" w:eastAsia="仿宋_GB2312"/>
          <w:sz w:val="32"/>
          <w:szCs w:val="32"/>
          <w:lang w:eastAsia="zh-CN"/>
        </w:rPr>
        <w:t>0</w:t>
      </w:r>
      <w:r>
        <w:rPr>
          <w:rFonts w:hint="eastAsia" w:ascii="仿宋_GB2312" w:eastAsia="仿宋_GB2312"/>
          <w:sz w:val="32"/>
          <w:szCs w:val="32"/>
        </w:rPr>
        <w:t>%，其中：授予小微企业合同金额</w:t>
      </w:r>
      <w:r>
        <w:rPr>
          <w:rFonts w:hint="eastAsia" w:ascii="仿宋_GB2312" w:eastAsia="仿宋_GB2312"/>
          <w:sz w:val="32"/>
          <w:szCs w:val="32"/>
          <w:lang w:eastAsia="zh-CN"/>
        </w:rPr>
        <w:t>0</w:t>
      </w:r>
      <w:r>
        <w:rPr>
          <w:rFonts w:hint="eastAsia" w:ascii="仿宋_GB2312" w:eastAsia="仿宋_GB2312"/>
          <w:sz w:val="32"/>
          <w:szCs w:val="32"/>
        </w:rPr>
        <w:t>万元，占政府采购支出总额的</w:t>
      </w:r>
      <w:r>
        <w:rPr>
          <w:rFonts w:hint="eastAsia" w:ascii="仿宋_GB2312" w:eastAsia="仿宋_GB2312"/>
          <w:sz w:val="32"/>
          <w:szCs w:val="32"/>
          <w:lang w:eastAsia="zh-CN"/>
        </w:rPr>
        <w:t>0</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p>
    <w:p>
      <w:pPr>
        <w:autoSpaceDE w:val="0"/>
        <w:autoSpaceDN w:val="0"/>
        <w:adjustRightInd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截至2024年12月31日，乐山市市中区信访局共有车辆0辆，其中：主要负责人用车0辆、机要通信用车0辆、应急保障用车0辆、其他用车0辆。单价100万元（含）以上设备（不含车辆）0台（套）。</w:t>
      </w:r>
    </w:p>
    <w:p>
      <w:pPr>
        <w:autoSpaceDE w:val="0"/>
        <w:autoSpaceDN w:val="0"/>
        <w:adjustRightInd w:val="0"/>
        <w:spacing w:line="600" w:lineRule="exact"/>
        <w:ind w:firstLine="643" w:firstLineChars="200"/>
        <w:jc w:val="left"/>
        <w:outlineLvl w:val="2"/>
        <w:rPr>
          <w:rFonts w:hint="eastAsia" w:ascii="仿宋" w:hAnsi="仿宋" w:eastAsia="仿宋"/>
          <w:b/>
          <w:sz w:val="32"/>
          <w:szCs w:val="32"/>
        </w:rPr>
      </w:pPr>
      <w:r>
        <w:rPr>
          <w:rFonts w:hint="eastAsia" w:ascii="仿宋" w:hAnsi="仿宋" w:eastAsia="仿宋"/>
          <w:b/>
          <w:sz w:val="32"/>
          <w:szCs w:val="32"/>
        </w:rPr>
        <w:t>（四）预算绩效管理情况</w:t>
      </w:r>
    </w:p>
    <w:p>
      <w:pPr>
        <w:spacing w:line="60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根据预算绩效管理要求，本单位在2024年度预算编制阶段，组织对</w:t>
      </w:r>
      <w:r>
        <w:rPr>
          <w:rFonts w:hint="eastAsia" w:eastAsia="仿宋_GB2312" w:cs="仿宋_GB2312"/>
          <w:sz w:val="32"/>
          <w:szCs w:val="32"/>
          <w:lang w:eastAsia="zh-CN"/>
        </w:rPr>
        <w:t>“</w:t>
      </w:r>
      <w:r>
        <w:rPr>
          <w:rFonts w:hint="eastAsia" w:eastAsia="仿宋_GB2312" w:cs="仿宋_GB2312"/>
          <w:sz w:val="32"/>
          <w:szCs w:val="32"/>
          <w:lang w:val="en-US" w:eastAsia="zh-CN"/>
        </w:rPr>
        <w:t>业务费</w:t>
      </w:r>
      <w:r>
        <w:rPr>
          <w:rFonts w:hint="eastAsia" w:eastAsia="仿宋_GB2312" w:cs="仿宋_GB2312"/>
          <w:sz w:val="32"/>
          <w:szCs w:val="32"/>
          <w:lang w:eastAsia="zh-CN"/>
        </w:rPr>
        <w:t>”</w:t>
      </w:r>
      <w:r>
        <w:rPr>
          <w:rFonts w:hint="eastAsia" w:ascii="仿宋_GB2312" w:hAnsi="Times New Roman" w:eastAsia="仿宋_GB2312"/>
          <w:sz w:val="32"/>
          <w:szCs w:val="32"/>
        </w:rPr>
        <w:t>等</w:t>
      </w:r>
      <w:r>
        <w:rPr>
          <w:rFonts w:hint="eastAsia" w:ascii="仿宋_GB2312" w:hAnsi="Times New Roman" w:eastAsia="仿宋_GB2312"/>
          <w:sz w:val="32"/>
          <w:szCs w:val="32"/>
          <w:lang w:val="en-US" w:eastAsia="zh-CN"/>
        </w:rPr>
        <w:t>1</w:t>
      </w:r>
      <w:r>
        <w:rPr>
          <w:rFonts w:hint="eastAsia" w:ascii="仿宋_GB2312" w:hAnsi="Times New Roman" w:eastAsia="仿宋_GB2312"/>
          <w:sz w:val="32"/>
          <w:szCs w:val="32"/>
        </w:rPr>
        <w:t>个项目开展了预算事前绩效评估，对</w:t>
      </w:r>
      <w:r>
        <w:rPr>
          <w:rFonts w:hint="eastAsia" w:ascii="仿宋_GB2312" w:hAnsi="Times New Roman" w:eastAsia="仿宋_GB2312"/>
          <w:sz w:val="32"/>
          <w:szCs w:val="32"/>
          <w:lang w:val="en-US" w:eastAsia="zh-CN"/>
        </w:rPr>
        <w:t>1</w:t>
      </w:r>
      <w:r>
        <w:rPr>
          <w:rFonts w:hint="eastAsia" w:ascii="仿宋_GB2312" w:hAnsi="Times New Roman" w:eastAsia="仿宋_GB2312"/>
          <w:sz w:val="32"/>
          <w:szCs w:val="32"/>
        </w:rPr>
        <w:t>个项目编制了绩效目标</w:t>
      </w:r>
      <w:r>
        <w:rPr>
          <w:rFonts w:hint="eastAsia" w:ascii="仿宋_GB2312" w:hAnsi="Times New Roman" w:eastAsia="仿宋_GB2312"/>
          <w:sz w:val="32"/>
          <w:szCs w:val="32"/>
          <w:lang w:eastAsia="zh-CN"/>
        </w:rPr>
        <w:t>，在</w:t>
      </w:r>
      <w:r>
        <w:rPr>
          <w:rFonts w:hint="eastAsia" w:ascii="仿宋_GB2312" w:hAnsi="Times New Roman" w:eastAsia="仿宋_GB2312"/>
          <w:sz w:val="32"/>
          <w:szCs w:val="32"/>
        </w:rPr>
        <w:t>预算执行过程中，选取</w:t>
      </w:r>
      <w:r>
        <w:rPr>
          <w:rFonts w:hint="eastAsia" w:ascii="仿宋_GB2312" w:hAnsi="Times New Roman" w:eastAsia="仿宋_GB2312"/>
          <w:sz w:val="32"/>
          <w:szCs w:val="32"/>
          <w:lang w:val="en-US" w:eastAsia="zh-CN"/>
        </w:rPr>
        <w:t>1</w:t>
      </w:r>
      <w:r>
        <w:rPr>
          <w:rFonts w:hint="eastAsia" w:ascii="仿宋_GB2312" w:hAnsi="Times New Roman" w:eastAsia="仿宋_GB2312"/>
          <w:sz w:val="32"/>
          <w:szCs w:val="32"/>
        </w:rPr>
        <w:t>个项目开展绩效监控，组织对</w:t>
      </w:r>
      <w:r>
        <w:rPr>
          <w:rFonts w:hint="eastAsia" w:ascii="仿宋_GB2312" w:hAnsi="Times New Roman" w:eastAsia="仿宋_GB2312"/>
          <w:sz w:val="32"/>
          <w:szCs w:val="32"/>
          <w:lang w:val="en-US" w:eastAsia="zh-CN"/>
        </w:rPr>
        <w:t>1</w:t>
      </w:r>
      <w:r>
        <w:rPr>
          <w:rFonts w:hint="eastAsia" w:ascii="仿宋_GB2312" w:hAnsi="Times New Roman" w:eastAsia="仿宋_GB2312"/>
          <w:sz w:val="32"/>
          <w:szCs w:val="32"/>
        </w:rPr>
        <w:t>个项目开展绩效自评，绩效自评表详见第四部分附件。</w:t>
      </w:r>
    </w:p>
    <w:p>
      <w:pPr>
        <w:spacing w:line="60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br w:type="page"/>
      </w:r>
    </w:p>
    <w:p>
      <w:pPr>
        <w:spacing w:line="600" w:lineRule="exact"/>
        <w:jc w:val="center"/>
        <w:outlineLvl w:val="0"/>
        <w:rPr>
          <w:rStyle w:val="18"/>
          <w:rFonts w:ascii="黑体" w:hAnsi="黑体" w:eastAsia="黑体"/>
          <w:b w:val="0"/>
        </w:rPr>
      </w:pPr>
      <w:bookmarkStart w:id="17" w:name="_Toc7235"/>
      <w:r>
        <w:rPr>
          <w:rFonts w:hint="eastAsia" w:ascii="黑体" w:hAnsi="黑体" w:eastAsia="黑体"/>
          <w:sz w:val="44"/>
          <w:szCs w:val="44"/>
        </w:rPr>
        <w:t>第三部分  名</w:t>
      </w:r>
      <w:r>
        <w:rPr>
          <w:rStyle w:val="18"/>
          <w:rFonts w:hint="eastAsia" w:ascii="黑体" w:hAnsi="黑体" w:eastAsia="黑体"/>
          <w:b w:val="0"/>
        </w:rPr>
        <w:t>词解释</w:t>
      </w:r>
      <w:bookmarkEnd w:id="17"/>
    </w:p>
    <w:p>
      <w:pPr>
        <w:spacing w:line="600" w:lineRule="exact"/>
        <w:jc w:val="left"/>
        <w:rPr>
          <w:rFonts w:ascii="宋体"/>
          <w:b/>
          <w:sz w:val="44"/>
          <w:szCs w:val="44"/>
        </w:rPr>
      </w:pPr>
    </w:p>
    <w:p>
      <w:pPr>
        <w:pStyle w:val="26"/>
        <w:numPr>
          <w:ilvl w:val="0"/>
          <w:numId w:val="4"/>
        </w:numPr>
        <w:spacing w:line="560" w:lineRule="exact"/>
        <w:ind w:left="0" w:leftChars="0" w:firstLine="640" w:firstLineChars="200"/>
        <w:rPr>
          <w:rFonts w:ascii="仿宋_GB2312" w:eastAsia="仿宋_GB2312"/>
          <w:color w:val="auto"/>
          <w:sz w:val="32"/>
          <w:szCs w:val="32"/>
        </w:rPr>
      </w:pPr>
      <w:r>
        <w:rPr>
          <w:rFonts w:hint="eastAsia" w:ascii="仿宋_GB2312" w:eastAsia="仿宋_GB2312"/>
          <w:color w:val="auto"/>
          <w:sz w:val="32"/>
          <w:szCs w:val="32"/>
        </w:rPr>
        <w:t>财政拨款收入：指单位从同级财政部门取得的财政预算资金。</w:t>
      </w:r>
    </w:p>
    <w:p>
      <w:pPr>
        <w:pStyle w:val="26"/>
        <w:numPr>
          <w:ilvl w:val="0"/>
          <w:numId w:val="4"/>
        </w:numPr>
        <w:spacing w:line="560" w:lineRule="exact"/>
        <w:ind w:left="0" w:leftChars="0" w:firstLine="640" w:firstLineChars="200"/>
        <w:rPr>
          <w:rFonts w:ascii="仿宋_GB2312" w:eastAsia="仿宋_GB2312"/>
          <w:color w:val="auto"/>
          <w:sz w:val="32"/>
          <w:szCs w:val="32"/>
        </w:rPr>
      </w:pPr>
      <w:r>
        <w:rPr>
          <w:rFonts w:hint="eastAsia" w:ascii="仿宋_GB2312" w:eastAsia="仿宋_GB2312"/>
          <w:color w:val="auto"/>
          <w:sz w:val="32"/>
          <w:szCs w:val="32"/>
        </w:rPr>
        <w:t>事业收入：指事业单位开展专业业务活动及辅助活动取得的收入。</w:t>
      </w:r>
    </w:p>
    <w:p>
      <w:pPr>
        <w:pStyle w:val="26"/>
        <w:numPr>
          <w:ilvl w:val="0"/>
          <w:numId w:val="4"/>
        </w:numPr>
        <w:spacing w:line="560" w:lineRule="exact"/>
        <w:ind w:left="0" w:leftChars="0" w:firstLine="640" w:firstLineChars="200"/>
        <w:rPr>
          <w:rFonts w:hint="eastAsia" w:ascii="仿宋_GB2312" w:eastAsia="仿宋_GB2312"/>
          <w:color w:val="auto"/>
          <w:sz w:val="32"/>
          <w:szCs w:val="32"/>
        </w:rPr>
      </w:pPr>
      <w:r>
        <w:rPr>
          <w:rFonts w:hint="eastAsia" w:ascii="仿宋_GB2312" w:eastAsia="仿宋_GB2312"/>
          <w:color w:val="auto"/>
          <w:sz w:val="32"/>
          <w:szCs w:val="32"/>
        </w:rPr>
        <w:t>经营收入：指事业单位在专业业务活动及其辅助活动之外开展非独立核算经营活动取得的收入。</w:t>
      </w:r>
    </w:p>
    <w:p>
      <w:pPr>
        <w:pStyle w:val="26"/>
        <w:numPr>
          <w:ilvl w:val="0"/>
          <w:numId w:val="4"/>
        </w:numPr>
        <w:spacing w:line="560" w:lineRule="exact"/>
        <w:ind w:left="0" w:leftChars="0" w:firstLine="640" w:firstLineChars="200"/>
        <w:rPr>
          <w:rFonts w:ascii="仿宋_GB2312" w:eastAsia="仿宋_GB2312"/>
          <w:color w:val="auto"/>
          <w:sz w:val="32"/>
          <w:szCs w:val="32"/>
        </w:rPr>
      </w:pPr>
      <w:r>
        <w:rPr>
          <w:rFonts w:hint="eastAsia" w:ascii="仿宋_GB2312" w:eastAsia="仿宋_GB2312"/>
          <w:color w:val="auto"/>
          <w:sz w:val="32"/>
          <w:szCs w:val="32"/>
        </w:rPr>
        <w:t xml:space="preserve">其他收入：指单位取得的除上述收入以外的各项收入。 </w:t>
      </w:r>
    </w:p>
    <w:p>
      <w:pPr>
        <w:pStyle w:val="26"/>
        <w:numPr>
          <w:ilvl w:val="0"/>
          <w:numId w:val="4"/>
        </w:numPr>
        <w:spacing w:line="560" w:lineRule="exact"/>
        <w:ind w:left="0" w:leftChars="0" w:firstLine="640" w:firstLineChars="200"/>
        <w:rPr>
          <w:rFonts w:ascii="仿宋_GB2312" w:eastAsia="仿宋_GB2312"/>
          <w:color w:val="auto"/>
          <w:sz w:val="32"/>
          <w:szCs w:val="32"/>
        </w:rPr>
      </w:pPr>
      <w:r>
        <w:rPr>
          <w:rFonts w:hint="eastAsia" w:ascii="仿宋_GB2312" w:eastAsia="仿宋_GB2312"/>
          <w:color w:val="auto"/>
          <w:sz w:val="32"/>
          <w:szCs w:val="32"/>
        </w:rPr>
        <w:t xml:space="preserve">使用非财政拨款结余（含专用结余）：指事业单位使用以前年度积累的非财政拨款结余弥补当年收支差额的金额。 </w:t>
      </w:r>
    </w:p>
    <w:p>
      <w:pPr>
        <w:pStyle w:val="26"/>
        <w:numPr>
          <w:ilvl w:val="0"/>
          <w:numId w:val="4"/>
        </w:numPr>
        <w:spacing w:line="560" w:lineRule="exact"/>
        <w:ind w:left="0" w:leftChars="0" w:firstLine="640" w:firstLineChars="200"/>
        <w:rPr>
          <w:rFonts w:ascii="仿宋_GB2312" w:eastAsia="仿宋_GB2312"/>
          <w:color w:val="auto"/>
          <w:sz w:val="32"/>
          <w:szCs w:val="32"/>
        </w:rPr>
      </w:pPr>
      <w:r>
        <w:rPr>
          <w:rFonts w:hint="eastAsia" w:ascii="仿宋_GB2312" w:eastAsia="仿宋_GB2312"/>
          <w:color w:val="auto"/>
          <w:sz w:val="32"/>
          <w:szCs w:val="32"/>
        </w:rPr>
        <w:t xml:space="preserve">年初结转和结余：指以前年度尚未完成、结转到本年按有关规定继续使用的资金。 </w:t>
      </w:r>
    </w:p>
    <w:p>
      <w:pPr>
        <w:pStyle w:val="26"/>
        <w:numPr>
          <w:ilvl w:val="0"/>
          <w:numId w:val="4"/>
        </w:numPr>
        <w:spacing w:line="560" w:lineRule="exact"/>
        <w:ind w:left="0" w:leftChars="0" w:firstLine="640" w:firstLineChars="200"/>
        <w:rPr>
          <w:rFonts w:ascii="仿宋_GB2312" w:eastAsia="仿宋_GB2312"/>
          <w:color w:val="auto"/>
          <w:sz w:val="32"/>
          <w:szCs w:val="32"/>
        </w:rPr>
      </w:pP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6"/>
        <w:numPr>
          <w:ilvl w:val="0"/>
          <w:numId w:val="4"/>
        </w:numPr>
        <w:spacing w:line="560" w:lineRule="exact"/>
        <w:ind w:left="0" w:leftChars="0" w:firstLine="640" w:firstLineChars="200"/>
        <w:rPr>
          <w:rFonts w:ascii="仿宋_GB2312" w:eastAsia="仿宋_GB2312"/>
          <w:color w:val="auto"/>
          <w:sz w:val="32"/>
          <w:szCs w:val="32"/>
        </w:rPr>
      </w:pPr>
      <w:r>
        <w:rPr>
          <w:rFonts w:hint="eastAsia" w:ascii="仿宋_GB2312" w:eastAsia="仿宋_GB2312"/>
          <w:color w:val="auto"/>
          <w:sz w:val="32"/>
          <w:szCs w:val="32"/>
        </w:rPr>
        <w:t>年末结转和结余：指单位按有关规定结转到下年或以后年度继续使用的资金。</w:t>
      </w:r>
    </w:p>
    <w:p>
      <w:pPr>
        <w:pStyle w:val="26"/>
        <w:numPr>
          <w:ilvl w:val="0"/>
          <w:numId w:val="4"/>
        </w:numPr>
        <w:spacing w:line="560" w:lineRule="exact"/>
        <w:ind w:left="0" w:leftChars="0"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一般公共服务（类）</w:t>
      </w:r>
      <w:r>
        <w:rPr>
          <w:rFonts w:hint="eastAsia" w:ascii="仿宋_GB2312" w:eastAsia="仿宋_GB2312"/>
          <w:color w:val="auto"/>
          <w:sz w:val="32"/>
          <w:szCs w:val="32"/>
          <w:lang w:eastAsia="zh-CN"/>
        </w:rPr>
        <w:t>信访事务</w:t>
      </w:r>
      <w:r>
        <w:rPr>
          <w:rFonts w:hint="eastAsia" w:ascii="仿宋_GB2312" w:eastAsia="仿宋_GB2312"/>
          <w:color w:val="auto"/>
          <w:sz w:val="32"/>
          <w:szCs w:val="32"/>
        </w:rPr>
        <w:t>（款）</w:t>
      </w:r>
      <w:r>
        <w:rPr>
          <w:rFonts w:hint="eastAsia" w:ascii="仿宋_GB2312" w:eastAsia="仿宋_GB2312"/>
          <w:color w:val="auto"/>
          <w:sz w:val="32"/>
          <w:szCs w:val="32"/>
          <w:lang w:eastAsia="zh-CN"/>
        </w:rPr>
        <w:t>行政运行</w:t>
      </w:r>
      <w:r>
        <w:rPr>
          <w:rFonts w:hint="eastAsia" w:ascii="仿宋_GB2312" w:eastAsia="仿宋_GB2312"/>
          <w:color w:val="auto"/>
          <w:sz w:val="32"/>
          <w:szCs w:val="32"/>
        </w:rPr>
        <w:t>（项）</w:t>
      </w:r>
      <w:r>
        <w:rPr>
          <w:rFonts w:hint="eastAsia" w:ascii="仿宋_GB2312" w:eastAsia="仿宋_GB2312"/>
          <w:color w:val="auto"/>
          <w:sz w:val="32"/>
          <w:szCs w:val="32"/>
          <w:lang w:eastAsia="zh-CN"/>
        </w:rPr>
        <w:t>：</w:t>
      </w: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指行政单位（包括实行公务员管理的事业单位）的基本支出</w:t>
      </w:r>
      <w:r>
        <w:rPr>
          <w:rFonts w:hint="eastAsia" w:ascii="仿宋_GB2312" w:eastAsia="仿宋_GB2312"/>
          <w:color w:val="auto"/>
          <w:sz w:val="32"/>
          <w:szCs w:val="32"/>
          <w:lang w:eastAsia="zh-CN"/>
        </w:rPr>
        <w:t>。</w:t>
      </w:r>
    </w:p>
    <w:p>
      <w:pPr>
        <w:pStyle w:val="26"/>
        <w:numPr>
          <w:ilvl w:val="0"/>
          <w:numId w:val="4"/>
        </w:numPr>
        <w:spacing w:line="560" w:lineRule="exact"/>
        <w:ind w:left="0" w:leftChars="0"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一般公共服务（类）</w:t>
      </w:r>
      <w:r>
        <w:rPr>
          <w:rFonts w:hint="eastAsia" w:ascii="仿宋_GB2312" w:eastAsia="仿宋_GB2312"/>
          <w:color w:val="auto"/>
          <w:sz w:val="32"/>
          <w:szCs w:val="32"/>
          <w:lang w:eastAsia="zh-CN"/>
        </w:rPr>
        <w:t>信访事务</w:t>
      </w:r>
      <w:r>
        <w:rPr>
          <w:rFonts w:hint="eastAsia" w:ascii="仿宋_GB2312" w:eastAsia="仿宋_GB2312"/>
          <w:color w:val="auto"/>
          <w:sz w:val="32"/>
          <w:szCs w:val="32"/>
        </w:rPr>
        <w:t>（款）</w:t>
      </w:r>
      <w:r>
        <w:rPr>
          <w:rFonts w:hint="eastAsia" w:ascii="仿宋_GB2312" w:eastAsia="仿宋_GB2312"/>
          <w:color w:val="auto"/>
          <w:sz w:val="32"/>
          <w:szCs w:val="32"/>
          <w:lang w:eastAsia="zh-CN"/>
        </w:rPr>
        <w:t>一般行政管理事务</w:t>
      </w:r>
      <w:r>
        <w:rPr>
          <w:rFonts w:hint="eastAsia" w:ascii="仿宋_GB2312" w:eastAsia="仿宋_GB2312"/>
          <w:color w:val="auto"/>
          <w:sz w:val="32"/>
          <w:szCs w:val="32"/>
        </w:rPr>
        <w:t>（项）</w:t>
      </w:r>
      <w:r>
        <w:rPr>
          <w:rFonts w:hint="eastAsia" w:ascii="仿宋_GB2312" w:eastAsia="仿宋_GB2312"/>
          <w:color w:val="auto"/>
          <w:sz w:val="32"/>
          <w:szCs w:val="32"/>
          <w:lang w:eastAsia="zh-CN"/>
        </w:rPr>
        <w:t>：</w:t>
      </w: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指行政单位（包括实行公务员管理的事业单位）未单设置项级科目的其他项目支出。</w:t>
      </w:r>
    </w:p>
    <w:p>
      <w:pPr>
        <w:pStyle w:val="26"/>
        <w:numPr>
          <w:ilvl w:val="0"/>
          <w:numId w:val="4"/>
        </w:numPr>
        <w:spacing w:line="560" w:lineRule="exact"/>
        <w:ind w:left="0" w:leftChars="0"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一般公共服务（类）</w:t>
      </w:r>
      <w:r>
        <w:rPr>
          <w:rFonts w:hint="eastAsia" w:ascii="仿宋_GB2312" w:eastAsia="仿宋_GB2312"/>
          <w:color w:val="auto"/>
          <w:sz w:val="32"/>
          <w:szCs w:val="32"/>
          <w:lang w:eastAsia="zh-CN"/>
        </w:rPr>
        <w:t>信访事务</w:t>
      </w:r>
      <w:r>
        <w:rPr>
          <w:rFonts w:hint="eastAsia" w:ascii="仿宋_GB2312" w:eastAsia="仿宋_GB2312"/>
          <w:color w:val="auto"/>
          <w:sz w:val="32"/>
          <w:szCs w:val="32"/>
        </w:rPr>
        <w:t>（款）</w:t>
      </w:r>
      <w:r>
        <w:rPr>
          <w:rFonts w:hint="eastAsia" w:ascii="仿宋_GB2312" w:eastAsia="仿宋_GB2312"/>
          <w:color w:val="auto"/>
          <w:sz w:val="32"/>
          <w:szCs w:val="32"/>
          <w:lang w:eastAsia="zh-CN"/>
        </w:rPr>
        <w:t>其他信访事务支出</w:t>
      </w:r>
      <w:r>
        <w:rPr>
          <w:rFonts w:hint="eastAsia" w:ascii="仿宋_GB2312" w:eastAsia="仿宋_GB2312"/>
          <w:color w:val="auto"/>
          <w:sz w:val="32"/>
          <w:szCs w:val="32"/>
        </w:rPr>
        <w:t>（项）</w:t>
      </w:r>
      <w:r>
        <w:rPr>
          <w:rFonts w:hint="eastAsia" w:ascii="仿宋_GB2312" w:eastAsia="仿宋_GB2312"/>
          <w:color w:val="auto"/>
          <w:sz w:val="32"/>
          <w:szCs w:val="32"/>
          <w:lang w:eastAsia="zh-CN"/>
        </w:rPr>
        <w:t>：</w:t>
      </w: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指用于</w:t>
      </w:r>
      <w:r>
        <w:rPr>
          <w:rFonts w:hint="eastAsia" w:ascii="仿宋_GB2312" w:eastAsia="仿宋_GB2312"/>
          <w:color w:val="auto"/>
          <w:sz w:val="32"/>
          <w:szCs w:val="32"/>
        </w:rPr>
        <w:t>其他信访事务支出</w:t>
      </w:r>
      <w:r>
        <w:rPr>
          <w:rFonts w:hint="eastAsia" w:ascii="仿宋_GB2312" w:eastAsia="仿宋_GB2312"/>
          <w:color w:val="auto"/>
          <w:sz w:val="32"/>
          <w:szCs w:val="32"/>
          <w:lang w:eastAsia="zh-CN"/>
        </w:rPr>
        <w:t>。</w:t>
      </w:r>
    </w:p>
    <w:p>
      <w:pPr>
        <w:pStyle w:val="26"/>
        <w:numPr>
          <w:ilvl w:val="0"/>
          <w:numId w:val="4"/>
        </w:numPr>
        <w:spacing w:line="560" w:lineRule="exact"/>
        <w:ind w:left="0" w:leftChars="0" w:firstLine="640" w:firstLineChars="200"/>
        <w:rPr>
          <w:rFonts w:hint="eastAsia" w:ascii="仿宋_GB2312" w:eastAsia="仿宋_GB2312"/>
          <w:color w:val="auto"/>
          <w:sz w:val="32"/>
          <w:szCs w:val="32"/>
        </w:rPr>
      </w:pPr>
      <w:r>
        <w:rPr>
          <w:rFonts w:hint="eastAsia" w:ascii="仿宋_GB2312" w:eastAsia="仿宋_GB2312"/>
          <w:color w:val="auto"/>
          <w:sz w:val="32"/>
          <w:szCs w:val="32"/>
        </w:rPr>
        <w:t>社会保障和就业（类）行政事业单位养老支出（款）事业单位离退休（项）：指事业单位开支的离退休经费。</w:t>
      </w:r>
    </w:p>
    <w:p>
      <w:pPr>
        <w:pStyle w:val="26"/>
        <w:numPr>
          <w:ilvl w:val="0"/>
          <w:numId w:val="4"/>
        </w:numPr>
        <w:spacing w:line="560" w:lineRule="exact"/>
        <w:ind w:left="0" w:leftChars="0" w:firstLine="640" w:firstLineChars="200"/>
        <w:rPr>
          <w:rFonts w:hint="eastAsia" w:ascii="仿宋_GB2312" w:eastAsia="仿宋_GB2312"/>
          <w:color w:val="auto"/>
          <w:sz w:val="32"/>
          <w:szCs w:val="32"/>
        </w:rPr>
      </w:pPr>
      <w:r>
        <w:rPr>
          <w:rFonts w:hint="eastAsia" w:ascii="仿宋_GB2312" w:eastAsia="仿宋_GB2312"/>
          <w:color w:val="auto"/>
          <w:sz w:val="32"/>
          <w:szCs w:val="32"/>
        </w:rPr>
        <w:t>社会保障和就业（类）行政事业单位养老支出（款）机关事业单位基本养老保险缴费支出（项）：指机关事业单位实施养老保险制度由单位缴纳的基本养老保险费支出。</w:t>
      </w:r>
    </w:p>
    <w:p>
      <w:pPr>
        <w:pStyle w:val="26"/>
        <w:numPr>
          <w:ilvl w:val="0"/>
          <w:numId w:val="4"/>
        </w:numPr>
        <w:spacing w:line="560" w:lineRule="exact"/>
        <w:ind w:left="0" w:leftChars="0" w:firstLine="640" w:firstLineChars="200"/>
        <w:rPr>
          <w:rFonts w:hint="eastAsia" w:ascii="仿宋_GB2312" w:eastAsia="仿宋_GB2312"/>
          <w:color w:val="auto"/>
          <w:sz w:val="32"/>
          <w:szCs w:val="32"/>
        </w:rPr>
      </w:pPr>
      <w:r>
        <w:rPr>
          <w:rFonts w:hint="eastAsia" w:ascii="仿宋_GB2312" w:eastAsia="仿宋_GB2312"/>
          <w:color w:val="auto"/>
          <w:sz w:val="32"/>
          <w:szCs w:val="32"/>
        </w:rPr>
        <w:t>社会保障和就业（类）行政事业单位养老支出（款）机关事业单位职业年金缴费支出（项）： 指机关事业单位实施养老保险制度由单位实际缴纳的职业年金支出（含职业年金补记支出）。</w:t>
      </w:r>
    </w:p>
    <w:p>
      <w:pPr>
        <w:pStyle w:val="26"/>
        <w:numPr>
          <w:ilvl w:val="0"/>
          <w:numId w:val="4"/>
        </w:numPr>
        <w:spacing w:line="560" w:lineRule="exact"/>
        <w:ind w:left="0" w:leftChars="0" w:firstLine="640" w:firstLineChars="200"/>
        <w:rPr>
          <w:rFonts w:hint="eastAsia" w:ascii="仿宋_GB2312" w:eastAsia="仿宋_GB2312"/>
          <w:color w:val="auto"/>
          <w:sz w:val="32"/>
          <w:szCs w:val="32"/>
        </w:rPr>
      </w:pPr>
      <w:r>
        <w:rPr>
          <w:rFonts w:hint="eastAsia" w:ascii="仿宋_GB2312" w:eastAsia="仿宋_GB2312"/>
          <w:color w:val="auto"/>
          <w:sz w:val="32"/>
          <w:szCs w:val="32"/>
        </w:rPr>
        <w:t>社会保障和就业（类）行政事业单位养老支出（款）其他行政事业单位养老支出（项）： 指其他用于行政事业单位养老方面的支出。</w:t>
      </w:r>
    </w:p>
    <w:p>
      <w:pPr>
        <w:pStyle w:val="26"/>
        <w:numPr>
          <w:ilvl w:val="0"/>
          <w:numId w:val="4"/>
        </w:numPr>
        <w:spacing w:line="560" w:lineRule="exact"/>
        <w:ind w:left="0" w:leftChars="0" w:firstLine="640" w:firstLineChars="200"/>
        <w:rPr>
          <w:rFonts w:hint="eastAsia" w:ascii="仿宋_GB2312" w:eastAsia="仿宋_GB2312"/>
          <w:color w:val="auto"/>
          <w:sz w:val="32"/>
          <w:szCs w:val="32"/>
        </w:rPr>
      </w:pPr>
      <w:r>
        <w:rPr>
          <w:rFonts w:hint="eastAsia" w:ascii="仿宋_GB2312" w:eastAsia="仿宋_GB2312"/>
          <w:color w:val="auto"/>
          <w:sz w:val="32"/>
          <w:szCs w:val="32"/>
        </w:rPr>
        <w:t>社会保障和就业（类）抚恤（款）死亡抚恤（项）： 指按规定用于烈士和牺牲、病故人员家属的一次性和定期抚恤金、丧葬补助费以及烈士褒扬金。</w:t>
      </w:r>
    </w:p>
    <w:p>
      <w:pPr>
        <w:pStyle w:val="26"/>
        <w:numPr>
          <w:ilvl w:val="0"/>
          <w:numId w:val="4"/>
        </w:numPr>
        <w:spacing w:line="560" w:lineRule="exact"/>
        <w:ind w:left="0" w:leftChars="0" w:firstLine="640" w:firstLineChars="200"/>
        <w:rPr>
          <w:rFonts w:hint="eastAsia" w:ascii="仿宋_GB2312" w:eastAsia="仿宋_GB2312"/>
          <w:color w:val="auto"/>
          <w:sz w:val="32"/>
          <w:szCs w:val="32"/>
        </w:rPr>
      </w:pPr>
      <w:r>
        <w:rPr>
          <w:rFonts w:hint="eastAsia" w:ascii="仿宋_GB2312" w:eastAsia="仿宋_GB2312"/>
          <w:color w:val="auto"/>
          <w:sz w:val="32"/>
          <w:szCs w:val="32"/>
        </w:rPr>
        <w:t>社会保障和就业（类）抚恤（款）其他优抚支出（项）： 指其他用于优抚方面的支出，包括向优抚对象发放的价格临时补贴、老烈士子女、老党员定期生活补助等支出。反映用于退役军人安置方面的支出。</w:t>
      </w:r>
    </w:p>
    <w:p>
      <w:pPr>
        <w:pStyle w:val="26"/>
        <w:numPr>
          <w:ilvl w:val="0"/>
          <w:numId w:val="4"/>
        </w:numPr>
        <w:spacing w:line="560" w:lineRule="exact"/>
        <w:ind w:left="0" w:leftChars="0" w:firstLine="640" w:firstLineChars="200"/>
        <w:rPr>
          <w:rFonts w:hint="eastAsia" w:ascii="仿宋_GB2312" w:eastAsia="仿宋_GB2312"/>
          <w:color w:val="auto"/>
          <w:sz w:val="32"/>
          <w:szCs w:val="32"/>
        </w:rPr>
      </w:pPr>
      <w:r>
        <w:rPr>
          <w:rFonts w:hint="eastAsia" w:ascii="仿宋_GB2312" w:eastAsia="仿宋_GB2312"/>
          <w:color w:val="auto"/>
          <w:sz w:val="32"/>
          <w:szCs w:val="32"/>
        </w:rPr>
        <w:t>社会保障和就业（类）其他社会保障和就业支出（款）其他社会保障和就业支出（项）： 指按规定用于其他社会保障和就业等方面的支出。</w:t>
      </w:r>
    </w:p>
    <w:p>
      <w:pPr>
        <w:pStyle w:val="26"/>
        <w:numPr>
          <w:ilvl w:val="0"/>
          <w:numId w:val="4"/>
        </w:numPr>
        <w:spacing w:line="560" w:lineRule="exact"/>
        <w:ind w:left="0" w:leftChars="0" w:firstLine="640" w:firstLineChars="200"/>
        <w:rPr>
          <w:rFonts w:hint="eastAsia" w:ascii="仿宋_GB2312" w:eastAsia="仿宋_GB2312"/>
          <w:color w:val="auto"/>
          <w:sz w:val="32"/>
          <w:szCs w:val="32"/>
        </w:rPr>
      </w:pPr>
      <w:r>
        <w:rPr>
          <w:rFonts w:hint="eastAsia" w:ascii="仿宋_GB2312" w:eastAsia="仿宋_GB2312"/>
          <w:color w:val="auto"/>
          <w:sz w:val="32"/>
          <w:szCs w:val="32"/>
        </w:rPr>
        <w:t>卫生健康（类）行政事业单位医疗（款）事业单位医疗（项）：指财政部门安排的事业单位基本医疗保险缴费经费，未参加医疗保险的事业单位的公费医疗经费，按国家规定享受离休人员待遇的医疗经费。</w:t>
      </w:r>
    </w:p>
    <w:p>
      <w:pPr>
        <w:pStyle w:val="26"/>
        <w:numPr>
          <w:ilvl w:val="0"/>
          <w:numId w:val="4"/>
        </w:numPr>
        <w:spacing w:line="560" w:lineRule="exact"/>
        <w:ind w:left="0" w:leftChars="0" w:firstLine="640" w:firstLineChars="200"/>
        <w:rPr>
          <w:rFonts w:hint="eastAsia" w:ascii="仿宋_GB2312" w:eastAsia="仿宋_GB2312"/>
          <w:color w:val="auto"/>
          <w:sz w:val="32"/>
          <w:szCs w:val="32"/>
        </w:rPr>
      </w:pPr>
      <w:r>
        <w:rPr>
          <w:rFonts w:hint="eastAsia" w:ascii="仿宋_GB2312" w:eastAsia="仿宋_GB2312"/>
          <w:color w:val="auto"/>
          <w:sz w:val="32"/>
          <w:szCs w:val="32"/>
        </w:rPr>
        <w:t>住房保障（类）住房改革支出（款）住房公积金（项）：指行政事业单位按人力资源和社会保障部、财政部规定的基本工资和津贴补贴以及规定比例为职工缴纳的住房公积金。</w:t>
      </w:r>
    </w:p>
    <w:p>
      <w:pPr>
        <w:pStyle w:val="26"/>
        <w:numPr>
          <w:ilvl w:val="0"/>
          <w:numId w:val="4"/>
        </w:numPr>
        <w:spacing w:line="560" w:lineRule="exact"/>
        <w:ind w:left="0" w:leftChars="0" w:firstLine="640" w:firstLineChars="200"/>
        <w:rPr>
          <w:rFonts w:ascii="仿宋_GB2312" w:eastAsia="仿宋_GB2312"/>
          <w:color w:val="auto"/>
          <w:sz w:val="32"/>
          <w:szCs w:val="32"/>
        </w:rPr>
      </w:pPr>
      <w:r>
        <w:rPr>
          <w:rFonts w:hint="eastAsia" w:ascii="仿宋_GB2312" w:eastAsia="仿宋_GB2312"/>
          <w:color w:val="auto"/>
          <w:sz w:val="32"/>
          <w:szCs w:val="32"/>
        </w:rPr>
        <w:t>基本支出：指为保障机构正常运转、完成日常工作任务而发生的人员支出和公用支出。</w:t>
      </w:r>
    </w:p>
    <w:p>
      <w:pPr>
        <w:pStyle w:val="26"/>
        <w:numPr>
          <w:ilvl w:val="0"/>
          <w:numId w:val="4"/>
        </w:numPr>
        <w:spacing w:line="560" w:lineRule="exact"/>
        <w:ind w:left="0" w:leftChars="0" w:firstLine="640" w:firstLineChars="200"/>
        <w:rPr>
          <w:rFonts w:ascii="仿宋_GB2312" w:eastAsia="仿宋_GB2312"/>
          <w:color w:val="auto"/>
          <w:sz w:val="32"/>
          <w:szCs w:val="32"/>
        </w:rPr>
      </w:pPr>
      <w:r>
        <w:rPr>
          <w:rFonts w:hint="eastAsia" w:ascii="仿宋_GB2312" w:eastAsia="仿宋_GB2312"/>
          <w:color w:val="auto"/>
          <w:sz w:val="32"/>
          <w:szCs w:val="32"/>
        </w:rPr>
        <w:t xml:space="preserve">项目支出：指在基本支出之外为完成特定行政任务和事业发展目标所发生的支出。 </w:t>
      </w:r>
    </w:p>
    <w:p>
      <w:pPr>
        <w:pStyle w:val="26"/>
        <w:numPr>
          <w:ilvl w:val="0"/>
          <w:numId w:val="4"/>
        </w:numPr>
        <w:spacing w:line="560" w:lineRule="exact"/>
        <w:ind w:left="0" w:leftChars="0" w:firstLine="640" w:firstLineChars="200"/>
        <w:rPr>
          <w:rFonts w:ascii="仿宋_GB2312" w:eastAsia="仿宋_GB2312"/>
          <w:color w:val="auto"/>
          <w:sz w:val="32"/>
          <w:szCs w:val="32"/>
        </w:rPr>
      </w:pPr>
      <w:r>
        <w:rPr>
          <w:rFonts w:hint="eastAsia" w:ascii="仿宋_GB2312" w:eastAsia="仿宋_GB2312"/>
          <w:color w:val="auto"/>
          <w:sz w:val="32"/>
          <w:szCs w:val="32"/>
        </w:rPr>
        <w:t>经营支出：指事业单位在专业业务活动及其辅助活动之外开展非独立核算经营活动发生的支出。</w:t>
      </w:r>
    </w:p>
    <w:p>
      <w:pPr>
        <w:pStyle w:val="26"/>
        <w:numPr>
          <w:ilvl w:val="0"/>
          <w:numId w:val="4"/>
        </w:numPr>
        <w:spacing w:line="560" w:lineRule="exact"/>
        <w:ind w:left="0" w:leftChars="0" w:firstLine="640" w:firstLineChars="200"/>
        <w:rPr>
          <w:rFonts w:ascii="仿宋_GB2312" w:eastAsia="仿宋_GB2312"/>
          <w:color w:val="auto"/>
          <w:sz w:val="32"/>
          <w:szCs w:val="32"/>
        </w:rPr>
      </w:pP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numPr>
          <w:ilvl w:val="0"/>
          <w:numId w:val="4"/>
        </w:numPr>
        <w:spacing w:line="560" w:lineRule="exact"/>
        <w:ind w:left="0" w:leftChars="0" w:firstLine="640" w:firstLineChars="200"/>
        <w:rPr>
          <w:rFonts w:ascii="仿宋_GB2312" w:eastAsia="仿宋_GB2312"/>
          <w:color w:val="auto"/>
          <w:sz w:val="32"/>
          <w:szCs w:val="32"/>
        </w:rPr>
      </w:pP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18"/>
          <w:rFonts w:ascii="黑体" w:hAnsi="黑体" w:eastAsia="黑体"/>
          <w:b w:val="0"/>
        </w:rPr>
      </w:pPr>
      <w:bookmarkStart w:id="18" w:name="_Toc13031"/>
      <w:r>
        <w:rPr>
          <w:rFonts w:hint="eastAsia" w:ascii="黑体" w:hAnsi="黑体" w:eastAsia="黑体"/>
          <w:sz w:val="44"/>
          <w:szCs w:val="44"/>
        </w:rPr>
        <w:t>第</w:t>
      </w:r>
      <w:r>
        <w:rPr>
          <w:rStyle w:val="18"/>
          <w:rFonts w:hint="eastAsia" w:ascii="黑体" w:hAnsi="黑体" w:eastAsia="黑体"/>
          <w:b w:val="0"/>
        </w:rPr>
        <w:t>四部分 附件</w:t>
      </w:r>
      <w:bookmarkEnd w:id="18"/>
    </w:p>
    <w:p>
      <w:pPr>
        <w:spacing w:line="572" w:lineRule="exact"/>
        <w:jc w:val="left"/>
        <w:outlineLvl w:val="9"/>
        <w:rPr>
          <w:rFonts w:ascii="仿宋_GB2312" w:hAnsi="仿宋_GB2312" w:eastAsia="仿宋_GB2312" w:cs="仿宋_GB2312"/>
          <w:sz w:val="32"/>
          <w:szCs w:val="32"/>
        </w:rPr>
      </w:pPr>
    </w:p>
    <w:p>
      <w:pPr>
        <w:spacing w:line="600" w:lineRule="exact"/>
        <w:jc w:val="center"/>
        <w:outlineLvl w:val="9"/>
        <w:rPr>
          <w:rFonts w:hint="eastAsia" w:ascii="黑体" w:hAnsi="黑体" w:eastAsia="黑体"/>
          <w:color w:val="FF0000"/>
          <w:sz w:val="44"/>
          <w:szCs w:val="44"/>
        </w:rPr>
      </w:pPr>
      <w:r>
        <w:rPr>
          <w:rFonts w:hint="eastAsia" w:hAnsi="Times New Roman"/>
          <w:sz w:val="32"/>
          <w:szCs w:val="32"/>
        </w:rPr>
        <w:t>部门预算项目支出绩效自评表（2024年度）</w:t>
      </w:r>
    </w:p>
    <w:p>
      <w:pPr>
        <w:pStyle w:val="5"/>
        <w:rPr>
          <w:rFonts w:hint="eastAsia" w:ascii="仿宋_GB2312" w:eastAsia="仿宋_GB2312" w:cs="仿宋"/>
          <w:kern w:val="0"/>
          <w:sz w:val="32"/>
          <w:szCs w:val="32"/>
        </w:rPr>
      </w:pPr>
    </w:p>
    <w:p>
      <w:pPr>
        <w:pStyle w:val="5"/>
        <w:rPr>
          <w:rFonts w:hint="eastAsia" w:ascii="仿宋_GB2312" w:eastAsia="仿宋_GB2312" w:cs="仿宋"/>
          <w:kern w:val="0"/>
          <w:sz w:val="32"/>
          <w:szCs w:val="32"/>
        </w:rPr>
      </w:pPr>
      <w:r>
        <w:rPr>
          <w:rFonts w:ascii="Times New Roman"/>
          <w:sz w:val="32"/>
          <w:highlight w:val="none"/>
          <w:lang w:val="zh-CN"/>
        </w:rPr>
        <w:drawing>
          <wp:inline distT="0" distB="0" distL="114300" distR="114300">
            <wp:extent cx="5272405" cy="6297295"/>
            <wp:effectExtent l="0" t="0" r="4445" b="8255"/>
            <wp:docPr id="8" name="图片 8" descr="6.9附件3.信访局单位部门预算项目支出绩效自评表-业务费_自评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6.9附件3.信访局单位部门预算项目支出绩效自评表-业务费_自评表"/>
                    <pic:cNvPicPr>
                      <a:picLocks noChangeAspect="1"/>
                    </pic:cNvPicPr>
                  </pic:nvPicPr>
                  <pic:blipFill>
                    <a:blip r:embed="rId13"/>
                    <a:stretch>
                      <a:fillRect/>
                    </a:stretch>
                  </pic:blipFill>
                  <pic:spPr>
                    <a:xfrm>
                      <a:off x="0" y="0"/>
                      <a:ext cx="5272405" cy="6297295"/>
                    </a:xfrm>
                    <a:prstGeom prst="rect">
                      <a:avLst/>
                    </a:prstGeom>
                    <a:noFill/>
                    <a:ln>
                      <a:noFill/>
                    </a:ln>
                  </pic:spPr>
                </pic:pic>
              </a:graphicData>
            </a:graphic>
          </wp:inline>
        </w:drawing>
      </w:r>
    </w:p>
    <w:p>
      <w:pPr>
        <w:pStyle w:val="5"/>
        <w:rPr>
          <w:rFonts w:hint="eastAsia" w:ascii="仿宋_GB2312" w:eastAsia="仿宋_GB2312" w:cs="仿宋"/>
          <w:kern w:val="0"/>
          <w:sz w:val="32"/>
          <w:szCs w:val="32"/>
        </w:rPr>
      </w:pPr>
    </w:p>
    <w:p>
      <w:pPr>
        <w:pStyle w:val="5"/>
        <w:rPr>
          <w:rFonts w:hint="eastAsia" w:ascii="仿宋_GB2312" w:eastAsia="仿宋_GB2312" w:cs="仿宋"/>
          <w:kern w:val="0"/>
          <w:sz w:val="32"/>
          <w:szCs w:val="32"/>
        </w:rPr>
      </w:pPr>
    </w:p>
    <w:p>
      <w:pPr>
        <w:pStyle w:val="5"/>
        <w:rPr>
          <w:rFonts w:hint="eastAsia" w:ascii="仿宋_GB2312" w:eastAsia="仿宋_GB2312" w:cs="仿宋"/>
          <w:kern w:val="0"/>
          <w:sz w:val="32"/>
          <w:szCs w:val="32"/>
        </w:rPr>
      </w:pPr>
    </w:p>
    <w:p>
      <w:pPr>
        <w:pStyle w:val="5"/>
        <w:rPr>
          <w:rFonts w:hint="eastAsia" w:ascii="仿宋_GB2312" w:eastAsia="仿宋_GB2312" w:cs="仿宋"/>
          <w:kern w:val="0"/>
          <w:sz w:val="32"/>
          <w:szCs w:val="32"/>
        </w:rPr>
      </w:pPr>
    </w:p>
    <w:p>
      <w:pPr>
        <w:pStyle w:val="5"/>
        <w:rPr>
          <w:rFonts w:hint="eastAsia" w:ascii="仿宋_GB2312" w:eastAsia="仿宋_GB2312" w:cs="仿宋"/>
          <w:kern w:val="0"/>
          <w:sz w:val="32"/>
          <w:szCs w:val="32"/>
        </w:rPr>
      </w:pPr>
    </w:p>
    <w:p>
      <w:pPr>
        <w:rPr>
          <w:rFonts w:hint="eastAsia" w:ascii="黑体" w:hAnsi="黑体" w:eastAsia="黑体"/>
          <w:sz w:val="44"/>
          <w:szCs w:val="44"/>
        </w:rPr>
      </w:pPr>
    </w:p>
    <w:p>
      <w:pPr>
        <w:numPr>
          <w:ilvl w:val="0"/>
          <w:numId w:val="5"/>
        </w:numPr>
        <w:spacing w:line="600" w:lineRule="exact"/>
        <w:jc w:val="center"/>
        <w:outlineLvl w:val="0"/>
        <w:rPr>
          <w:rStyle w:val="18"/>
          <w:rFonts w:hint="eastAsia" w:ascii="黑体" w:hAnsi="黑体" w:eastAsia="黑体"/>
          <w:b w:val="0"/>
          <w:sz w:val="40"/>
          <w:szCs w:val="40"/>
        </w:rPr>
      </w:pPr>
      <w:bookmarkStart w:id="19" w:name="_Toc12686"/>
      <w:r>
        <w:rPr>
          <w:rStyle w:val="18"/>
          <w:rFonts w:hint="eastAsia" w:ascii="黑体" w:hAnsi="黑体" w:eastAsia="黑体"/>
          <w:b w:val="0"/>
          <w:sz w:val="40"/>
          <w:szCs w:val="40"/>
        </w:rPr>
        <w:t>附表</w:t>
      </w:r>
      <w:bookmarkEnd w:id="19"/>
    </w:p>
    <w:p>
      <w:pPr>
        <w:pStyle w:val="12"/>
        <w:rPr>
          <w:rFonts w:hint="eastAsia"/>
        </w:rPr>
      </w:pPr>
    </w:p>
    <w:p>
      <w:pPr>
        <w:pStyle w:val="3"/>
        <w:spacing w:before="0" w:after="0" w:line="240" w:lineRule="auto"/>
        <w:rPr>
          <w:rFonts w:hint="eastAsia" w:ascii="黑体" w:hAnsi="黑体" w:eastAsia="黑体" w:cs="黑体"/>
        </w:rPr>
      </w:pPr>
      <w:bookmarkStart w:id="20" w:name="_Toc3791"/>
      <w:r>
        <w:rPr>
          <w:rFonts w:hint="eastAsia" w:ascii="黑体" w:hAnsi="黑体" w:eastAsia="黑体" w:cs="黑体"/>
          <w:b w:val="0"/>
        </w:rPr>
        <w:t>一、收</w:t>
      </w:r>
      <w:r>
        <w:rPr>
          <w:rStyle w:val="19"/>
          <w:rFonts w:hint="eastAsia" w:ascii="黑体" w:hAnsi="黑体" w:eastAsia="黑体" w:cs="黑体"/>
          <w:b w:val="0"/>
          <w:bCs w:val="0"/>
        </w:rPr>
        <w:t>入支出决算总表</w:t>
      </w:r>
      <w:bookmarkEnd w:id="20"/>
    </w:p>
    <w:p>
      <w:pPr>
        <w:pStyle w:val="3"/>
        <w:spacing w:before="0" w:after="0" w:line="240" w:lineRule="auto"/>
        <w:rPr>
          <w:rFonts w:hint="eastAsia" w:ascii="黑体" w:hAnsi="黑体" w:eastAsia="黑体" w:cs="黑体"/>
        </w:rPr>
      </w:pPr>
      <w:bookmarkStart w:id="21" w:name="_Toc15396620"/>
      <w:bookmarkStart w:id="22" w:name="_Toc18588"/>
      <w:r>
        <w:rPr>
          <w:rFonts w:hint="eastAsia" w:ascii="黑体" w:hAnsi="黑体" w:eastAsia="黑体" w:cs="黑体"/>
          <w:b w:val="0"/>
        </w:rPr>
        <w:t>二、收</w:t>
      </w:r>
      <w:r>
        <w:rPr>
          <w:rStyle w:val="19"/>
          <w:rFonts w:hint="eastAsia" w:ascii="黑体" w:hAnsi="黑体" w:eastAsia="黑体" w:cs="黑体"/>
          <w:b w:val="0"/>
          <w:bCs w:val="0"/>
        </w:rPr>
        <w:t>入决算表</w:t>
      </w:r>
      <w:bookmarkEnd w:id="21"/>
      <w:bookmarkEnd w:id="22"/>
    </w:p>
    <w:p>
      <w:pPr>
        <w:pStyle w:val="3"/>
        <w:spacing w:before="0" w:after="0" w:line="240" w:lineRule="auto"/>
        <w:rPr>
          <w:rFonts w:hint="eastAsia" w:ascii="黑体" w:hAnsi="黑体" w:eastAsia="黑体" w:cs="黑体"/>
        </w:rPr>
      </w:pPr>
      <w:bookmarkStart w:id="23" w:name="_Toc15396621"/>
      <w:bookmarkStart w:id="24" w:name="_Toc20217"/>
      <w:r>
        <w:rPr>
          <w:rStyle w:val="19"/>
          <w:rFonts w:hint="eastAsia" w:ascii="黑体" w:hAnsi="黑体" w:eastAsia="黑体" w:cs="黑体"/>
          <w:b w:val="0"/>
          <w:bCs w:val="0"/>
        </w:rPr>
        <w:t>三、</w:t>
      </w:r>
      <w:r>
        <w:rPr>
          <w:rFonts w:hint="eastAsia" w:ascii="黑体" w:hAnsi="黑体" w:eastAsia="黑体" w:cs="黑体"/>
          <w:b w:val="0"/>
        </w:rPr>
        <w:t>支</w:t>
      </w:r>
      <w:r>
        <w:rPr>
          <w:rStyle w:val="19"/>
          <w:rFonts w:hint="eastAsia" w:ascii="黑体" w:hAnsi="黑体" w:eastAsia="黑体" w:cs="黑体"/>
          <w:b w:val="0"/>
          <w:bCs w:val="0"/>
        </w:rPr>
        <w:t>出决算表</w:t>
      </w:r>
      <w:bookmarkEnd w:id="23"/>
      <w:bookmarkEnd w:id="24"/>
    </w:p>
    <w:p>
      <w:pPr>
        <w:pStyle w:val="3"/>
        <w:spacing w:before="0" w:after="0" w:line="240" w:lineRule="auto"/>
        <w:rPr>
          <w:rFonts w:hint="eastAsia" w:ascii="黑体" w:hAnsi="黑体" w:eastAsia="黑体" w:cs="黑体"/>
          <w:b w:val="0"/>
        </w:rPr>
      </w:pPr>
      <w:bookmarkStart w:id="25" w:name="_Toc26444"/>
      <w:bookmarkStart w:id="26" w:name="_Toc15396622"/>
      <w:r>
        <w:rPr>
          <w:rStyle w:val="19"/>
          <w:rFonts w:hint="eastAsia" w:ascii="黑体" w:hAnsi="黑体" w:eastAsia="黑体" w:cs="黑体"/>
          <w:b w:val="0"/>
          <w:bCs w:val="0"/>
        </w:rPr>
        <w:t>四、</w:t>
      </w:r>
      <w:r>
        <w:rPr>
          <w:rFonts w:hint="eastAsia" w:ascii="黑体" w:hAnsi="黑体" w:eastAsia="黑体" w:cs="黑体"/>
          <w:b w:val="0"/>
        </w:rPr>
        <w:t>财</w:t>
      </w:r>
      <w:r>
        <w:rPr>
          <w:rStyle w:val="19"/>
          <w:rFonts w:hint="eastAsia" w:ascii="黑体" w:hAnsi="黑体" w:eastAsia="黑体" w:cs="黑体"/>
          <w:b w:val="0"/>
          <w:bCs w:val="0"/>
        </w:rPr>
        <w:t>政拨款收入支出决算总表</w:t>
      </w:r>
      <w:bookmarkEnd w:id="25"/>
      <w:bookmarkEnd w:id="26"/>
    </w:p>
    <w:p>
      <w:pPr>
        <w:pStyle w:val="3"/>
        <w:spacing w:before="0" w:after="0" w:line="240" w:lineRule="auto"/>
        <w:rPr>
          <w:rStyle w:val="19"/>
          <w:rFonts w:hint="eastAsia" w:ascii="黑体" w:hAnsi="黑体" w:eastAsia="黑体" w:cs="黑体"/>
          <w:b w:val="0"/>
          <w:bCs w:val="0"/>
        </w:rPr>
      </w:pPr>
      <w:bookmarkStart w:id="27" w:name="_Toc2051"/>
      <w:bookmarkStart w:id="28" w:name="_Toc15396623"/>
      <w:r>
        <w:rPr>
          <w:rStyle w:val="19"/>
          <w:rFonts w:hint="eastAsia" w:ascii="黑体" w:hAnsi="黑体" w:eastAsia="黑体" w:cs="黑体"/>
          <w:b w:val="0"/>
          <w:bCs w:val="0"/>
        </w:rPr>
        <w:t>五、</w:t>
      </w:r>
      <w:r>
        <w:rPr>
          <w:rFonts w:hint="eastAsia" w:ascii="黑体" w:hAnsi="黑体" w:eastAsia="黑体" w:cs="黑体"/>
          <w:b w:val="0"/>
        </w:rPr>
        <w:t>财</w:t>
      </w:r>
      <w:r>
        <w:rPr>
          <w:rStyle w:val="19"/>
          <w:rFonts w:hint="eastAsia" w:ascii="黑体" w:hAnsi="黑体" w:eastAsia="黑体" w:cs="黑体"/>
          <w:b w:val="0"/>
          <w:bCs w:val="0"/>
        </w:rPr>
        <w:t>政拨款支出决算明细表</w:t>
      </w:r>
      <w:bookmarkEnd w:id="27"/>
      <w:bookmarkEnd w:id="28"/>
      <w:bookmarkStart w:id="29" w:name="_Toc15396624"/>
    </w:p>
    <w:p>
      <w:pPr>
        <w:pStyle w:val="3"/>
        <w:spacing w:before="0" w:after="0" w:line="240" w:lineRule="auto"/>
        <w:rPr>
          <w:rFonts w:hint="eastAsia" w:ascii="黑体" w:hAnsi="黑体" w:eastAsia="黑体" w:cs="黑体"/>
        </w:rPr>
      </w:pPr>
      <w:bookmarkStart w:id="30" w:name="_Toc25849"/>
      <w:r>
        <w:rPr>
          <w:rStyle w:val="19"/>
          <w:rFonts w:hint="eastAsia" w:ascii="黑体" w:hAnsi="黑体" w:eastAsia="黑体" w:cs="黑体"/>
          <w:b w:val="0"/>
          <w:bCs w:val="0"/>
        </w:rPr>
        <w:t>六、</w:t>
      </w:r>
      <w:r>
        <w:rPr>
          <w:rFonts w:hint="eastAsia" w:ascii="黑体" w:hAnsi="黑体" w:eastAsia="黑体" w:cs="黑体"/>
          <w:b w:val="0"/>
        </w:rPr>
        <w:t>一</w:t>
      </w:r>
      <w:r>
        <w:rPr>
          <w:rStyle w:val="19"/>
          <w:rFonts w:hint="eastAsia" w:ascii="黑体" w:hAnsi="黑体" w:eastAsia="黑体" w:cs="黑体"/>
          <w:b w:val="0"/>
          <w:bCs w:val="0"/>
        </w:rPr>
        <w:t>般公共预算财政拨款支出决算表</w:t>
      </w:r>
      <w:bookmarkEnd w:id="29"/>
      <w:bookmarkEnd w:id="30"/>
    </w:p>
    <w:p>
      <w:pPr>
        <w:pStyle w:val="3"/>
        <w:spacing w:before="0" w:after="0" w:line="240" w:lineRule="auto"/>
        <w:rPr>
          <w:rFonts w:hint="eastAsia" w:ascii="黑体" w:hAnsi="黑体" w:eastAsia="黑体" w:cs="黑体"/>
        </w:rPr>
      </w:pPr>
      <w:bookmarkStart w:id="31" w:name="_Toc23604"/>
      <w:bookmarkStart w:id="32" w:name="_Toc15396625"/>
      <w:r>
        <w:rPr>
          <w:rStyle w:val="19"/>
          <w:rFonts w:hint="eastAsia" w:ascii="黑体" w:hAnsi="黑体" w:eastAsia="黑体" w:cs="黑体"/>
          <w:b w:val="0"/>
          <w:bCs w:val="0"/>
        </w:rPr>
        <w:t>七、</w:t>
      </w:r>
      <w:r>
        <w:rPr>
          <w:rFonts w:hint="eastAsia" w:ascii="黑体" w:hAnsi="黑体" w:eastAsia="黑体" w:cs="黑体"/>
          <w:b w:val="0"/>
        </w:rPr>
        <w:t>一</w:t>
      </w:r>
      <w:r>
        <w:rPr>
          <w:rStyle w:val="19"/>
          <w:rFonts w:hint="eastAsia" w:ascii="黑体" w:hAnsi="黑体" w:eastAsia="黑体" w:cs="黑体"/>
          <w:b w:val="0"/>
          <w:bCs w:val="0"/>
        </w:rPr>
        <w:t>般公共预算财政拨款支出决算明细表</w:t>
      </w:r>
      <w:bookmarkEnd w:id="31"/>
      <w:bookmarkEnd w:id="32"/>
    </w:p>
    <w:p>
      <w:pPr>
        <w:pStyle w:val="3"/>
        <w:spacing w:before="0" w:after="0" w:line="240" w:lineRule="auto"/>
        <w:rPr>
          <w:rFonts w:hint="eastAsia" w:ascii="黑体" w:hAnsi="黑体" w:eastAsia="黑体" w:cs="黑体"/>
        </w:rPr>
      </w:pPr>
      <w:bookmarkStart w:id="33" w:name="_Toc10720"/>
      <w:bookmarkStart w:id="34" w:name="_Toc15396626"/>
      <w:r>
        <w:rPr>
          <w:rStyle w:val="19"/>
          <w:rFonts w:hint="eastAsia" w:ascii="黑体" w:hAnsi="黑体" w:eastAsia="黑体" w:cs="黑体"/>
          <w:b w:val="0"/>
          <w:bCs w:val="0"/>
        </w:rPr>
        <w:t>八、</w:t>
      </w:r>
      <w:r>
        <w:rPr>
          <w:rFonts w:hint="eastAsia" w:ascii="黑体" w:hAnsi="黑体" w:eastAsia="黑体" w:cs="黑体"/>
          <w:b w:val="0"/>
        </w:rPr>
        <w:t>一</w:t>
      </w:r>
      <w:r>
        <w:rPr>
          <w:rStyle w:val="19"/>
          <w:rFonts w:hint="eastAsia" w:ascii="黑体" w:hAnsi="黑体" w:eastAsia="黑体" w:cs="黑体"/>
          <w:b w:val="0"/>
          <w:bCs w:val="0"/>
        </w:rPr>
        <w:t>般公共预算财政拨款基本支出决算表</w:t>
      </w:r>
      <w:bookmarkEnd w:id="33"/>
      <w:bookmarkEnd w:id="34"/>
    </w:p>
    <w:p>
      <w:pPr>
        <w:pStyle w:val="3"/>
        <w:spacing w:before="0" w:after="0" w:line="240" w:lineRule="auto"/>
        <w:rPr>
          <w:rFonts w:hint="eastAsia" w:ascii="黑体" w:hAnsi="黑体" w:eastAsia="黑体" w:cs="黑体"/>
        </w:rPr>
      </w:pPr>
      <w:bookmarkStart w:id="35" w:name="_Toc15396627"/>
      <w:bookmarkStart w:id="36" w:name="_Toc19892"/>
      <w:r>
        <w:rPr>
          <w:rStyle w:val="19"/>
          <w:rFonts w:hint="eastAsia" w:ascii="黑体" w:hAnsi="黑体" w:eastAsia="黑体" w:cs="黑体"/>
          <w:b w:val="0"/>
          <w:bCs w:val="0"/>
        </w:rPr>
        <w:t>九、</w:t>
      </w:r>
      <w:r>
        <w:rPr>
          <w:rFonts w:hint="eastAsia" w:ascii="黑体" w:hAnsi="黑体" w:eastAsia="黑体" w:cs="黑体"/>
          <w:b w:val="0"/>
        </w:rPr>
        <w:t>一</w:t>
      </w:r>
      <w:r>
        <w:rPr>
          <w:rStyle w:val="19"/>
          <w:rFonts w:hint="eastAsia" w:ascii="黑体" w:hAnsi="黑体" w:eastAsia="黑体" w:cs="黑体"/>
          <w:b w:val="0"/>
          <w:bCs w:val="0"/>
        </w:rPr>
        <w:t>般公共预算财政拨款项目支出决算表</w:t>
      </w:r>
      <w:bookmarkEnd w:id="35"/>
      <w:bookmarkEnd w:id="36"/>
    </w:p>
    <w:p>
      <w:pPr>
        <w:pStyle w:val="3"/>
        <w:spacing w:before="0" w:after="0" w:line="240" w:lineRule="auto"/>
        <w:rPr>
          <w:rFonts w:hint="eastAsia" w:ascii="黑体" w:hAnsi="黑体" w:eastAsia="黑体" w:cs="黑体"/>
        </w:rPr>
      </w:pPr>
      <w:bookmarkStart w:id="37" w:name="_Toc15396628"/>
      <w:bookmarkStart w:id="38" w:name="_Toc1757"/>
      <w:r>
        <w:rPr>
          <w:rStyle w:val="19"/>
          <w:rFonts w:hint="eastAsia" w:ascii="黑体" w:hAnsi="黑体" w:eastAsia="黑体" w:cs="黑体"/>
          <w:b w:val="0"/>
          <w:bCs w:val="0"/>
        </w:rPr>
        <w:t>十、</w:t>
      </w:r>
      <w:bookmarkEnd w:id="37"/>
      <w:r>
        <w:rPr>
          <w:rFonts w:hint="eastAsia" w:ascii="黑体" w:hAnsi="黑体" w:eastAsia="黑体" w:cs="黑体"/>
          <w:b w:val="0"/>
        </w:rPr>
        <w:t>政</w:t>
      </w:r>
      <w:r>
        <w:rPr>
          <w:rStyle w:val="19"/>
          <w:rFonts w:hint="eastAsia" w:ascii="黑体" w:hAnsi="黑体" w:eastAsia="黑体" w:cs="黑体"/>
          <w:b w:val="0"/>
          <w:bCs w:val="0"/>
        </w:rPr>
        <w:t>府性基金预算财政拨款收入支出决算表</w:t>
      </w:r>
      <w:bookmarkEnd w:id="38"/>
    </w:p>
    <w:p>
      <w:pPr>
        <w:pStyle w:val="3"/>
        <w:spacing w:before="0" w:after="0" w:line="240" w:lineRule="auto"/>
        <w:rPr>
          <w:rFonts w:hint="eastAsia" w:ascii="黑体" w:hAnsi="黑体" w:eastAsia="黑体" w:cs="黑体"/>
        </w:rPr>
      </w:pPr>
      <w:bookmarkStart w:id="39" w:name="_Toc15396629"/>
      <w:bookmarkStart w:id="40" w:name="_Toc19426"/>
      <w:r>
        <w:rPr>
          <w:rStyle w:val="19"/>
          <w:rFonts w:hint="eastAsia" w:ascii="黑体" w:hAnsi="黑体" w:eastAsia="黑体" w:cs="黑体"/>
          <w:b w:val="0"/>
          <w:bCs w:val="0"/>
        </w:rPr>
        <w:t>十一、</w:t>
      </w:r>
      <w:bookmarkEnd w:id="39"/>
      <w:r>
        <w:rPr>
          <w:rFonts w:hint="eastAsia" w:ascii="黑体" w:hAnsi="黑体" w:eastAsia="黑体" w:cs="黑体"/>
          <w:b w:val="0"/>
        </w:rPr>
        <w:t>国</w:t>
      </w:r>
      <w:r>
        <w:rPr>
          <w:rStyle w:val="19"/>
          <w:rFonts w:hint="eastAsia" w:ascii="黑体" w:hAnsi="黑体" w:eastAsia="黑体" w:cs="黑体"/>
          <w:b w:val="0"/>
          <w:bCs w:val="0"/>
        </w:rPr>
        <w:t>有资本经营预算财政拨款收入支出决算表</w:t>
      </w:r>
      <w:bookmarkEnd w:id="40"/>
    </w:p>
    <w:p>
      <w:pPr>
        <w:pStyle w:val="3"/>
        <w:spacing w:before="0" w:after="0" w:line="240" w:lineRule="auto"/>
        <w:rPr>
          <w:rFonts w:hint="eastAsia" w:ascii="黑体" w:hAnsi="黑体" w:eastAsia="黑体" w:cs="黑体"/>
        </w:rPr>
      </w:pPr>
      <w:bookmarkStart w:id="41" w:name="_Toc15396630"/>
      <w:bookmarkStart w:id="42" w:name="_Toc20479"/>
      <w:r>
        <w:rPr>
          <w:rStyle w:val="19"/>
          <w:rFonts w:hint="eastAsia" w:ascii="黑体" w:hAnsi="黑体" w:eastAsia="黑体" w:cs="黑体"/>
          <w:b w:val="0"/>
          <w:bCs w:val="0"/>
        </w:rPr>
        <w:t>十二、</w:t>
      </w:r>
      <w:bookmarkEnd w:id="41"/>
      <w:r>
        <w:rPr>
          <w:rStyle w:val="19"/>
          <w:rFonts w:hint="eastAsia" w:ascii="黑体" w:hAnsi="黑体" w:eastAsia="黑体" w:cs="黑体"/>
          <w:b w:val="0"/>
          <w:bCs w:val="0"/>
        </w:rPr>
        <w:t>国有资本经营预算财政拨款支出决算表</w:t>
      </w:r>
      <w:bookmarkEnd w:id="42"/>
    </w:p>
    <w:p>
      <w:pPr>
        <w:pStyle w:val="3"/>
        <w:spacing w:before="0" w:after="0" w:line="240" w:lineRule="auto"/>
        <w:rPr>
          <w:rStyle w:val="19"/>
          <w:rFonts w:hint="eastAsia" w:ascii="黑体" w:hAnsi="黑体" w:eastAsia="黑体" w:cs="黑体"/>
          <w:b w:val="0"/>
          <w:bCs w:val="0"/>
        </w:rPr>
      </w:pPr>
      <w:bookmarkStart w:id="43" w:name="_Toc15396631"/>
      <w:bookmarkStart w:id="44" w:name="_Toc7190"/>
      <w:r>
        <w:rPr>
          <w:rStyle w:val="19"/>
          <w:rFonts w:hint="eastAsia" w:ascii="黑体" w:hAnsi="黑体" w:eastAsia="黑体" w:cs="黑体"/>
          <w:b w:val="0"/>
          <w:bCs w:val="0"/>
        </w:rPr>
        <w:t>十三、</w:t>
      </w:r>
      <w:bookmarkEnd w:id="43"/>
      <w:r>
        <w:rPr>
          <w:rStyle w:val="19"/>
          <w:rFonts w:hint="eastAsia" w:ascii="黑体" w:hAnsi="黑体" w:eastAsia="黑体" w:cs="黑体"/>
          <w:b w:val="0"/>
          <w:bCs w:val="0"/>
        </w:rPr>
        <w:t>财政拨款“三公”经费支出决算表</w:t>
      </w:r>
      <w:bookmarkEnd w:id="44"/>
    </w:p>
    <w:p/>
    <w:sectPr>
      <w:footerReference r:id="rId4" w:type="default"/>
      <w:pgSz w:w="11906" w:h="16838"/>
      <w:pgMar w:top="1440" w:right="1800" w:bottom="1440" w:left="180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00CB93-454F-4C1A-8A99-B8B4689FB4C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0799742-BD3C-4280-A347-F3D2712540D8}"/>
  </w:font>
  <w:font w:name="Cambria">
    <w:panose1 w:val="02040503050406030204"/>
    <w:charset w:val="00"/>
    <w:family w:val="roman"/>
    <w:pitch w:val="default"/>
    <w:sig w:usb0="E00002FF" w:usb1="400004FF" w:usb2="00000000" w:usb3="00000000" w:csb0="2000019F" w:csb1="00000000"/>
    <w:embedRegular r:id="rId3" w:fontKey="{6BF4DD7B-6D55-4384-9666-51899C293704}"/>
  </w:font>
  <w:font w:name="仿宋_GB2312">
    <w:panose1 w:val="02010609030101010101"/>
    <w:charset w:val="86"/>
    <w:family w:val="modern"/>
    <w:pitch w:val="default"/>
    <w:sig w:usb0="00000001" w:usb1="080E0000" w:usb2="00000000" w:usb3="00000000" w:csb0="00040000" w:csb1="00000000"/>
    <w:embedRegular r:id="rId4" w:fontKey="{54CF013C-0491-4E9D-B521-D621C77A034A}"/>
  </w:font>
  <w:font w:name="仿宋">
    <w:panose1 w:val="02010609060101010101"/>
    <w:charset w:val="86"/>
    <w:family w:val="modern"/>
    <w:pitch w:val="default"/>
    <w:sig w:usb0="800002BF" w:usb1="38CF7CFA" w:usb2="00000016" w:usb3="00000000" w:csb0="00040001" w:csb1="00000000"/>
    <w:embedRegular r:id="rId5" w:fontKey="{2C9CC658-0306-4B27-95DE-30628E048161}"/>
  </w:font>
  <w:font w:name="Liberation Sans">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00000000000000000"/>
    <w:charset w:val="86"/>
    <w:family w:val="script"/>
    <w:pitch w:val="default"/>
    <w:sig w:usb0="A00002BF" w:usb1="184F6CFA" w:usb2="00000012" w:usb3="00000000" w:csb0="00040001" w:csb1="00000000"/>
    <w:embedRegular r:id="rId6" w:fontKey="{ADA9F77D-AE1E-48D7-B92D-CDCCA6A410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K4dBNvdAQAAvgMAAA4AAAAAAAAA&#10;AQAgAAAAHgEAAGRycy9lMm9Eb2MueG1sUEsFBgAAAAAGAAYAWQEAAG0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HHO/LLdAQAAvwMAAA4AAAAAAAAA&#10;AQAgAAAAHgEAAGRycy9lMm9Eb2MueG1sUEsFBgAAAAAGAAYAWQEAAG0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610CE2"/>
    <w:multiLevelType w:val="singleLevel"/>
    <w:tmpl w:val="AD610CE2"/>
    <w:lvl w:ilvl="0" w:tentative="0">
      <w:start w:val="5"/>
      <w:numFmt w:val="chineseCounting"/>
      <w:suff w:val="space"/>
      <w:lvlText w:val="第%1部分"/>
      <w:lvlJc w:val="left"/>
      <w:rPr>
        <w:rFonts w:hint="eastAsia"/>
      </w:rPr>
    </w:lvl>
  </w:abstractNum>
  <w:abstractNum w:abstractNumId="1">
    <w:nsid w:val="B8BE96EC"/>
    <w:multiLevelType w:val="singleLevel"/>
    <w:tmpl w:val="B8BE96EC"/>
    <w:lvl w:ilvl="0" w:tentative="0">
      <w:start w:val="1"/>
      <w:numFmt w:val="decimalEnclosedCircleChinese"/>
      <w:suff w:val="nothing"/>
      <w:lvlText w:val="%1　"/>
      <w:lvlJc w:val="left"/>
      <w:pPr>
        <w:ind w:left="0" w:firstLine="400"/>
      </w:pPr>
      <w:rPr>
        <w:rFonts w:hint="eastAsia"/>
        <w:sz w:val="32"/>
        <w:szCs w:val="32"/>
      </w:rPr>
    </w:lvl>
  </w:abstractNum>
  <w:abstractNum w:abstractNumId="2">
    <w:nsid w:val="CBCBEC00"/>
    <w:multiLevelType w:val="singleLevel"/>
    <w:tmpl w:val="CBCBEC00"/>
    <w:lvl w:ilvl="0" w:tentative="0">
      <w:start w:val="1"/>
      <w:numFmt w:val="decimal"/>
      <w:suff w:val="nothing"/>
      <w:lvlText w:val="%1．"/>
      <w:lvlJc w:val="left"/>
      <w:pPr>
        <w:ind w:left="0" w:firstLine="400"/>
      </w:pPr>
      <w:rPr>
        <w:rFonts w:hint="default"/>
      </w:r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abstractNum w:abstractNumId="4">
    <w:nsid w:val="39B7F33D"/>
    <w:multiLevelType w:val="singleLevel"/>
    <w:tmpl w:val="39B7F33D"/>
    <w:lvl w:ilvl="0" w:tentative="0">
      <w:start w:val="1"/>
      <w:numFmt w:val="decimal"/>
      <w:suff w:val="nothing"/>
      <w:lvlText w:val="%1．"/>
      <w:lvlJc w:val="left"/>
      <w:pPr>
        <w:ind w:left="0" w:firstLine="400"/>
      </w:pPr>
      <w:rPr>
        <w:rFont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0"/>
  <w:displayVerticalDrawingGridEvery w:val="0"/>
  <w:doNotUseMarginsForDrawingGridOrigin w:val="1"/>
  <w:drawingGridHorizontalOrigin w:val="0"/>
  <w:drawingGridVerticalOrigin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94A"/>
    <w:rsid w:val="000B47E9"/>
    <w:rsid w:val="00163E81"/>
    <w:rsid w:val="00401D78"/>
    <w:rsid w:val="0051662B"/>
    <w:rsid w:val="00533013"/>
    <w:rsid w:val="005E66AB"/>
    <w:rsid w:val="00AC39A7"/>
    <w:rsid w:val="00D0394A"/>
    <w:rsid w:val="00DD080E"/>
    <w:rsid w:val="0527127C"/>
    <w:rsid w:val="05CC64B2"/>
    <w:rsid w:val="078B725F"/>
    <w:rsid w:val="082C5D12"/>
    <w:rsid w:val="09BA7D80"/>
    <w:rsid w:val="0B3C184C"/>
    <w:rsid w:val="0BB43C70"/>
    <w:rsid w:val="0C82189F"/>
    <w:rsid w:val="0E1704E7"/>
    <w:rsid w:val="102D085E"/>
    <w:rsid w:val="1147169F"/>
    <w:rsid w:val="125534D9"/>
    <w:rsid w:val="14725642"/>
    <w:rsid w:val="16C07874"/>
    <w:rsid w:val="1A2A5208"/>
    <w:rsid w:val="27440052"/>
    <w:rsid w:val="2AD9557C"/>
    <w:rsid w:val="2C57313B"/>
    <w:rsid w:val="2C5D5965"/>
    <w:rsid w:val="2E741D7A"/>
    <w:rsid w:val="2E816B53"/>
    <w:rsid w:val="31737DFE"/>
    <w:rsid w:val="38860CF5"/>
    <w:rsid w:val="3C9C6E2A"/>
    <w:rsid w:val="3FC02CC2"/>
    <w:rsid w:val="403A7797"/>
    <w:rsid w:val="42660CE6"/>
    <w:rsid w:val="445006F6"/>
    <w:rsid w:val="476B5A18"/>
    <w:rsid w:val="4B1F0AA9"/>
    <w:rsid w:val="4D01600E"/>
    <w:rsid w:val="4D3C7046"/>
    <w:rsid w:val="508F1B83"/>
    <w:rsid w:val="5AD06BE9"/>
    <w:rsid w:val="603075AC"/>
    <w:rsid w:val="615269E1"/>
    <w:rsid w:val="621F0405"/>
    <w:rsid w:val="69B0782E"/>
    <w:rsid w:val="6F7A136C"/>
    <w:rsid w:val="702F2114"/>
    <w:rsid w:val="71574B9B"/>
    <w:rsid w:val="716D13BA"/>
    <w:rsid w:val="730808DB"/>
    <w:rsid w:val="741962D5"/>
    <w:rsid w:val="7499437B"/>
    <w:rsid w:val="74C33F75"/>
    <w:rsid w:val="75112019"/>
    <w:rsid w:val="761C1BBB"/>
    <w:rsid w:val="780201A5"/>
    <w:rsid w:val="783511FE"/>
    <w:rsid w:val="7BFFE41D"/>
    <w:rsid w:val="7CCD16AD"/>
    <w:rsid w:val="7F6D58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6">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caption"/>
    <w:basedOn w:val="1"/>
    <w:next w:val="1"/>
    <w:qFormat/>
    <w:uiPriority w:val="0"/>
    <w:pPr>
      <w:widowControl w:val="0"/>
      <w:suppressLineNumbers/>
      <w:suppressAutoHyphens/>
      <w:spacing w:before="120" w:after="120"/>
    </w:pPr>
    <w:rPr>
      <w:i/>
      <w:iCs/>
      <w:sz w:val="24"/>
      <w:szCs w:val="24"/>
    </w:rPr>
  </w:style>
  <w:style w:type="paragraph" w:styleId="5">
    <w:name w:val="Body Text"/>
    <w:basedOn w:val="1"/>
    <w:qFormat/>
    <w:uiPriority w:val="0"/>
    <w:pPr>
      <w:spacing w:before="0" w:after="140" w:line="276" w:lineRule="auto"/>
    </w:p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next w:val="1"/>
    <w:unhideWhenUsed/>
    <w:qFormat/>
    <w:uiPriority w:val="99"/>
    <w:pPr>
      <w:ind w:firstLine="420" w:firstLineChars="20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List"/>
    <w:basedOn w:val="5"/>
    <w:qFormat/>
    <w:uiPriority w:val="0"/>
  </w:style>
  <w:style w:type="paragraph" w:styleId="12">
    <w:name w:val="footnote text"/>
    <w:basedOn w:val="1"/>
    <w:next w:val="7"/>
    <w:semiHidden/>
    <w:qFormat/>
    <w:uiPriority w:val="0"/>
    <w:pPr>
      <w:snapToGrid w:val="0"/>
      <w:jc w:val="left"/>
    </w:pPr>
    <w:rPr>
      <w:sz w:val="18"/>
      <w:szCs w:val="1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7">
    <w:name w:val="Strong"/>
    <w:basedOn w:val="16"/>
    <w:qFormat/>
    <w:uiPriority w:val="99"/>
    <w:rPr>
      <w:b/>
    </w:rPr>
  </w:style>
  <w:style w:type="character" w:customStyle="1" w:styleId="18">
    <w:name w:val="标题 1 Char"/>
    <w:basedOn w:val="16"/>
    <w:link w:val="2"/>
    <w:qFormat/>
    <w:uiPriority w:val="9"/>
    <w:rPr>
      <w:b/>
      <w:bCs/>
      <w:kern w:val="44"/>
      <w:sz w:val="44"/>
      <w:szCs w:val="44"/>
    </w:rPr>
  </w:style>
  <w:style w:type="character" w:customStyle="1" w:styleId="19">
    <w:name w:val="标题 2 Char"/>
    <w:basedOn w:val="16"/>
    <w:link w:val="3"/>
    <w:qFormat/>
    <w:uiPriority w:val="9"/>
    <w:rPr>
      <w:rFonts w:ascii="Cambria" w:hAnsi="Cambria" w:eastAsia="宋体" w:cs="Times New Roman"/>
      <w:b/>
      <w:bCs/>
      <w:sz w:val="32"/>
      <w:szCs w:val="32"/>
    </w:rPr>
  </w:style>
  <w:style w:type="character" w:customStyle="1" w:styleId="20">
    <w:name w:val="页脚 Char"/>
    <w:basedOn w:val="16"/>
    <w:link w:val="8"/>
    <w:qFormat/>
    <w:uiPriority w:val="0"/>
    <w:rPr>
      <w:rFonts w:ascii="Calibri" w:hAnsi="Calibri"/>
      <w:kern w:val="2"/>
      <w:sz w:val="18"/>
      <w:szCs w:val="18"/>
    </w:rPr>
  </w:style>
  <w:style w:type="character" w:customStyle="1" w:styleId="21">
    <w:name w:val="页眉 Char"/>
    <w:basedOn w:val="16"/>
    <w:link w:val="9"/>
    <w:qFormat/>
    <w:uiPriority w:val="0"/>
    <w:rPr>
      <w:rFonts w:ascii="Calibri" w:hAnsi="Calibri"/>
      <w:kern w:val="2"/>
      <w:sz w:val="18"/>
      <w:szCs w:val="18"/>
    </w:rPr>
  </w:style>
  <w:style w:type="character" w:customStyle="1" w:styleId="22">
    <w:name w:val="默认段落字体1"/>
    <w:qFormat/>
    <w:uiPriority w:val="0"/>
  </w:style>
  <w:style w:type="paragraph" w:customStyle="1" w:styleId="23">
    <w:name w:val="Heading"/>
    <w:basedOn w:val="1"/>
    <w:next w:val="5"/>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24">
    <w:name w:val="Index"/>
    <w:basedOn w:val="1"/>
    <w:qFormat/>
    <w:uiPriority w:val="0"/>
    <w:pPr>
      <w:widowControl w:val="0"/>
      <w:suppressLineNumbers/>
      <w:suppressAutoHyphens/>
    </w:pPr>
  </w:style>
  <w:style w:type="paragraph" w:styleId="25">
    <w:name w:val="List Paragraph"/>
    <w:basedOn w:val="1"/>
    <w:qFormat/>
    <w:uiPriority w:val="34"/>
    <w:pPr>
      <w:ind w:firstLine="420" w:firstLineChars="200"/>
    </w:p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7">
    <w:name w:val="正文-公1"/>
    <w:basedOn w:val="28"/>
    <w:next w:val="1"/>
    <w:qFormat/>
    <w:uiPriority w:val="0"/>
    <w:pPr>
      <w:ind w:firstLine="200" w:firstLineChars="200"/>
    </w:pPr>
  </w:style>
  <w:style w:type="paragraph" w:customStyle="1" w:styleId="2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7"/>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24&#24180;&#20915;&#31639;&#20844;&#24320;\&#24066;&#20013;&#21306;\&#20915;&#31639;&#20844;&#24320;&#38468;&#22270;(&#27169;&#26495;)&#20165;&#20379;&#21442;&#3277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24&#24180;&#20915;&#31639;&#20844;&#24320;\&#24066;&#20013;&#21306;\&#20915;&#31639;&#20844;&#24320;&#38468;&#22270;(&#27169;&#26495;)&#20165;&#20379;&#21442;&#3277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esktop\24&#24180;&#20915;&#31639;&#20844;&#24320;\&#24066;&#20013;&#21306;\&#20915;&#31639;&#20844;&#24320;&#38468;&#22270;(&#27169;&#26495;)&#20165;&#20379;&#21442;&#3277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Desktop\24&#24180;&#20915;&#31639;&#20844;&#24320;\&#24066;&#20013;&#21306;\&#20915;&#31639;&#20844;&#24320;&#38468;&#22270;(&#27169;&#26495;)&#20165;&#20379;&#21442;&#3277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Desktop\24&#24180;&#20915;&#31639;&#20844;&#24320;\&#24066;&#20013;&#21306;\&#20915;&#31639;&#20844;&#24320;&#38468;&#22270;(&#27169;&#26495;)&#20165;&#20379;&#21442;&#3277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Desktop\24&#24180;&#20915;&#31639;&#20844;&#24320;\&#24066;&#20013;&#21306;\&#20915;&#31639;&#20844;&#24320;&#38468;&#22270;(&#27169;&#26495;)&#20165;&#20379;&#21442;&#3277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Desktop\24&#24180;&#20915;&#31639;&#20844;&#24320;\&#24066;&#20013;&#21306;\&#20915;&#31639;&#20844;&#24320;&#38468;&#22270;(&#27169;&#26495;)&#20165;&#20379;&#21442;&#327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mn-lt"/>
                <a:ea typeface="+mn-ea"/>
                <a:cs typeface="+mn-cs"/>
              </a:defRPr>
            </a:pPr>
            <a:r>
              <a:rPr lang="en-US" altLang="zh-CN"/>
              <a:t>2024</a:t>
            </a:r>
            <a:r>
              <a:rPr altLang="en-US"/>
              <a:t>年</a:t>
            </a:r>
            <a:r>
              <a:rPr lang="zh-CN" altLang="en-US"/>
              <a:t>收、支决算总计变动情况图</a:t>
            </a:r>
            <a:endParaRPr lang="zh-CN" altLang="en-US"/>
          </a:p>
        </c:rich>
      </c:tx>
      <c:layout>
        <c:manualLayout>
          <c:xMode val="edge"/>
          <c:yMode val="edge"/>
          <c:x val="0.106940388249442"/>
          <c:y val="0.0181818181818182"/>
        </c:manualLayout>
      </c:layout>
      <c:overlay val="0"/>
    </c:title>
    <c:autoTitleDeleted val="0"/>
    <c:plotArea>
      <c:layout>
        <c:manualLayout>
          <c:layoutTarget val="inner"/>
          <c:xMode val="edge"/>
          <c:yMode val="edge"/>
          <c:x val="0.161484281051366"/>
          <c:y val="0.30030303030303"/>
          <c:w val="0.619996564164233"/>
          <c:h val="0.561515151515152"/>
        </c:manualLayout>
      </c:layout>
      <c:barChart>
        <c:barDir val="col"/>
        <c:grouping val="clustered"/>
        <c:varyColors val="0"/>
        <c:ser>
          <c:idx val="0"/>
          <c:order val="0"/>
          <c:tx>
            <c:strRef>
              <c:f>'[决算公开附图(模板)仅供参考.xlsx]收、支决算总计变动情况图1'!$C$4</c:f>
              <c:strCache>
                <c:ptCount val="1"/>
                <c:pt idx="0">
                  <c:v>金额</c:v>
                </c:pt>
              </c:strCache>
            </c:strRef>
          </c:tx>
          <c:invertIfNegative val="0"/>
          <c:dPt>
            <c:idx val="1"/>
            <c:invertIfNegative val="0"/>
            <c:bubble3D val="0"/>
            <c:spPr>
              <a:gradFill rotWithShape="1">
                <a:gsLst>
                  <a:gs pos="0">
                    <a:srgbClr val="9B2D2A">
                      <a:shade val="51000"/>
                      <a:satMod val="130000"/>
                    </a:srgbClr>
                  </a:gs>
                  <a:gs pos="80000">
                    <a:srgbClr val="CB3D3A">
                      <a:shade val="93000"/>
                      <a:satMod val="130000"/>
                    </a:srgbClr>
                  </a:gs>
                  <a:gs pos="100000">
                    <a:srgbClr val="CE3B37">
                      <a:shade val="94000"/>
                      <a:satMod val="135000"/>
                    </a:srgbClr>
                  </a:gs>
                </a:gsLst>
                <a:lin ang="16200000" scaled="0"/>
              </a:gradFill>
              <a:ln w="9525" cap="flat" cmpd="sng" algn="ctr">
                <a:solidFill>
                  <a:srgbClr val="BE4B48">
                    <a:shade val="95000"/>
                    <a:satMod val="105000"/>
                  </a:srgbClr>
                </a:solidFill>
                <a:prstDash val="solid"/>
              </a:ln>
              <a:effectLst>
                <a:outerShdw blurRad="40000" dist="23000" dir="5400000" rotWithShape="0">
                  <a:srgbClr val="000000">
                    <a:alpha val="35000"/>
                  </a:srgbClr>
                </a:outerShdw>
              </a:effectLst>
            </c:spPr>
          </c:dPt>
          <c:dLbls>
            <c:dLbl>
              <c:idx val="0"/>
              <c:layout>
                <c:manualLayout>
                  <c:x val="0.00257687682528775"/>
                  <c:y val="0.12272727272727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11818181818181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'[决算公开附图(模板)仅供参考.xlsx]收、支决算总计变动情况图1'!$B$5:$B$6</c:f>
              <c:strCache>
                <c:ptCount val="2"/>
                <c:pt idx="0">
                  <c:v>2023年</c:v>
                </c:pt>
                <c:pt idx="1">
                  <c:v>2024年</c:v>
                </c:pt>
              </c:strCache>
            </c:strRef>
          </c:cat>
          <c:val>
            <c:numRef>
              <c:f>'[决算公开附图(模板)仅供参考.xlsx]收、支决算总计变动情况图1'!$C$5:$C$6</c:f>
              <c:numCache>
                <c:formatCode>0.00_ </c:formatCode>
                <c:ptCount val="2"/>
                <c:pt idx="0">
                  <c:v>394.05</c:v>
                </c:pt>
                <c:pt idx="1">
                  <c:v>435.73</c:v>
                </c:pt>
              </c:numCache>
            </c:numRef>
          </c:val>
        </c:ser>
        <c:dLbls>
          <c:showLegendKey val="0"/>
          <c:showVal val="1"/>
          <c:showCatName val="0"/>
          <c:showSerName val="0"/>
          <c:showPercent val="0"/>
          <c:showBubbleSize val="0"/>
        </c:dLbls>
        <c:gapWidth val="150"/>
        <c:axId val="57603200"/>
        <c:axId val="57604736"/>
      </c:barChart>
      <c:catAx>
        <c:axId val="5760320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crossAx val="57604736"/>
        <c:crosses val="autoZero"/>
        <c:auto val="1"/>
        <c:lblAlgn val="ctr"/>
        <c:lblOffset val="100"/>
        <c:noMultiLvlLbl val="0"/>
      </c:catAx>
      <c:valAx>
        <c:axId val="57604736"/>
        <c:scaling>
          <c:orientation val="minMax"/>
        </c:scaling>
        <c:delete val="0"/>
        <c:axPos val="l"/>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crossAx val="57603200"/>
        <c:crosses val="autoZero"/>
        <c:crossBetween val="between"/>
      </c:valAx>
      <c:spPr>
        <a:gradFill rotWithShape="1">
          <a:gsLst>
            <a:gs pos="0">
              <a:srgbClr val="BCBCBC">
                <a:tint val="50000"/>
                <a:satMod val="300000"/>
              </a:srgbClr>
            </a:gs>
            <a:gs pos="35000">
              <a:srgbClr val="D0D0D0">
                <a:tint val="37000"/>
                <a:satMod val="300000"/>
              </a:srgbClr>
            </a:gs>
            <a:gs pos="100000">
              <a:srgbClr val="EDEDED">
                <a:tint val="15000"/>
                <a:satMod val="350000"/>
              </a:srgbClr>
            </a:gs>
          </a:gsLst>
          <a:lin ang="16200000" scaled="1"/>
        </a:gradFill>
        <a:ln w="9525" cap="flat" cmpd="sng" algn="ctr">
          <a:solidFill>
            <a:srgbClr val="000000">
              <a:shade val="95000"/>
              <a:satMod val="105000"/>
            </a:srgbClr>
          </a:solidFill>
          <a:prstDash val="solid"/>
        </a:ln>
        <a:effectLst>
          <a:outerShdw blurRad="40000" dist="20000" dir="5400000" rotWithShape="0">
            <a:srgbClr val="000000">
              <a:alpha val="38000"/>
            </a:srgbClr>
          </a:outerShdw>
        </a:effectLst>
      </c:spPr>
    </c:plotArea>
    <c:legend>
      <c:legendPos val="r"/>
      <c:layout/>
      <c:overlay val="0"/>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legend>
    <c:plotVisOnly val="1"/>
    <c:dispBlanksAs val="gap"/>
    <c:showDLblsOverMax val="0"/>
  </c:chart>
  <c:spPr>
    <a:gradFill rotWithShape="1">
      <a:gsLst>
        <a:gs pos="0">
          <a:srgbClr val="DAFDA7">
            <a:tint val="50000"/>
            <a:satMod val="300000"/>
          </a:srgbClr>
        </a:gs>
        <a:gs pos="35000">
          <a:srgbClr val="E4FDC2">
            <a:tint val="37000"/>
            <a:satMod val="300000"/>
          </a:srgbClr>
        </a:gs>
        <a:gs pos="100000">
          <a:srgbClr val="F5FFE6">
            <a:tint val="15000"/>
            <a:satMod val="350000"/>
          </a:srgbClr>
        </a:gs>
      </a:gsLst>
      <a:lin ang="16200000" scaled="1"/>
    </a:gradFill>
    <a:ln w="9525" cap="flat" cmpd="sng" algn="ctr">
      <a:solidFill>
        <a:srgbClr val="98B954">
          <a:shade val="95000"/>
          <a:satMod val="105000"/>
        </a:srgbClr>
      </a:solidFill>
      <a:prstDash val="solid"/>
      <a:round/>
    </a:ln>
    <a:effectLst>
      <a:outerShdw blurRad="40000" dist="20000" dir="5400000" rotWithShape="0">
        <a:srgbClr val="000000">
          <a:alpha val="38000"/>
        </a:srgbClr>
      </a:outerShdw>
    </a:effectLst>
  </c:spPr>
  <c:txPr>
    <a:bodyPr/>
    <a:lstStyle/>
    <a:p>
      <a:pPr>
        <a:defRPr lang="zh-CN">
          <a:solidFill>
            <a:srgbClr val="000000"/>
          </a:solidFill>
          <a:latin typeface="+mn-lt"/>
          <a:ea typeface="+mn-ea"/>
          <a:cs typeface="+mn-c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mn-lt"/>
                <a:ea typeface="+mn-ea"/>
                <a:cs typeface="+mn-cs"/>
              </a:defRPr>
            </a:pPr>
            <a:r>
              <a:rPr lang="en-US"/>
              <a:t>2024</a:t>
            </a:r>
            <a:r>
              <a:rPr lang="zh-CN"/>
              <a:t>年收入决算结构图</a:t>
            </a:r>
            <a:endParaRPr lang="zh-CN"/>
          </a:p>
        </c:rich>
      </c:tx>
      <c:layout/>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'[决算公开附图(模板)仅供参考.xlsx]收入决算结构图2'!$B$6</c:f>
              <c:strCache>
                <c:ptCount val="1"/>
                <c:pt idx="0">
                  <c:v>占比</c:v>
                </c:pt>
              </c:strCache>
            </c:strRef>
          </c:tx>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extLst>
                <c:ext xmlns:c15="http://schemas.microsoft.com/office/drawing/2012/chart" uri="{02D57815-91ED-43cb-92C2-25804820EDAC}">
                  <c15:fullRef>
                    <c15:sqref>'[决算公开附图(模板)仅供参考.xlsx]收入决算结构图2'!$A$7:$A$9</c15:sqref>
                  </c15:fullRef>
                </c:ext>
              </c:extLst>
              <c:f>'[决算公开附图(模板)仅供参考.xlsx]收入决算结构图2'!$A$7</c:f>
              <c:strCache>
                <c:ptCount val="1"/>
                <c:pt idx="0">
                  <c:v>一般公共预算财政拨款收入435.73万元</c:v>
                </c:pt>
              </c:strCache>
            </c:strRef>
          </c:cat>
          <c:val>
            <c:numRef>
              <c:extLst>
                <c:ext xmlns:c15="http://schemas.microsoft.com/office/drawing/2012/chart" uri="{02D57815-91ED-43cb-92C2-25804820EDAC}">
                  <c15:fullRef>
                    <c15:sqref>收入决算结构图2!$B$7:$B$9</c15:sqref>
                  </c15:fullRef>
                </c:ext>
              </c:extLst>
              <c:f>'[决算公开附图(模板)仅供参考.xlsx]收入决算结构图2'!$B$7</c:f>
              <c:numCache>
                <c:formatCode>0.00%</c:formatCode>
                <c:ptCount val="1"/>
                <c:pt idx="0">
                  <c:v>1</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legend>
    <c:plotVisOnly val="1"/>
    <c:dispBlanksAs val="gap"/>
    <c:showDLblsOverMax val="0"/>
  </c:chart>
  <c:spPr>
    <a:gradFill rotWithShape="1">
      <a:gsLst>
        <a:gs pos="0">
          <a:srgbClr val="DAFDA7">
            <a:tint val="50000"/>
            <a:satMod val="300000"/>
          </a:srgbClr>
        </a:gs>
        <a:gs pos="35000">
          <a:srgbClr val="E4FDC2">
            <a:tint val="37000"/>
            <a:satMod val="300000"/>
          </a:srgbClr>
        </a:gs>
        <a:gs pos="100000">
          <a:srgbClr val="F5FFE6">
            <a:tint val="15000"/>
            <a:satMod val="350000"/>
          </a:srgbClr>
        </a:gs>
      </a:gsLst>
      <a:lin ang="16200000" scaled="1"/>
    </a:gradFill>
    <a:ln w="9525" cap="flat" cmpd="sng" algn="ctr">
      <a:solidFill>
        <a:srgbClr val="98B954">
          <a:shade val="95000"/>
          <a:satMod val="105000"/>
        </a:srgbClr>
      </a:solidFill>
      <a:prstDash val="solid"/>
      <a:round/>
    </a:ln>
    <a:effectLst>
      <a:outerShdw blurRad="40000" dist="20000" dir="5400000" rotWithShape="0">
        <a:srgbClr val="000000">
          <a:alpha val="38000"/>
        </a:srgbClr>
      </a:outerShdw>
    </a:effectLst>
  </c:spPr>
  <c:txPr>
    <a:bodyPr/>
    <a:lstStyle/>
    <a:p>
      <a:pPr>
        <a:defRPr lang="zh-CN">
          <a:solidFill>
            <a:srgbClr val="000000"/>
          </a:solidFill>
          <a:latin typeface="+mn-lt"/>
          <a:ea typeface="+mn-ea"/>
          <a:cs typeface="+mn-cs"/>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mn-lt"/>
                <a:ea typeface="+mn-ea"/>
                <a:cs typeface="+mn-cs"/>
              </a:defRPr>
            </a:pPr>
            <a:r>
              <a:rPr lang="en-US"/>
              <a:t>2024</a:t>
            </a:r>
            <a:r>
              <a:rPr lang="zh-CN"/>
              <a:t>年支出决算结构图</a:t>
            </a:r>
            <a:endParaRPr lang="zh-CN"/>
          </a:p>
        </c:rich>
      </c:tx>
      <c:layout/>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'[决算公开附图(模板)仅供参考.xlsx]支出决算结构图3'!$B$9</c:f>
              <c:strCache>
                <c:ptCount val="1"/>
                <c:pt idx="0">
                  <c:v>占比</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'[决算公开附图(模板)仅供参考.xlsx]支出决算结构图3'!$A$10:$A$11</c:f>
              <c:strCache>
                <c:ptCount val="2"/>
                <c:pt idx="0">
                  <c:v>基本支出324.43万元</c:v>
                </c:pt>
                <c:pt idx="1">
                  <c:v>项目支出111.29万元</c:v>
                </c:pt>
              </c:strCache>
            </c:strRef>
          </c:cat>
          <c:val>
            <c:numRef>
              <c:f>'[决算公开附图(模板)仅供参考.xlsx]支出决算结构图3'!$B$10:$B$11</c:f>
              <c:numCache>
                <c:formatCode>0.00%</c:formatCode>
                <c:ptCount val="2"/>
                <c:pt idx="0">
                  <c:v>0.744583677591114</c:v>
                </c:pt>
                <c:pt idx="1">
                  <c:v>0.255416322408886</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legend>
    <c:plotVisOnly val="1"/>
    <c:dispBlanksAs val="gap"/>
    <c:showDLblsOverMax val="0"/>
  </c:chart>
  <c:spPr>
    <a:gradFill rotWithShape="1">
      <a:gsLst>
        <a:gs pos="0">
          <a:srgbClr val="DAFDA7">
            <a:tint val="50000"/>
            <a:satMod val="300000"/>
          </a:srgbClr>
        </a:gs>
        <a:gs pos="35000">
          <a:srgbClr val="E4FDC2">
            <a:tint val="37000"/>
            <a:satMod val="300000"/>
          </a:srgbClr>
        </a:gs>
        <a:gs pos="100000">
          <a:srgbClr val="F5FFE6">
            <a:tint val="15000"/>
            <a:satMod val="350000"/>
          </a:srgbClr>
        </a:gs>
      </a:gsLst>
      <a:lin ang="16200000" scaled="1"/>
    </a:gradFill>
    <a:ln w="9525" cap="flat" cmpd="sng" algn="ctr">
      <a:solidFill>
        <a:srgbClr val="98B954">
          <a:shade val="95000"/>
          <a:satMod val="105000"/>
        </a:srgbClr>
      </a:solidFill>
      <a:prstDash val="solid"/>
      <a:round/>
    </a:ln>
    <a:effectLst>
      <a:outerShdw blurRad="40000" dist="20000" dir="5400000" rotWithShape="0">
        <a:srgbClr val="000000">
          <a:alpha val="38000"/>
        </a:srgbClr>
      </a:outerShdw>
    </a:effectLst>
  </c:spPr>
  <c:txPr>
    <a:bodyPr/>
    <a:lstStyle/>
    <a:p>
      <a:pPr>
        <a:defRPr lang="zh-CN">
          <a:solidFill>
            <a:srgbClr val="000000"/>
          </a:solidFill>
          <a:latin typeface="+mn-lt"/>
          <a:ea typeface="+mn-ea"/>
          <a:cs typeface="+mn-cs"/>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mn-lt"/>
                <a:ea typeface="+mn-ea"/>
                <a:cs typeface="+mn-cs"/>
              </a:defRPr>
            </a:pPr>
            <a:r>
              <a:rPr lang="en-US" altLang="zh-CN"/>
              <a:t>2024</a:t>
            </a:r>
            <a:r>
              <a:rPr altLang="en-US"/>
              <a:t>年</a:t>
            </a:r>
            <a:r>
              <a:rPr lang="zh-CN" altLang="en-US"/>
              <a:t>收、支决算总计变动情况图</a:t>
            </a:r>
            <a:endParaRPr lang="zh-CN" altLang="en-US"/>
          </a:p>
        </c:rich>
      </c:tx>
      <c:layout>
        <c:manualLayout>
          <c:xMode val="edge"/>
          <c:yMode val="edge"/>
          <c:x val="0.107977050261174"/>
          <c:y val="0.00892325996430696"/>
        </c:manualLayout>
      </c:layout>
      <c:overlay val="0"/>
    </c:title>
    <c:autoTitleDeleted val="0"/>
    <c:plotArea>
      <c:layout>
        <c:manualLayout>
          <c:layoutTarget val="inner"/>
          <c:xMode val="edge"/>
          <c:yMode val="edge"/>
          <c:x val="0.147532643717144"/>
          <c:y val="0.286436644854253"/>
          <c:w val="0.642021366796676"/>
          <c:h val="0.557108863771565"/>
        </c:manualLayout>
      </c:layout>
      <c:barChart>
        <c:barDir val="col"/>
        <c:grouping val="clustered"/>
        <c:varyColors val="0"/>
        <c:ser>
          <c:idx val="0"/>
          <c:order val="0"/>
          <c:tx>
            <c:strRef>
              <c:f>'[决算公开附图(模板)仅供参考.xlsx]财政拨款收、支决算总计变动情况图4'!$C$4</c:f>
              <c:strCache>
                <c:ptCount val="1"/>
                <c:pt idx="0">
                  <c:v>金额</c:v>
                </c:pt>
              </c:strCache>
            </c:strRef>
          </c:tx>
          <c:invertIfNegative val="0"/>
          <c:dPt>
            <c:idx val="1"/>
            <c:invertIfNegative val="0"/>
            <c:bubble3D val="0"/>
            <c:spPr>
              <a:gradFill rotWithShape="1">
                <a:gsLst>
                  <a:gs pos="0">
                    <a:srgbClr val="9B2D2A">
                      <a:shade val="51000"/>
                      <a:satMod val="130000"/>
                    </a:srgbClr>
                  </a:gs>
                  <a:gs pos="80000">
                    <a:srgbClr val="CB3D3A">
                      <a:shade val="93000"/>
                      <a:satMod val="130000"/>
                    </a:srgbClr>
                  </a:gs>
                  <a:gs pos="100000">
                    <a:srgbClr val="CE3B37">
                      <a:shade val="94000"/>
                      <a:satMod val="135000"/>
                    </a:srgbClr>
                  </a:gs>
                </a:gsLst>
                <a:lin ang="16200000" scaled="0"/>
              </a:gradFill>
              <a:ln w="9525" cap="flat" cmpd="sng" algn="ctr">
                <a:solidFill>
                  <a:srgbClr val="BE4B48">
                    <a:shade val="95000"/>
                    <a:satMod val="105000"/>
                  </a:srgbClr>
                </a:solidFill>
                <a:prstDash val="solid"/>
              </a:ln>
              <a:effectLst>
                <a:outerShdw blurRad="40000" dist="23000" dir="5400000" rotWithShape="0">
                  <a:srgbClr val="000000">
                    <a:alpha val="35000"/>
                  </a:srgbClr>
                </a:outerShdw>
              </a:effectLst>
            </c:spPr>
          </c:dPt>
          <c:dLbls>
            <c:dLbl>
              <c:idx val="0"/>
              <c:layout>
                <c:manualLayout>
                  <c:x val="0"/>
                  <c:y val="0.11154074955383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54366627098525"/>
                  <c:y val="0.12046400951814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'[决算公开附图(模板)仅供参考.xlsx]财政拨款收、支决算总计变动情况图4'!$B$5:$B$6</c:f>
              <c:strCache>
                <c:ptCount val="2"/>
                <c:pt idx="0">
                  <c:v>2023年</c:v>
                </c:pt>
                <c:pt idx="1">
                  <c:v>2024年</c:v>
                </c:pt>
              </c:strCache>
            </c:strRef>
          </c:cat>
          <c:val>
            <c:numRef>
              <c:f>'[决算公开附图(模板)仅供参考.xlsx]财政拨款收、支决算总计变动情况图4'!$C$5:$C$6</c:f>
              <c:numCache>
                <c:formatCode>0.00_ </c:formatCode>
                <c:ptCount val="2"/>
                <c:pt idx="0">
                  <c:v>394.05</c:v>
                </c:pt>
                <c:pt idx="1">
                  <c:v>435.73</c:v>
                </c:pt>
              </c:numCache>
            </c:numRef>
          </c:val>
        </c:ser>
        <c:dLbls>
          <c:showLegendKey val="0"/>
          <c:showVal val="1"/>
          <c:showCatName val="0"/>
          <c:showSerName val="0"/>
          <c:showPercent val="0"/>
          <c:showBubbleSize val="0"/>
        </c:dLbls>
        <c:gapWidth val="150"/>
        <c:axId val="57603200"/>
        <c:axId val="57604736"/>
      </c:barChart>
      <c:catAx>
        <c:axId val="5760320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crossAx val="57604736"/>
        <c:crosses val="autoZero"/>
        <c:auto val="1"/>
        <c:lblAlgn val="ctr"/>
        <c:lblOffset val="100"/>
        <c:noMultiLvlLbl val="0"/>
      </c:catAx>
      <c:valAx>
        <c:axId val="57604736"/>
        <c:scaling>
          <c:orientation val="minMax"/>
        </c:scaling>
        <c:delete val="0"/>
        <c:axPos val="l"/>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crossAx val="57603200"/>
        <c:crosses val="autoZero"/>
        <c:crossBetween val="between"/>
      </c:valAx>
      <c:spPr>
        <a:gradFill rotWithShape="1">
          <a:gsLst>
            <a:gs pos="0">
              <a:srgbClr val="BCBCBC">
                <a:tint val="50000"/>
                <a:satMod val="300000"/>
              </a:srgbClr>
            </a:gs>
            <a:gs pos="35000">
              <a:srgbClr val="D0D0D0">
                <a:tint val="37000"/>
                <a:satMod val="300000"/>
              </a:srgbClr>
            </a:gs>
            <a:gs pos="100000">
              <a:srgbClr val="EDEDED">
                <a:tint val="15000"/>
                <a:satMod val="350000"/>
              </a:srgbClr>
            </a:gs>
          </a:gsLst>
          <a:lin ang="16200000" scaled="1"/>
        </a:gradFill>
        <a:ln w="9525" cap="flat" cmpd="sng" algn="ctr">
          <a:solidFill>
            <a:srgbClr val="000000">
              <a:shade val="95000"/>
              <a:satMod val="105000"/>
            </a:srgbClr>
          </a:solidFill>
          <a:prstDash val="solid"/>
        </a:ln>
        <a:effectLst>
          <a:outerShdw blurRad="40000" dist="20000" dir="5400000" rotWithShape="0">
            <a:srgbClr val="000000">
              <a:alpha val="38000"/>
            </a:srgbClr>
          </a:outerShdw>
        </a:effectLst>
      </c:spPr>
    </c:plotArea>
    <c:legend>
      <c:legendPos val="r"/>
      <c:layout/>
      <c:overlay val="0"/>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legend>
    <c:plotVisOnly val="1"/>
    <c:dispBlanksAs val="gap"/>
    <c:showDLblsOverMax val="0"/>
  </c:chart>
  <c:spPr>
    <a:gradFill rotWithShape="1">
      <a:gsLst>
        <a:gs pos="0">
          <a:srgbClr val="DAFDA7">
            <a:tint val="50000"/>
            <a:satMod val="300000"/>
          </a:srgbClr>
        </a:gs>
        <a:gs pos="35000">
          <a:srgbClr val="E4FDC2">
            <a:tint val="37000"/>
            <a:satMod val="300000"/>
          </a:srgbClr>
        </a:gs>
        <a:gs pos="100000">
          <a:srgbClr val="F5FFE6">
            <a:tint val="15000"/>
            <a:satMod val="350000"/>
          </a:srgbClr>
        </a:gs>
      </a:gsLst>
      <a:lin ang="16200000" scaled="1"/>
    </a:gradFill>
    <a:ln w="9525" cap="flat" cmpd="sng" algn="ctr">
      <a:solidFill>
        <a:srgbClr val="98B954">
          <a:shade val="95000"/>
          <a:satMod val="105000"/>
        </a:srgbClr>
      </a:solidFill>
      <a:prstDash val="solid"/>
      <a:round/>
    </a:ln>
    <a:effectLst>
      <a:outerShdw blurRad="40000" dist="20000" dir="5400000" rotWithShape="0">
        <a:srgbClr val="000000">
          <a:alpha val="38000"/>
        </a:srgbClr>
      </a:outerShdw>
    </a:effectLst>
  </c:spPr>
  <c:txPr>
    <a:bodyPr/>
    <a:lstStyle/>
    <a:p>
      <a:pPr>
        <a:defRPr lang="zh-CN">
          <a:solidFill>
            <a:srgbClr val="000000"/>
          </a:solidFill>
          <a:latin typeface="+mn-lt"/>
          <a:ea typeface="+mn-ea"/>
          <a:cs typeface="+mn-cs"/>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mn-lt"/>
                <a:ea typeface="+mn-ea"/>
                <a:cs typeface="+mn-cs"/>
              </a:defRPr>
            </a:pPr>
            <a:r>
              <a:rPr lang="en-US" altLang="zh-CN"/>
              <a:t>2024</a:t>
            </a:r>
            <a:r>
              <a:rPr altLang="en-US"/>
              <a:t>年一般公共预算</a:t>
            </a:r>
            <a:r>
              <a:rPr lang="zh-CN" altLang="en-US"/>
              <a:t>收、支决算总计变动情况图</a:t>
            </a:r>
            <a:endParaRPr lang="zh-CN" altLang="en-US"/>
          </a:p>
        </c:rich>
      </c:tx>
      <c:layout>
        <c:manualLayout>
          <c:xMode val="edge"/>
          <c:yMode val="edge"/>
          <c:x val="0.136409650750801"/>
          <c:y val="0.0175489909330214"/>
        </c:manualLayout>
      </c:layout>
      <c:overlay val="0"/>
    </c:title>
    <c:autoTitleDeleted val="0"/>
    <c:plotArea>
      <c:layout>
        <c:manualLayout>
          <c:layoutTarget val="inner"/>
          <c:xMode val="edge"/>
          <c:yMode val="edge"/>
          <c:x val="0.146785895056521"/>
          <c:y val="0.315881836794384"/>
          <c:w val="0.64383330521343"/>
          <c:h val="0.530272009359462"/>
        </c:manualLayout>
      </c:layout>
      <c:barChart>
        <c:barDir val="col"/>
        <c:grouping val="clustered"/>
        <c:varyColors val="0"/>
        <c:ser>
          <c:idx val="0"/>
          <c:order val="0"/>
          <c:tx>
            <c:strRef>
              <c:f>'[决算公开附图(模板)仅供参考.xlsx]一般公共预算财政拨款收、支决算总计变动情况图5'!$C$4</c:f>
              <c:strCache>
                <c:ptCount val="1"/>
                <c:pt idx="0">
                  <c:v>金额</c:v>
                </c:pt>
              </c:strCache>
            </c:strRef>
          </c:tx>
          <c:invertIfNegative val="0"/>
          <c:dPt>
            <c:idx val="1"/>
            <c:invertIfNegative val="0"/>
            <c:bubble3D val="0"/>
            <c:spPr>
              <a:gradFill rotWithShape="1">
                <a:gsLst>
                  <a:gs pos="0">
                    <a:srgbClr val="9B2D2A">
                      <a:shade val="51000"/>
                      <a:satMod val="130000"/>
                    </a:srgbClr>
                  </a:gs>
                  <a:gs pos="80000">
                    <a:srgbClr val="CB3D3A">
                      <a:shade val="93000"/>
                      <a:satMod val="130000"/>
                    </a:srgbClr>
                  </a:gs>
                  <a:gs pos="100000">
                    <a:srgbClr val="CE3B37">
                      <a:shade val="94000"/>
                      <a:satMod val="135000"/>
                    </a:srgbClr>
                  </a:gs>
                </a:gsLst>
                <a:lin ang="16200000" scaled="0"/>
              </a:gradFill>
              <a:ln w="9525" cap="flat" cmpd="sng" algn="ctr">
                <a:solidFill>
                  <a:srgbClr val="BE4B48">
                    <a:shade val="95000"/>
                    <a:satMod val="105000"/>
                  </a:srgbClr>
                </a:solidFill>
                <a:prstDash val="solid"/>
              </a:ln>
              <a:effectLst>
                <a:outerShdw blurRad="40000" dist="23000" dir="5400000" rotWithShape="0">
                  <a:srgbClr val="000000">
                    <a:alpha val="35000"/>
                  </a:srgbClr>
                </a:outerShdw>
              </a:effectLst>
            </c:spPr>
          </c:dPt>
          <c:dLbls>
            <c:dLbl>
              <c:idx val="0"/>
              <c:layout>
                <c:manualLayout>
                  <c:x val="0.00253079129407791"/>
                  <c:y val="0.15794091839719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13885608233508"/>
                      <c:h val="0.149458906112898"/>
                    </c:manualLayout>
                  </c15:layout>
                </c:ext>
              </c:extLst>
            </c:dLbl>
            <c:dLbl>
              <c:idx val="1"/>
              <c:layout>
                <c:manualLayout>
                  <c:x val="0"/>
                  <c:y val="0.11406844106463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'[决算公开附图(模板)仅供参考.xlsx]一般公共预算财政拨款收、支决算总计变动情况图5'!$B$5:$B$6</c:f>
              <c:strCache>
                <c:ptCount val="2"/>
                <c:pt idx="0">
                  <c:v>2023年</c:v>
                </c:pt>
                <c:pt idx="1">
                  <c:v>2024年</c:v>
                </c:pt>
              </c:strCache>
            </c:strRef>
          </c:cat>
          <c:val>
            <c:numRef>
              <c:f>'[决算公开附图(模板)仅供参考.xlsx]一般公共预算财政拨款收、支决算总计变动情况图5'!$C$5:$C$6</c:f>
              <c:numCache>
                <c:formatCode>0.00_ </c:formatCode>
                <c:ptCount val="2"/>
                <c:pt idx="0">
                  <c:v>394.05</c:v>
                </c:pt>
                <c:pt idx="1">
                  <c:v>435.73</c:v>
                </c:pt>
              </c:numCache>
            </c:numRef>
          </c:val>
        </c:ser>
        <c:dLbls>
          <c:showLegendKey val="0"/>
          <c:showVal val="1"/>
          <c:showCatName val="0"/>
          <c:showSerName val="0"/>
          <c:showPercent val="0"/>
          <c:showBubbleSize val="0"/>
        </c:dLbls>
        <c:gapWidth val="150"/>
        <c:axId val="57603200"/>
        <c:axId val="57604736"/>
      </c:barChart>
      <c:catAx>
        <c:axId val="5760320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crossAx val="57604736"/>
        <c:crosses val="autoZero"/>
        <c:auto val="1"/>
        <c:lblAlgn val="ctr"/>
        <c:lblOffset val="100"/>
        <c:noMultiLvlLbl val="0"/>
      </c:catAx>
      <c:valAx>
        <c:axId val="57604736"/>
        <c:scaling>
          <c:orientation val="minMax"/>
        </c:scaling>
        <c:delete val="0"/>
        <c:axPos val="l"/>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crossAx val="57603200"/>
        <c:crosses val="autoZero"/>
        <c:crossBetween val="between"/>
      </c:valAx>
      <c:spPr>
        <a:gradFill rotWithShape="1">
          <a:gsLst>
            <a:gs pos="0">
              <a:srgbClr val="BCBCBC">
                <a:tint val="50000"/>
                <a:satMod val="300000"/>
              </a:srgbClr>
            </a:gs>
            <a:gs pos="35000">
              <a:srgbClr val="D0D0D0">
                <a:tint val="37000"/>
                <a:satMod val="300000"/>
              </a:srgbClr>
            </a:gs>
            <a:gs pos="100000">
              <a:srgbClr val="EDEDED">
                <a:tint val="15000"/>
                <a:satMod val="350000"/>
              </a:srgbClr>
            </a:gs>
          </a:gsLst>
          <a:lin ang="16200000" scaled="1"/>
        </a:gradFill>
        <a:ln w="9525" cap="flat" cmpd="sng" algn="ctr">
          <a:solidFill>
            <a:srgbClr val="000000">
              <a:shade val="95000"/>
              <a:satMod val="105000"/>
            </a:srgbClr>
          </a:solidFill>
          <a:prstDash val="solid"/>
        </a:ln>
        <a:effectLst>
          <a:outerShdw blurRad="40000" dist="20000" dir="5400000" rotWithShape="0">
            <a:srgbClr val="000000">
              <a:alpha val="38000"/>
            </a:srgbClr>
          </a:outerShdw>
        </a:effectLst>
      </c:spPr>
    </c:plotArea>
    <c:legend>
      <c:legendPos val="r"/>
      <c:layout/>
      <c:overlay val="0"/>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legend>
    <c:plotVisOnly val="1"/>
    <c:dispBlanksAs val="gap"/>
    <c:showDLblsOverMax val="0"/>
  </c:chart>
  <c:spPr>
    <a:gradFill rotWithShape="1">
      <a:gsLst>
        <a:gs pos="0">
          <a:srgbClr val="DAFDA7">
            <a:tint val="50000"/>
            <a:satMod val="300000"/>
          </a:srgbClr>
        </a:gs>
        <a:gs pos="35000">
          <a:srgbClr val="E4FDC2">
            <a:tint val="37000"/>
            <a:satMod val="300000"/>
          </a:srgbClr>
        </a:gs>
        <a:gs pos="100000">
          <a:srgbClr val="F5FFE6">
            <a:tint val="15000"/>
            <a:satMod val="350000"/>
          </a:srgbClr>
        </a:gs>
      </a:gsLst>
      <a:lin ang="16200000" scaled="1"/>
    </a:gradFill>
    <a:ln w="9525" cap="flat" cmpd="sng" algn="ctr">
      <a:solidFill>
        <a:srgbClr val="98B954">
          <a:shade val="95000"/>
          <a:satMod val="105000"/>
        </a:srgbClr>
      </a:solidFill>
      <a:prstDash val="solid"/>
      <a:round/>
    </a:ln>
    <a:effectLst>
      <a:outerShdw blurRad="40000" dist="20000" dir="5400000" rotWithShape="0">
        <a:srgbClr val="000000">
          <a:alpha val="38000"/>
        </a:srgbClr>
      </a:outerShdw>
    </a:effectLst>
  </c:spPr>
  <c:txPr>
    <a:bodyPr/>
    <a:lstStyle/>
    <a:p>
      <a:pPr>
        <a:defRPr lang="zh-CN">
          <a:solidFill>
            <a:srgbClr val="000000"/>
          </a:solidFill>
          <a:latin typeface="+mn-lt"/>
          <a:ea typeface="+mn-ea"/>
          <a:cs typeface="+mn-cs"/>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mn-lt"/>
                <a:ea typeface="+mn-ea"/>
                <a:cs typeface="+mn-cs"/>
              </a:defRPr>
            </a:pPr>
            <a:r>
              <a:rPr lang="en-US"/>
              <a:t>2024</a:t>
            </a:r>
            <a:r>
              <a:rPr lang="zh-CN"/>
              <a:t>年一般公共预算</a:t>
            </a:r>
            <a:r>
              <a:rPr lang="zh-CN" altLang="en-US"/>
              <a:t>财政拨款支出决算</a:t>
            </a:r>
            <a:r>
              <a:rPr lang="zh-CN"/>
              <a:t>结构图</a:t>
            </a:r>
            <a:endParaRPr lang="zh-CN"/>
          </a:p>
        </c:rich>
      </c:tx>
      <c:layout/>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explosion val="0"/>
          <c:dPt>
            <c:idx val="0"/>
            <c:bubble3D val="0"/>
          </c:dPt>
          <c:dPt>
            <c:idx val="1"/>
            <c:bubble3D val="0"/>
          </c:dPt>
          <c:dPt>
            <c:idx val="2"/>
            <c:bubble3D val="0"/>
          </c:dPt>
          <c:dPt>
            <c:idx val="3"/>
            <c:bubble3D val="0"/>
          </c:dPt>
          <c:dLbls>
            <c:dLbl>
              <c:idx val="0"/>
              <c:layout>
                <c:manualLayout>
                  <c:x val="0.0453400503778338"/>
                  <c:y val="0.050644567219152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831234256926952"/>
                  <c:y val="0.046040515653775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05793450881612"/>
                  <c:y val="0.032228360957642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327455919395466"/>
                  <c:y val="-0.073664825046040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extLst>
                <c:ext xmlns:c15="http://schemas.microsoft.com/office/drawing/2012/chart" uri="{02D57815-91ED-43cb-92C2-25804820EDAC}">
                  <c15:fullRef>
                    <c15:sqref>'[决算公开附图(模板)仅供参考.xlsx]一般公共预算财政拨款支出决算结构图6'!$A$7:$A$12</c15:sqref>
                  </c15:fullRef>
                </c:ext>
              </c:extLst>
              <c:f>('[决算公开附图(模板)仅供参考.xlsx]一般公共预算财政拨款支出决算结构图6'!$A$7,'[决算公开附图(模板)仅供参考.xlsx]一般公共预算财政拨款支出决算结构图6'!$A$9:$A$10,'[决算公开附图(模板)仅供参考.xlsx]一般公共预算财政拨款支出决算结构图6'!$A$12)</c:f>
              <c:strCache>
                <c:ptCount val="4"/>
                <c:pt idx="0">
                  <c:v>一般公共服务支出354.87万元</c:v>
                </c:pt>
                <c:pt idx="1">
                  <c:v>社会保障和就业支出49.04万元</c:v>
                </c:pt>
                <c:pt idx="2">
                  <c:v>卫生健康支出9.82万元</c:v>
                </c:pt>
                <c:pt idx="3">
                  <c:v>住房保障支出21.99万元</c:v>
                </c:pt>
              </c:strCache>
            </c:strRef>
          </c:cat>
          <c:val>
            <c:numRef>
              <c:extLst>
                <c:ext xmlns:c15="http://schemas.microsoft.com/office/drawing/2012/chart" uri="{02D57815-91ED-43cb-92C2-25804820EDAC}">
                  <c15:fullRef>
                    <c15:sqref>一般公共预算财政拨款支出决算结构图6!$B$7:$B$12</c15:sqref>
                  </c15:fullRef>
                </c:ext>
              </c:extLst>
              <c:f>('[决算公开附图(模板)仅供参考.xlsx]一般公共预算财政拨款支出决算结构图6'!$B$7,'[决算公开附图(模板)仅供参考.xlsx]一般公共预算财政拨款支出决算结构图6'!$B$9:$B$10,'[决算公开附图(模板)仅供参考.xlsx]一般公共预算财政拨款支出决算结构图6'!$B$12)</c:f>
              <c:numCache>
                <c:formatCode>0.00%</c:formatCode>
                <c:ptCount val="4"/>
                <c:pt idx="0">
                  <c:v>0.814445056458276</c:v>
                </c:pt>
                <c:pt idx="1">
                  <c:v>0.112549343615166</c:v>
                </c:pt>
                <c:pt idx="2">
                  <c:v>0.0225374093454512</c:v>
                </c:pt>
                <c:pt idx="3">
                  <c:v>0.0504681905811071</c:v>
                </c:pt>
              </c:numCache>
            </c:numRef>
          </c:val>
        </c:ser>
        <c:dLbls>
          <c:showLegendKey val="0"/>
          <c:showVal val="1"/>
          <c:showCatName val="0"/>
          <c:showSerName val="0"/>
          <c:showPercent val="0"/>
          <c:showBubbleSize val="0"/>
        </c:dLbls>
      </c:pie3DChart>
    </c:plotArea>
    <c:legend>
      <c:legendPos val="r"/>
      <c:layout>
        <c:manualLayout>
          <c:xMode val="edge"/>
          <c:yMode val="edge"/>
          <c:x val="0.647019311502939"/>
          <c:y val="0.332412523020258"/>
          <c:w val="0.332829554995802"/>
          <c:h val="0.640270104358502"/>
        </c:manualLayout>
      </c:layout>
      <c:overlay val="0"/>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legend>
    <c:plotVisOnly val="1"/>
    <c:dispBlanksAs val="gap"/>
    <c:showDLblsOverMax val="0"/>
  </c:chart>
  <c:spPr>
    <a:gradFill rotWithShape="1">
      <a:gsLst>
        <a:gs pos="0">
          <a:srgbClr val="DAFDA7">
            <a:tint val="50000"/>
            <a:satMod val="300000"/>
          </a:srgbClr>
        </a:gs>
        <a:gs pos="35000">
          <a:srgbClr val="E4FDC2">
            <a:tint val="37000"/>
            <a:satMod val="300000"/>
          </a:srgbClr>
        </a:gs>
        <a:gs pos="100000">
          <a:srgbClr val="F5FFE6">
            <a:tint val="15000"/>
            <a:satMod val="350000"/>
          </a:srgbClr>
        </a:gs>
      </a:gsLst>
      <a:lin ang="16200000" scaled="1"/>
    </a:gradFill>
    <a:ln w="9525" cap="flat" cmpd="sng" algn="ctr">
      <a:solidFill>
        <a:srgbClr val="98B954">
          <a:shade val="95000"/>
          <a:satMod val="105000"/>
        </a:srgbClr>
      </a:solidFill>
      <a:prstDash val="solid"/>
      <a:round/>
    </a:ln>
    <a:effectLst>
      <a:outerShdw blurRad="40000" dist="20000" dir="5400000" rotWithShape="0">
        <a:srgbClr val="000000">
          <a:alpha val="38000"/>
        </a:srgbClr>
      </a:outerShdw>
    </a:effectLst>
  </c:spPr>
  <c:txPr>
    <a:bodyPr/>
    <a:lstStyle/>
    <a:p>
      <a:pPr>
        <a:defRPr lang="zh-CN">
          <a:solidFill>
            <a:srgbClr val="000000"/>
          </a:solidFill>
          <a:latin typeface="+mn-lt"/>
          <a:ea typeface="+mn-ea"/>
          <a:cs typeface="+mn-cs"/>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mn-lt"/>
                <a:ea typeface="+mn-ea"/>
                <a:cs typeface="+mn-cs"/>
              </a:defRPr>
            </a:pPr>
            <a:r>
              <a:rPr lang="en-US" altLang="zh-CN"/>
              <a:t>2024</a:t>
            </a:r>
            <a:r>
              <a:rPr altLang="en-US"/>
              <a:t>年</a:t>
            </a:r>
            <a:r>
              <a:rPr lang="zh-CN"/>
              <a:t>“三公”经费财政拨款支出结构图</a:t>
            </a:r>
            <a:endParaRPr lang="zh-CN"/>
          </a:p>
        </c:rich>
      </c:tx>
      <c:layout/>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'[决算公开附图(模板)仅供参考.xlsx]“三公”经费财政拨款支出结构图7'!$B$6</c:f>
              <c:strCache>
                <c:ptCount val="1"/>
                <c:pt idx="0">
                  <c:v>占比</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extLst>
                <c:ext xmlns:c15="http://schemas.microsoft.com/office/drawing/2012/chart" uri="{02D57815-91ED-43cb-92C2-25804820EDAC}">
                  <c15:fullRef>
                    <c15:sqref>'[决算公开附图(模板)仅供参考.xlsx]“三公”经费财政拨款支出结构图7'!$A$7:$A$11</c15:sqref>
                  </c15:fullRef>
                </c:ext>
              </c:extLst>
              <c:f>'[决算公开附图(模板)仅供参考.xlsx]“三公”经费财政拨款支出结构图7'!$A$7:$A$9</c:f>
              <c:strCache>
                <c:ptCount val="3"/>
                <c:pt idx="0">
                  <c:v>因公出国（境）费支出决算0万元</c:v>
                </c:pt>
                <c:pt idx="1">
                  <c:v>公务用车购置及运行维护费支出决算0万元</c:v>
                </c:pt>
                <c:pt idx="2">
                  <c:v>公务接待费支出决算1.02万元</c:v>
                </c:pt>
              </c:strCache>
            </c:strRef>
          </c:cat>
          <c:val>
            <c:numRef>
              <c:extLst>
                <c:ext xmlns:c15="http://schemas.microsoft.com/office/drawing/2012/chart" uri="{02D57815-91ED-43cb-92C2-25804820EDAC}">
                  <c15:fullRef>
                    <c15:sqref>“三公”经费财政拨款支出结构图7!$B$7:$B$11</c15:sqref>
                  </c15:fullRef>
                </c:ext>
              </c:extLst>
              <c:f>'[决算公开附图(模板)仅供参考.xlsx]“三公”经费财政拨款支出结构图7'!$B$7:$B$9</c:f>
              <c:numCache>
                <c:formatCode>0.00%</c:formatCode>
                <c:ptCount val="3"/>
                <c:pt idx="0">
                  <c:v>0</c:v>
                </c:pt>
                <c:pt idx="1">
                  <c:v>0</c:v>
                </c:pt>
                <c:pt idx="2">
                  <c:v>1</c:v>
                </c:pt>
              </c:numCache>
            </c:numRef>
          </c:val>
        </c:ser>
        <c:dLbls>
          <c:showLegendKey val="0"/>
          <c:showVal val="1"/>
          <c:showCatName val="0"/>
          <c:showSerName val="0"/>
          <c:showPercent val="0"/>
          <c:showBubbleSize val="0"/>
        </c:dLbls>
      </c:pie3DChart>
    </c:plotArea>
    <c:legend>
      <c:legendPos val="r"/>
      <c:layout>
        <c:manualLayout>
          <c:xMode val="edge"/>
          <c:yMode val="edge"/>
          <c:x val="0.655218855218855"/>
          <c:y val="0.310717502251576"/>
          <c:w val="0.324579124579125"/>
          <c:h val="0.652957069948964"/>
        </c:manualLayout>
      </c:layout>
      <c:overlay val="0"/>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legend>
    <c:plotVisOnly val="1"/>
    <c:dispBlanksAs val="gap"/>
    <c:showDLblsOverMax val="0"/>
  </c:chart>
  <c:spPr>
    <a:gradFill rotWithShape="1">
      <a:gsLst>
        <a:gs pos="0">
          <a:srgbClr val="DAFDA7">
            <a:tint val="50000"/>
            <a:satMod val="300000"/>
          </a:srgbClr>
        </a:gs>
        <a:gs pos="35000">
          <a:srgbClr val="E4FDC2">
            <a:tint val="37000"/>
            <a:satMod val="300000"/>
          </a:srgbClr>
        </a:gs>
        <a:gs pos="100000">
          <a:srgbClr val="F5FFE6">
            <a:tint val="15000"/>
            <a:satMod val="350000"/>
          </a:srgbClr>
        </a:gs>
      </a:gsLst>
      <a:lin ang="16200000" scaled="1"/>
    </a:gradFill>
    <a:ln w="9525" cap="flat" cmpd="sng" algn="ctr">
      <a:solidFill>
        <a:srgbClr val="98B954">
          <a:shade val="95000"/>
          <a:satMod val="105000"/>
        </a:srgbClr>
      </a:solidFill>
      <a:prstDash val="solid"/>
      <a:round/>
    </a:ln>
    <a:effectLst>
      <a:outerShdw blurRad="40000" dist="20000" dir="5400000" rotWithShape="0">
        <a:srgbClr val="000000">
          <a:alpha val="38000"/>
        </a:srgbClr>
      </a:outerShdw>
    </a:effectLst>
  </c:spPr>
  <c:txPr>
    <a:bodyPr/>
    <a:lstStyle/>
    <a:p>
      <a:pPr>
        <a:defRPr lang="zh-CN">
          <a:solidFill>
            <a:srgbClr val="000000"/>
          </a:solidFill>
          <a:latin typeface="+mn-lt"/>
          <a:ea typeface="+mn-ea"/>
          <a:cs typeface="+mn-cs"/>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6417</Words>
  <Characters>6898</Characters>
  <Lines>56</Lines>
  <Paragraphs>15</Paragraphs>
  <TotalTime>1</TotalTime>
  <ScaleCrop>false</ScaleCrop>
  <LinksUpToDate>false</LinksUpToDate>
  <CharactersWithSpaces>6961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2018-11-27T01:47:00Z</dcterms:created>
  <dc:creator>user</dc:creator>
  <cp:lastModifiedBy>脸上带红</cp:lastModifiedBy>
  <dcterms:modified xsi:type="dcterms:W3CDTF">2025-10-23T09:18:17Z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D06AB38FA68242A9A0B5569EA311C5B3_13</vt:lpwstr>
  </property>
  <property fmtid="{D5CDD505-2E9C-101B-9397-08002B2CF9AE}" pid="4" name="KSOTemplateDocerSaveRecord">
    <vt:lpwstr>eyJoZGlkIjoiNjE3NjdjZmJjYzMwZDY1ODYxY2FmNWFiODMwOGNhNzUiLCJ1c2VySWQiOiIyODg5NzY3MjEifQ==</vt:lpwstr>
  </property>
</Properties>
</file>