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77425"/>
      <w:bookmarkStart w:id="1" w:name="_Toc15378441"/>
      <w:bookmarkStart w:id="2" w:name="_Toc15396475"/>
      <w:bookmarkStart w:id="3" w:name="_Toc15306267"/>
      <w:bookmarkStart w:id="4" w:name="_Toc15396597"/>
      <w:bookmarkStart w:id="5" w:name="_Toc15377193"/>
    </w:p>
    <w:bookmarkEnd w:id="0"/>
    <w:bookmarkEnd w:id="1"/>
    <w:bookmarkEnd w:id="2"/>
    <w:bookmarkEnd w:id="3"/>
    <w:bookmarkEnd w:id="4"/>
    <w:bookmarkEnd w:id="5"/>
    <w:p>
      <w:pPr>
        <w:pStyle w:val="5"/>
        <w:spacing w:before="93"/>
        <w:rPr>
          <w:rFonts w:ascii="方正小标宋简体" w:hAnsi="宋体" w:eastAsia="方正小标宋简体"/>
          <w:kern w:val="2"/>
          <w:sz w:val="44"/>
          <w:szCs w:val="44"/>
        </w:rPr>
      </w:pPr>
    </w:p>
    <w:p>
      <w:pPr>
        <w:pStyle w:val="5"/>
        <w:spacing w:before="93"/>
        <w:jc w:val="center"/>
        <w:rPr>
          <w:rFonts w:hint="eastAsia" w:ascii="方正小标宋简体" w:hAnsi="宋体" w:eastAsia="方正小标宋简体"/>
          <w:kern w:val="2"/>
          <w:sz w:val="44"/>
          <w:szCs w:val="44"/>
        </w:rPr>
      </w:pPr>
    </w:p>
    <w:p>
      <w:pPr>
        <w:pStyle w:val="5"/>
        <w:spacing w:before="93"/>
        <w:ind w:firstLine="880" w:firstLineChars="200"/>
        <w:jc w:val="center"/>
        <w:rPr>
          <w:rFonts w:ascii="方正小标宋简体" w:hAnsi="宋体" w:eastAsia="方正小标宋简体"/>
          <w:kern w:val="2"/>
          <w:sz w:val="44"/>
          <w:szCs w:val="44"/>
        </w:rPr>
      </w:pPr>
      <w:r>
        <w:rPr>
          <w:rFonts w:hint="eastAsia" w:ascii="方正小标宋简体" w:hAnsi="宋体" w:eastAsia="方正小标宋简体"/>
          <w:kern w:val="2"/>
          <w:sz w:val="44"/>
          <w:szCs w:val="44"/>
        </w:rPr>
        <w:t>2024年度</w:t>
      </w:r>
      <w:bookmarkStart w:id="6" w:name="_Toc15377426"/>
      <w:bookmarkStart w:id="7" w:name="_Toc15396598"/>
      <w:bookmarkStart w:id="8" w:name="_Toc15396476"/>
      <w:bookmarkStart w:id="9" w:name="_Toc15378442"/>
      <w:bookmarkStart w:id="10" w:name="_Toc15377194"/>
    </w:p>
    <w:p>
      <w:pPr>
        <w:pStyle w:val="5"/>
        <w:spacing w:before="93"/>
        <w:ind w:firstLine="880" w:firstLineChars="200"/>
        <w:jc w:val="center"/>
        <w:rPr>
          <w:rFonts w:ascii="方正小标宋简体" w:hAnsi="宋体" w:eastAsia="方正小标宋简体"/>
          <w:kern w:val="2"/>
          <w:sz w:val="44"/>
          <w:szCs w:val="44"/>
        </w:rPr>
      </w:pPr>
      <w:bookmarkStart w:id="11" w:name="_Toc15306268"/>
      <w:r>
        <w:rPr>
          <w:rFonts w:hint="eastAsia" w:ascii="方正小标宋简体" w:hAnsi="宋体" w:eastAsia="方正小标宋简体"/>
          <w:kern w:val="2"/>
          <w:sz w:val="44"/>
          <w:szCs w:val="44"/>
        </w:rPr>
        <w:t>乐山市市中区信访局部门决算</w:t>
      </w:r>
      <w:bookmarkEnd w:id="6"/>
      <w:bookmarkEnd w:id="7"/>
      <w:bookmarkEnd w:id="8"/>
      <w:bookmarkEnd w:id="9"/>
      <w:bookmarkEnd w:id="10"/>
      <w:bookmarkEnd w:id="11"/>
    </w:p>
    <w:p>
      <w:pPr>
        <w:pStyle w:val="14"/>
        <w:adjustRightInd w:val="0"/>
        <w:snapToGrid w:val="0"/>
        <w:spacing w:line="560" w:lineRule="exact"/>
        <w:jc w:val="center"/>
        <w:rPr>
          <w:rFonts w:eastAsia="仿宋_GB2312" w:cs="仿宋_GB2312"/>
          <w:b/>
          <w:bCs/>
          <w:color w:val="FF0000"/>
          <w:sz w:val="32"/>
          <w:szCs w:val="32"/>
          <w:highlight w:val="yellow"/>
        </w:rPr>
      </w:pPr>
    </w:p>
    <w:p/>
    <w:p>
      <w:pPr>
        <w:widowControl/>
        <w:ind w:firstLine="720" w:firstLineChars="200"/>
        <w:jc w:val="center"/>
        <w:rPr>
          <w:rFonts w:eastAsia="方正小标宋简体"/>
          <w:sz w:val="36"/>
          <w:szCs w:val="36"/>
        </w:rPr>
      </w:pPr>
      <w:r>
        <w:rPr>
          <w:rFonts w:eastAsia="方正小标宋简体"/>
          <w:sz w:val="36"/>
          <w:szCs w:val="36"/>
        </w:rPr>
        <w:br w:type="page"/>
      </w:r>
    </w:p>
    <w:p>
      <w:pPr>
        <w:widowControl/>
        <w:ind w:firstLine="960" w:firstLineChars="200"/>
        <w:jc w:val="center"/>
        <w:rPr>
          <w:rFonts w:eastAsia="黑体" w:cstheme="minorBidi"/>
          <w:sz w:val="28"/>
          <w:szCs w:val="28"/>
        </w:rPr>
      </w:pPr>
      <w:r>
        <w:rPr>
          <w:rFonts w:hint="eastAsia" w:eastAsia="黑体"/>
          <w:sz w:val="48"/>
          <w:szCs w:val="48"/>
        </w:rPr>
        <w:t>目录</w:t>
      </w:r>
    </w:p>
    <w:p>
      <w:pPr>
        <w:pStyle w:val="12"/>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公开时间：2025年10月 </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日</w:t>
      </w:r>
    </w:p>
    <w:p>
      <w:pPr>
        <w:jc w:val="center"/>
        <w:rPr>
          <w:rFonts w:ascii="仿宋" w:hAnsi="仿宋" w:eastAsia="仿宋"/>
          <w:bCs/>
          <w:sz w:val="32"/>
          <w:szCs w:val="32"/>
          <w:highlight w:val="yellow"/>
        </w:rPr>
      </w:pPr>
    </w:p>
    <w:sdt>
      <w:sdtPr>
        <w:rPr>
          <w:rFonts w:ascii="宋体" w:hAnsi="宋体" w:eastAsia="宋体" w:cs="Times New Roman"/>
          <w:kern w:val="2"/>
          <w:sz w:val="21"/>
          <w:szCs w:val="24"/>
          <w:lang w:val="en-US" w:eastAsia="zh-CN" w:bidi="ar-SA"/>
        </w:rPr>
        <w:id w:val="147453778"/>
        <w15:color w:val="DBDBDB"/>
        <w:docPartObj>
          <w:docPartGallery w:val="Table of Contents"/>
          <w:docPartUnique/>
        </w:docPartObj>
      </w:sdtPr>
      <w:sdtEndPr>
        <w:rPr>
          <w:rFonts w:ascii="仿宋_GB2312" w:hAnsi="Times New Roman" w:eastAsia="宋体" w:cs="Times New Roman"/>
          <w:kern w:val="2"/>
          <w:sz w:val="21"/>
          <w:szCs w:val="32"/>
          <w:lang w:val="en-US" w:eastAsia="zh-CN" w:bidi="ar-SA"/>
        </w:rPr>
      </w:sdtEndPr>
      <w:sdtContent>
        <w:p>
          <w:pPr>
            <w:spacing w:before="0" w:beforeLines="0" w:after="0" w:afterLines="0" w:line="240" w:lineRule="auto"/>
            <w:ind w:left="0" w:leftChars="0" w:right="0" w:rightChars="0" w:firstLine="420" w:firstLineChars="200"/>
            <w:jc w:val="center"/>
          </w:pPr>
          <w:bookmarkStart w:id="100" w:name="_GoBack"/>
          <w:bookmarkEnd w:id="100"/>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640" w:firstLineChars="200"/>
            <w:textAlignment w:val="auto"/>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TOC \o "1-2" \h \u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Cs w:val="32"/>
            </w:rPr>
            <w:fldChar w:fldCharType="begin"/>
          </w:r>
          <w:r>
            <w:rPr>
              <w:rFonts w:hint="eastAsia" w:ascii="Times New Roman" w:hAnsi="Times New Roman" w:eastAsia="黑体" w:cs="黑体"/>
              <w:szCs w:val="32"/>
            </w:rPr>
            <w:instrText xml:space="preserve"> HYPERLINK \l _Toc18621 </w:instrText>
          </w:r>
          <w:r>
            <w:rPr>
              <w:rFonts w:hint="eastAsia" w:ascii="Times New Roman" w:hAnsi="Times New Roman" w:eastAsia="黑体" w:cs="黑体"/>
              <w:szCs w:val="32"/>
            </w:rPr>
            <w:fldChar w:fldCharType="separate"/>
          </w:r>
          <w:r>
            <w:rPr>
              <w:rFonts w:hint="eastAsia" w:eastAsia="方正小标宋简体" w:cs="方正小标宋简体"/>
            </w:rPr>
            <w:t>第一部分  部门概况</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_Toc18621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- 3 -</w:t>
          </w:r>
          <w:r>
            <w:rPr>
              <w:rFonts w:ascii="Times New Roman" w:hAnsi="Times New Roman" w:eastAsia="宋体" w:cs="Times New Roman"/>
              <w:kern w:val="2"/>
              <w:sz w:val="21"/>
              <w:szCs w:val="24"/>
              <w:lang w:val="en-US" w:eastAsia="zh-CN" w:bidi="ar-SA"/>
            </w:rPr>
            <w:fldChar w:fldCharType="end"/>
          </w:r>
          <w:r>
            <w:rPr>
              <w:rFonts w:hint="eastAsia" w:ascii="Times New Roman" w:hAnsi="Times New Roman" w:eastAsia="黑体" w:cs="黑体"/>
              <w:szCs w:val="32"/>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_Toc21330 </w:instrText>
          </w:r>
          <w:r>
            <w:fldChar w:fldCharType="separate"/>
          </w:r>
          <w:r>
            <w:rPr>
              <w:rFonts w:hint="eastAsia" w:ascii="Times New Roman" w:hAnsi="Times New Roman" w:eastAsia="黑体"/>
            </w:rPr>
            <w:t>一、部门职责</w:t>
          </w:r>
          <w:r>
            <w:tab/>
          </w:r>
          <w:r>
            <w:fldChar w:fldCharType="begin"/>
          </w:r>
          <w:r>
            <w:instrText xml:space="preserve"> PAGEREF _Toc21330 \h </w:instrText>
          </w:r>
          <w:r>
            <w:fldChar w:fldCharType="separate"/>
          </w:r>
          <w:r>
            <w:t>- 3 -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_Toc18085 </w:instrText>
          </w:r>
          <w:r>
            <w:fldChar w:fldCharType="separate"/>
          </w:r>
          <w:r>
            <w:rPr>
              <w:rFonts w:hint="eastAsia" w:ascii="Times New Roman" w:hAnsi="Times New Roman" w:eastAsia="黑体"/>
            </w:rPr>
            <w:t>二、机</w:t>
          </w:r>
          <w:r>
            <w:rPr>
              <w:rFonts w:hint="eastAsia" w:ascii="Times New Roman" w:hAnsi="Times New Roman" w:eastAsia="黑体"/>
              <w:bCs w:val="0"/>
            </w:rPr>
            <w:t>构设置</w:t>
          </w:r>
          <w:r>
            <w:tab/>
          </w:r>
          <w:r>
            <w:fldChar w:fldCharType="begin"/>
          </w:r>
          <w:r>
            <w:instrText xml:space="preserve"> PAGEREF _Toc18085 \h </w:instrText>
          </w:r>
          <w:r>
            <w:fldChar w:fldCharType="separate"/>
          </w:r>
          <w:r>
            <w:t>- 4 -</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560" w:firstLineChars="200"/>
            <w:textAlignment w:val="auto"/>
          </w:pPr>
          <w:r>
            <w:fldChar w:fldCharType="begin"/>
          </w:r>
          <w:r>
            <w:instrText xml:space="preserve"> HYPERLINK \l _Toc13544 </w:instrText>
          </w:r>
          <w:r>
            <w:fldChar w:fldCharType="separate"/>
          </w:r>
          <w:r>
            <w:rPr>
              <w:rFonts w:hint="eastAsia" w:eastAsia="方正小标宋简体" w:cs="方正小标宋简体"/>
            </w:rPr>
            <w:t xml:space="preserve">第二部分 </w:t>
          </w:r>
          <w:r>
            <w:rPr>
              <w:rFonts w:hint="eastAsia" w:eastAsia="方正小标宋简体" w:cs="方正小标宋简体"/>
              <w:b/>
              <w:bCs/>
            </w:rPr>
            <w:t xml:space="preserve"> 2024</w:t>
          </w:r>
          <w:r>
            <w:rPr>
              <w:rFonts w:hint="eastAsia" w:eastAsia="方正小标宋简体" w:cs="方正小标宋简体"/>
            </w:rPr>
            <w:t>年度部门决算情况说明</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_Toc13544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- 4 -</w:t>
          </w:r>
          <w:r>
            <w:rPr>
              <w:rFonts w:ascii="Times New Roman" w:hAnsi="Times New Roman" w:eastAsia="宋体" w:cs="Times New Roman"/>
              <w:kern w:val="2"/>
              <w:sz w:val="21"/>
              <w:szCs w:val="24"/>
              <w:lang w:val="en-US" w:eastAsia="zh-CN" w:bidi="ar-SA"/>
            </w:rP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_Toc19741 </w:instrText>
          </w:r>
          <w:r>
            <w:fldChar w:fldCharType="separate"/>
          </w:r>
          <w:r>
            <w:rPr>
              <w:rFonts w:hint="eastAsia" w:eastAsia="黑体"/>
              <w:szCs w:val="32"/>
            </w:rPr>
            <w:t>一、收</w:t>
          </w:r>
          <w:r>
            <w:rPr>
              <w:rFonts w:hint="eastAsia" w:ascii="Times New Roman" w:hAnsi="Times New Roman" w:eastAsia="黑体"/>
            </w:rPr>
            <w:t>入支出决算总体情况说明</w:t>
          </w:r>
          <w:r>
            <w:tab/>
          </w:r>
          <w:r>
            <w:fldChar w:fldCharType="begin"/>
          </w:r>
          <w:r>
            <w:instrText xml:space="preserve"> PAGEREF _Toc19741 \h </w:instrText>
          </w:r>
          <w:r>
            <w:fldChar w:fldCharType="separate"/>
          </w:r>
          <w:r>
            <w:t>- 4 -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_Toc26740 </w:instrText>
          </w:r>
          <w:r>
            <w:fldChar w:fldCharType="separate"/>
          </w:r>
          <w:r>
            <w:rPr>
              <w:rFonts w:hint="eastAsia" w:eastAsia="黑体"/>
              <w:szCs w:val="32"/>
            </w:rPr>
            <w:t>二、收入决算情况说明</w:t>
          </w:r>
          <w:r>
            <w:tab/>
          </w:r>
          <w:r>
            <w:fldChar w:fldCharType="begin"/>
          </w:r>
          <w:r>
            <w:instrText xml:space="preserve"> PAGEREF _Toc26740 \h </w:instrText>
          </w:r>
          <w:r>
            <w:fldChar w:fldCharType="separate"/>
          </w:r>
          <w:r>
            <w:t>- 5 -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_Toc961 </w:instrText>
          </w:r>
          <w:r>
            <w:fldChar w:fldCharType="separate"/>
          </w:r>
          <w:r>
            <w:rPr>
              <w:rFonts w:hint="eastAsia" w:eastAsia="黑体"/>
              <w:szCs w:val="32"/>
            </w:rPr>
            <w:t>三、支</w:t>
          </w:r>
          <w:r>
            <w:rPr>
              <w:rFonts w:hint="eastAsia" w:ascii="Times New Roman" w:hAnsi="Times New Roman" w:eastAsia="黑体"/>
            </w:rPr>
            <w:t>出决算情况说明</w:t>
          </w:r>
          <w:r>
            <w:tab/>
          </w:r>
          <w:r>
            <w:fldChar w:fldCharType="begin"/>
          </w:r>
          <w:r>
            <w:instrText xml:space="preserve"> PAGEREF _Toc961 \h </w:instrText>
          </w:r>
          <w:r>
            <w:fldChar w:fldCharType="separate"/>
          </w:r>
          <w:r>
            <w:t>- 5 -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_Toc24146 </w:instrText>
          </w:r>
          <w:r>
            <w:fldChar w:fldCharType="separate"/>
          </w:r>
          <w:r>
            <w:rPr>
              <w:rFonts w:hint="eastAsia" w:eastAsia="黑体"/>
              <w:szCs w:val="32"/>
            </w:rPr>
            <w:t>四、财</w:t>
          </w:r>
          <w:r>
            <w:rPr>
              <w:rFonts w:hint="eastAsia" w:ascii="Times New Roman" w:hAnsi="Times New Roman" w:eastAsia="黑体"/>
            </w:rPr>
            <w:t>政拨款收入支出决算总体情况说明</w:t>
          </w:r>
          <w:r>
            <w:tab/>
          </w:r>
          <w:r>
            <w:fldChar w:fldCharType="begin"/>
          </w:r>
          <w:r>
            <w:instrText xml:space="preserve"> PAGEREF _Toc24146 \h </w:instrText>
          </w:r>
          <w:r>
            <w:fldChar w:fldCharType="separate"/>
          </w:r>
          <w:r>
            <w:t>- 6 -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_Toc11234 </w:instrText>
          </w:r>
          <w:r>
            <w:fldChar w:fldCharType="separate"/>
          </w:r>
          <w:r>
            <w:rPr>
              <w:rFonts w:hint="eastAsia" w:eastAsia="黑体"/>
              <w:szCs w:val="32"/>
            </w:rPr>
            <w:t>五、一</w:t>
          </w:r>
          <w:r>
            <w:rPr>
              <w:rFonts w:hint="eastAsia" w:ascii="Times New Roman" w:hAnsi="Times New Roman" w:eastAsia="黑体"/>
            </w:rPr>
            <w:t>般公共预算财政拨款支出决算情况说明</w:t>
          </w:r>
          <w:r>
            <w:tab/>
          </w:r>
          <w:r>
            <w:fldChar w:fldCharType="begin"/>
          </w:r>
          <w:r>
            <w:instrText xml:space="preserve"> PAGEREF _Toc11234 \h </w:instrText>
          </w:r>
          <w:r>
            <w:fldChar w:fldCharType="separate"/>
          </w:r>
          <w:r>
            <w:t>- 6 -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_Toc17235 </w:instrText>
          </w:r>
          <w:r>
            <w:fldChar w:fldCharType="separate"/>
          </w:r>
          <w:r>
            <w:rPr>
              <w:rFonts w:hint="eastAsia" w:eastAsia="黑体"/>
              <w:szCs w:val="32"/>
            </w:rPr>
            <w:t>六、一</w:t>
          </w:r>
          <w:r>
            <w:rPr>
              <w:rFonts w:hint="eastAsia" w:ascii="Times New Roman" w:hAnsi="Times New Roman" w:eastAsia="黑体"/>
            </w:rPr>
            <w:t>般公共预算财政拨款基本支出决算情况说明</w:t>
          </w:r>
          <w:r>
            <w:tab/>
          </w:r>
          <w:r>
            <w:fldChar w:fldCharType="begin"/>
          </w:r>
          <w:r>
            <w:instrText xml:space="preserve"> PAGEREF _Toc17235 \h </w:instrText>
          </w:r>
          <w:r>
            <w:fldChar w:fldCharType="separate"/>
          </w:r>
          <w:r>
            <w:t>- 9 -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_Toc29905 </w:instrText>
          </w:r>
          <w:r>
            <w:fldChar w:fldCharType="separate"/>
          </w:r>
          <w:r>
            <w:rPr>
              <w:rFonts w:hint="eastAsia" w:eastAsia="黑体"/>
              <w:szCs w:val="32"/>
            </w:rPr>
            <w:t>七、</w:t>
          </w:r>
          <w:r>
            <w:rPr>
              <w:rFonts w:hint="eastAsia" w:ascii="Times New Roman" w:hAnsi="Times New Roman" w:eastAsia="黑体"/>
            </w:rPr>
            <w:t>财政拨款“三公”经费支出决算情况说明</w:t>
          </w:r>
          <w:r>
            <w:tab/>
          </w:r>
          <w:r>
            <w:fldChar w:fldCharType="begin"/>
          </w:r>
          <w:r>
            <w:instrText xml:space="preserve"> PAGEREF _Toc29905 \h </w:instrText>
          </w:r>
          <w:r>
            <w:fldChar w:fldCharType="separate"/>
          </w:r>
          <w:r>
            <w:t>- 10 -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_Toc20567 </w:instrText>
          </w:r>
          <w:r>
            <w:fldChar w:fldCharType="separate"/>
          </w:r>
          <w:r>
            <w:rPr>
              <w:rFonts w:hint="eastAsia" w:eastAsia="黑体"/>
              <w:szCs w:val="32"/>
            </w:rPr>
            <w:t>八、</w:t>
          </w:r>
          <w:r>
            <w:rPr>
              <w:rFonts w:hint="eastAsia" w:ascii="Times New Roman" w:hAnsi="Times New Roman" w:eastAsia="黑体"/>
            </w:rPr>
            <w:t>政府性基金预算支出决算情况说明</w:t>
          </w:r>
          <w:r>
            <w:tab/>
          </w:r>
          <w:r>
            <w:fldChar w:fldCharType="begin"/>
          </w:r>
          <w:r>
            <w:instrText xml:space="preserve"> PAGEREF _Toc20567 \h </w:instrText>
          </w:r>
          <w:r>
            <w:fldChar w:fldCharType="separate"/>
          </w:r>
          <w:r>
            <w:t>- 12 -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_Toc10094 </w:instrText>
          </w:r>
          <w:r>
            <w:fldChar w:fldCharType="separate"/>
          </w:r>
          <w:r>
            <w:rPr>
              <w:rFonts w:hint="eastAsia" w:ascii="Times New Roman" w:hAnsi="Times New Roman" w:eastAsia="黑体"/>
            </w:rPr>
            <w:t>九、国有资本经营预算支出决算情况说明</w:t>
          </w:r>
          <w:r>
            <w:tab/>
          </w:r>
          <w:r>
            <w:fldChar w:fldCharType="begin"/>
          </w:r>
          <w:r>
            <w:instrText xml:space="preserve"> PAGEREF _Toc10094 \h </w:instrText>
          </w:r>
          <w:r>
            <w:fldChar w:fldCharType="separate"/>
          </w:r>
          <w:r>
            <w:t>- 12 -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_Toc30755 </w:instrText>
          </w:r>
          <w:r>
            <w:fldChar w:fldCharType="separate"/>
          </w:r>
          <w:r>
            <w:rPr>
              <w:rFonts w:hint="eastAsia" w:ascii="Times New Roman" w:hAnsi="Times New Roman" w:eastAsia="黑体"/>
            </w:rPr>
            <w:t>十、其他重要事项的情况说明</w:t>
          </w:r>
          <w:r>
            <w:tab/>
          </w:r>
          <w:r>
            <w:fldChar w:fldCharType="begin"/>
          </w:r>
          <w:r>
            <w:instrText xml:space="preserve"> PAGEREF _Toc30755 \h </w:instrText>
          </w:r>
          <w:r>
            <w:fldChar w:fldCharType="separate"/>
          </w:r>
          <w:r>
            <w:t>- 12 -</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560" w:firstLineChars="200"/>
            <w:textAlignment w:val="auto"/>
          </w:pPr>
          <w:r>
            <w:fldChar w:fldCharType="begin"/>
          </w:r>
          <w:r>
            <w:instrText xml:space="preserve"> HYPERLINK \l _Toc2890 </w:instrText>
          </w:r>
          <w:r>
            <w:fldChar w:fldCharType="separate"/>
          </w:r>
          <w:r>
            <w:rPr>
              <w:rFonts w:hint="eastAsia" w:eastAsia="方正小标宋简体" w:cs="方正小标宋简体"/>
            </w:rPr>
            <w:t>第三部分  名词解释</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_Toc2890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- 14 -</w:t>
          </w:r>
          <w:r>
            <w:rPr>
              <w:rFonts w:ascii="Times New Roman" w:hAnsi="Times New Roman" w:eastAsia="宋体" w:cs="Times New Roman"/>
              <w:kern w:val="2"/>
              <w:sz w:val="21"/>
              <w:szCs w:val="24"/>
              <w:lang w:val="en-US" w:eastAsia="zh-CN" w:bidi="ar-SA"/>
            </w:rP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560" w:firstLineChars="200"/>
            <w:textAlignment w:val="auto"/>
          </w:pPr>
          <w:r>
            <w:fldChar w:fldCharType="begin"/>
          </w:r>
          <w:r>
            <w:instrText xml:space="preserve"> HYPERLINK \l _Toc27757 </w:instrText>
          </w:r>
          <w:r>
            <w:fldChar w:fldCharType="separate"/>
          </w:r>
          <w:r>
            <w:rPr>
              <w:rFonts w:hint="eastAsia" w:eastAsia="方正小标宋简体" w:cs="方正小标宋简体"/>
            </w:rPr>
            <w:t>第四部分  附件</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_Toc27757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- 18 -</w:t>
          </w:r>
          <w:r>
            <w:rPr>
              <w:rFonts w:ascii="Times New Roman" w:hAnsi="Times New Roman" w:eastAsia="宋体" w:cs="Times New Roman"/>
              <w:kern w:val="2"/>
              <w:sz w:val="21"/>
              <w:szCs w:val="24"/>
              <w:lang w:val="en-US" w:eastAsia="zh-CN" w:bidi="ar-SA"/>
            </w:rP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560" w:firstLineChars="200"/>
            <w:textAlignment w:val="auto"/>
          </w:pPr>
          <w:r>
            <w:fldChar w:fldCharType="begin"/>
          </w:r>
          <w:r>
            <w:instrText xml:space="preserve"> HYPERLINK \l _Toc14827 </w:instrText>
          </w:r>
          <w:r>
            <w:fldChar w:fldCharType="separate"/>
          </w:r>
          <w:r>
            <w:rPr>
              <w:rFonts w:hint="eastAsia" w:eastAsia="方正小标宋简体" w:cs="方正小标宋简体"/>
            </w:rPr>
            <w:t>第五部分 附表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_Toc14827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- 29 -</w:t>
          </w:r>
          <w:r>
            <w:rPr>
              <w:rFonts w:ascii="Times New Roman" w:hAnsi="Times New Roman" w:eastAsia="宋体" w:cs="Times New Roman"/>
              <w:kern w:val="2"/>
              <w:sz w:val="21"/>
              <w:szCs w:val="24"/>
              <w:lang w:val="en-US" w:eastAsia="zh-CN" w:bidi="ar-SA"/>
            </w:rP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_Toc31919 </w:instrText>
          </w:r>
          <w:r>
            <w:fldChar w:fldCharType="separate"/>
          </w:r>
          <w:r>
            <w:rPr>
              <w:rFonts w:hint="eastAsia" w:ascii="黑体" w:hAnsi="黑体" w:eastAsia="黑体" w:cs="黑体"/>
              <w:szCs w:val="32"/>
            </w:rPr>
            <w:t>一、收入支出决算总表</w:t>
          </w:r>
          <w:r>
            <w:tab/>
          </w:r>
          <w:r>
            <w:fldChar w:fldCharType="begin"/>
          </w:r>
          <w:r>
            <w:instrText xml:space="preserve"> PAGEREF _Toc31919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_Toc30942 </w:instrText>
          </w:r>
          <w:r>
            <w:fldChar w:fldCharType="separate"/>
          </w:r>
          <w:r>
            <w:rPr>
              <w:rFonts w:hint="eastAsia" w:ascii="黑体" w:hAnsi="黑体" w:eastAsia="黑体" w:cs="黑体"/>
              <w:szCs w:val="32"/>
            </w:rPr>
            <w:t>二、收入决算表</w:t>
          </w:r>
          <w:r>
            <w:tab/>
          </w:r>
          <w:r>
            <w:fldChar w:fldCharType="begin"/>
          </w:r>
          <w:r>
            <w:instrText xml:space="preserve"> PAGEREF _Toc30942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_Toc9290 </w:instrText>
          </w:r>
          <w:r>
            <w:fldChar w:fldCharType="separate"/>
          </w:r>
          <w:r>
            <w:rPr>
              <w:rFonts w:hint="eastAsia" w:ascii="黑体" w:hAnsi="黑体" w:eastAsia="黑体" w:cs="黑体"/>
              <w:szCs w:val="32"/>
            </w:rPr>
            <w:t>三、支出决算表</w:t>
          </w:r>
          <w:r>
            <w:tab/>
          </w:r>
          <w:r>
            <w:fldChar w:fldCharType="begin"/>
          </w:r>
          <w:r>
            <w:instrText xml:space="preserve"> PAGEREF _Toc9290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_Toc14793 </w:instrText>
          </w:r>
          <w:r>
            <w:fldChar w:fldCharType="separate"/>
          </w:r>
          <w:r>
            <w:rPr>
              <w:rFonts w:hint="eastAsia" w:ascii="黑体" w:hAnsi="黑体" w:eastAsia="黑体" w:cs="黑体"/>
              <w:szCs w:val="32"/>
            </w:rPr>
            <w:t>四、财政拨款收入支出决算总表</w:t>
          </w:r>
          <w:r>
            <w:tab/>
          </w:r>
          <w:r>
            <w:fldChar w:fldCharType="begin"/>
          </w:r>
          <w:r>
            <w:instrText xml:space="preserve"> PAGEREF _Toc14793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_Toc2809 </w:instrText>
          </w:r>
          <w:r>
            <w:fldChar w:fldCharType="separate"/>
          </w:r>
          <w:r>
            <w:rPr>
              <w:rFonts w:hint="eastAsia" w:ascii="黑体" w:hAnsi="黑体" w:eastAsia="黑体" w:cs="黑体"/>
              <w:szCs w:val="32"/>
            </w:rPr>
            <w:t>五、财政拨款支出决算明细表</w:t>
          </w:r>
          <w:r>
            <w:tab/>
          </w:r>
          <w:r>
            <w:fldChar w:fldCharType="begin"/>
          </w:r>
          <w:r>
            <w:instrText xml:space="preserve"> PAGEREF _Toc2809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_Toc6038 </w:instrText>
          </w:r>
          <w:r>
            <w:fldChar w:fldCharType="separate"/>
          </w:r>
          <w:r>
            <w:rPr>
              <w:rFonts w:hint="eastAsia" w:ascii="黑体" w:hAnsi="黑体" w:eastAsia="黑体" w:cs="黑体"/>
              <w:szCs w:val="32"/>
            </w:rPr>
            <w:t>六、一般公共预算财政拨款支出决算表</w:t>
          </w:r>
          <w:r>
            <w:tab/>
          </w:r>
          <w:r>
            <w:fldChar w:fldCharType="begin"/>
          </w:r>
          <w:r>
            <w:instrText xml:space="preserve"> PAGEREF _Toc6038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_Toc4518 </w:instrText>
          </w:r>
          <w:r>
            <w:fldChar w:fldCharType="separate"/>
          </w:r>
          <w:r>
            <w:rPr>
              <w:rFonts w:hint="eastAsia" w:ascii="黑体" w:hAnsi="黑体" w:eastAsia="黑体" w:cs="黑体"/>
              <w:szCs w:val="32"/>
            </w:rPr>
            <w:t>七、一般公共预算财政拨款支出决算明细表</w:t>
          </w:r>
          <w:r>
            <w:tab/>
          </w:r>
          <w:r>
            <w:fldChar w:fldCharType="begin"/>
          </w:r>
          <w:r>
            <w:instrText xml:space="preserve"> PAGEREF _Toc4518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_Toc8813 </w:instrText>
          </w:r>
          <w:r>
            <w:fldChar w:fldCharType="separate"/>
          </w:r>
          <w:r>
            <w:rPr>
              <w:rFonts w:hint="eastAsia" w:ascii="黑体" w:hAnsi="黑体" w:eastAsia="黑体" w:cs="黑体"/>
              <w:szCs w:val="32"/>
            </w:rPr>
            <w:t>八、一般公共预算财政拨款基本支出决算表</w:t>
          </w:r>
          <w:r>
            <w:tab/>
          </w:r>
          <w:r>
            <w:fldChar w:fldCharType="begin"/>
          </w:r>
          <w:r>
            <w:instrText xml:space="preserve"> PAGEREF _Toc8813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_Toc5920 </w:instrText>
          </w:r>
          <w:r>
            <w:fldChar w:fldCharType="separate"/>
          </w:r>
          <w:r>
            <w:rPr>
              <w:rFonts w:hint="eastAsia" w:ascii="黑体" w:hAnsi="黑体" w:eastAsia="黑体" w:cs="黑体"/>
              <w:szCs w:val="32"/>
            </w:rPr>
            <w:t>九、一般公共预算财政拨款项目支出决算表</w:t>
          </w:r>
          <w:r>
            <w:tab/>
          </w:r>
          <w:r>
            <w:fldChar w:fldCharType="begin"/>
          </w:r>
          <w:r>
            <w:instrText xml:space="preserve"> PAGEREF _Toc5920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_Toc6176 </w:instrText>
          </w:r>
          <w:r>
            <w:fldChar w:fldCharType="separate"/>
          </w:r>
          <w:r>
            <w:rPr>
              <w:rFonts w:hint="eastAsia" w:ascii="黑体" w:hAnsi="黑体" w:eastAsia="黑体" w:cs="黑体"/>
              <w:szCs w:val="32"/>
            </w:rPr>
            <w:t>十、政府性基金预算财政拨款收入支出决算表</w:t>
          </w:r>
          <w:r>
            <w:tab/>
          </w:r>
          <w:r>
            <w:fldChar w:fldCharType="begin"/>
          </w:r>
          <w:r>
            <w:instrText xml:space="preserve"> PAGEREF _Toc6176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_Toc15170 </w:instrText>
          </w:r>
          <w:r>
            <w:fldChar w:fldCharType="separate"/>
          </w:r>
          <w:r>
            <w:rPr>
              <w:rFonts w:hint="eastAsia" w:ascii="黑体" w:hAnsi="黑体" w:eastAsia="黑体" w:cs="黑体"/>
              <w:szCs w:val="32"/>
            </w:rPr>
            <w:t>十一、国有资本经营预算财政拨款收入支出决算表</w:t>
          </w:r>
          <w:r>
            <w:tab/>
          </w:r>
          <w:r>
            <w:fldChar w:fldCharType="begin"/>
          </w:r>
          <w:r>
            <w:instrText xml:space="preserve"> PAGEREF _Toc15170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_Toc21799 </w:instrText>
          </w:r>
          <w:r>
            <w:fldChar w:fldCharType="separate"/>
          </w:r>
          <w:r>
            <w:rPr>
              <w:rFonts w:hint="eastAsia" w:ascii="黑体" w:hAnsi="黑体" w:eastAsia="黑体" w:cs="黑体"/>
              <w:szCs w:val="32"/>
            </w:rPr>
            <w:t>十二、国有资本经营预算财政拨款支出决算表</w:t>
          </w:r>
          <w:r>
            <w:tab/>
          </w:r>
          <w:r>
            <w:fldChar w:fldCharType="begin"/>
          </w:r>
          <w:r>
            <w:instrText xml:space="preserve"> PAGEREF _Toc21799 \h </w:instrText>
          </w:r>
          <w:r>
            <w:fldChar w:fldCharType="separate"/>
          </w:r>
          <w:r>
            <w:t>- 29 -</w:t>
          </w:r>
          <w:r>
            <w:fldChar w:fldCharType="end"/>
          </w:r>
          <w: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80" w:lineRule="exact"/>
            <w:ind w:firstLine="420" w:firstLineChars="200"/>
            <w:textAlignment w:val="auto"/>
          </w:pPr>
          <w:r>
            <w:fldChar w:fldCharType="begin"/>
          </w:r>
          <w:r>
            <w:instrText xml:space="preserve"> HYPERLINK \l _Toc23687 </w:instrText>
          </w:r>
          <w:r>
            <w:fldChar w:fldCharType="separate"/>
          </w:r>
          <w:r>
            <w:rPr>
              <w:rFonts w:hint="eastAsia" w:ascii="黑体" w:hAnsi="黑体" w:eastAsia="黑体" w:cs="黑体"/>
              <w:szCs w:val="32"/>
            </w:rPr>
            <w:t>十三、财政拨款“三公”经费支出决算表</w:t>
          </w:r>
          <w:r>
            <w:tab/>
          </w:r>
          <w:r>
            <w:fldChar w:fldCharType="begin"/>
          </w:r>
          <w:r>
            <w:instrText xml:space="preserve"> PAGEREF _Toc23687 \h </w:instrText>
          </w:r>
          <w:r>
            <w:fldChar w:fldCharType="separate"/>
          </w:r>
          <w:r>
            <w:t>- 29 -</w:t>
          </w:r>
          <w:r>
            <w:fldChar w:fldCharType="end"/>
          </w:r>
          <w:r>
            <w:fldChar w:fldCharType="end"/>
          </w:r>
        </w:p>
        <w:p>
          <w:pPr>
            <w:pStyle w:val="7"/>
            <w:keepNext w:val="0"/>
            <w:keepLines w:val="0"/>
            <w:pageBreakBefore w:val="0"/>
            <w:widowControl w:val="0"/>
            <w:kinsoku/>
            <w:wordWrap/>
            <w:overflowPunct/>
            <w:topLinePunct w:val="0"/>
            <w:autoSpaceDE/>
            <w:autoSpaceDN/>
            <w:bidi w:val="0"/>
            <w:spacing w:after="0" w:line="240" w:lineRule="auto"/>
            <w:ind w:left="0" w:leftChars="0" w:firstLine="420" w:firstLineChars="200"/>
            <w:textAlignment w:val="auto"/>
            <w:rPr>
              <w:rFonts w:ascii="仿宋_GB2312" w:hAnsi="Times New Roman" w:eastAsia="宋体" w:cs="Times New Roman"/>
              <w:kern w:val="2"/>
              <w:sz w:val="21"/>
              <w:szCs w:val="32"/>
              <w:lang w:val="en-US" w:eastAsia="zh-CN" w:bidi="ar-SA"/>
            </w:rPr>
          </w:pPr>
          <w:r>
            <w:fldChar w:fldCharType="end"/>
          </w:r>
        </w:p>
      </w:sdtContent>
    </w:sdt>
    <w:p/>
    <w:p>
      <w:pPr>
        <w:pStyle w:val="2"/>
        <w:ind w:firstLine="880" w:firstLineChars="200"/>
        <w:jc w:val="center"/>
        <w:rPr>
          <w:rFonts w:eastAsia="黑体"/>
          <w:sz w:val="32"/>
          <w:szCs w:val="32"/>
        </w:rPr>
      </w:pPr>
      <w:bookmarkStart w:id="12" w:name="_Toc15377196"/>
      <w:bookmarkStart w:id="13" w:name="_Toc15396599"/>
      <w:bookmarkStart w:id="14" w:name="_Toc18621"/>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bookmarkEnd w:id="14"/>
    </w:p>
    <w:p>
      <w:pPr>
        <w:pStyle w:val="3"/>
        <w:ind w:firstLine="640" w:firstLineChars="200"/>
        <w:rPr>
          <w:rFonts w:ascii="Times New Roman" w:hAnsi="Times New Roman" w:eastAsia="黑体"/>
          <w:b w:val="0"/>
        </w:rPr>
      </w:pPr>
      <w:bookmarkStart w:id="15" w:name="_Toc15396600"/>
      <w:bookmarkStart w:id="16" w:name="_Toc15377197"/>
      <w:bookmarkStart w:id="17" w:name="_Toc21330"/>
      <w:r>
        <w:rPr>
          <w:rFonts w:hint="eastAsia" w:ascii="Times New Roman" w:hAnsi="Times New Roman" w:eastAsia="黑体"/>
          <w:b w:val="0"/>
        </w:rPr>
        <w:t>一、</w:t>
      </w:r>
      <w:bookmarkEnd w:id="15"/>
      <w:bookmarkEnd w:id="16"/>
      <w:r>
        <w:rPr>
          <w:rFonts w:hint="eastAsia" w:ascii="Times New Roman" w:hAnsi="Times New Roman" w:eastAsia="黑体"/>
          <w:b w:val="0"/>
        </w:rPr>
        <w:t>部门职责</w:t>
      </w:r>
      <w:bookmarkEnd w:id="17"/>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（一）负责处理区内外群众给区委、区政府的来信，接待群众来访，保证信访渠道畅通；及时、准确地向区委、区政府领导反映来信来访中提出的重要建议、意见和问题。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（二）承办上级党委、政府和区委、区政府交办的信访事项；督促检查领导同志有关信访批示的落实情况；向各乡镇、街道、区级各部门交办信访事项，督促检查重要信访事项的处理和落实。</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（三）协调处理跨部门的重要信访问题；协调处理群众集体到区委、区政府及有关部门的上访和异常、突发信访事件；检查、指导、协调各乡镇、街道和区级各部门的信访工作。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（四）综合分析信访信息，开展调查研究，提出改进和加强信访工作的意见和建议；负责信访工作的宣传和信息发布，通报重大信访问题和信访事件。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0" w:firstLineChars="200"/>
        <w:jc w:val="both"/>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（五）了解掌握全区信访和群众工作队伍建设情况，组织信访干部培训。</w:t>
      </w:r>
    </w:p>
    <w:p>
      <w:pPr>
        <w:ind w:firstLine="640" w:firstLineChars="200"/>
        <w:outlineLvl w:val="9"/>
        <w:rPr>
          <w:b w:val="0"/>
        </w:rPr>
      </w:pPr>
      <w:r>
        <w:rPr>
          <w:rFonts w:hint="eastAsia" w:ascii="仿宋_GB2312" w:hAnsi="仿宋" w:eastAsia="仿宋_GB2312" w:cs="Times New Roman"/>
          <w:kern w:val="2"/>
          <w:sz w:val="32"/>
          <w:szCs w:val="32"/>
          <w:highlight w:val="none"/>
          <w:lang w:val="en-US" w:eastAsia="zh-CN" w:bidi="ar-SA"/>
        </w:rPr>
        <w:t>（六）完成区委、区政府交办的其他工作。</w:t>
      </w:r>
    </w:p>
    <w:p>
      <w:pPr>
        <w:pStyle w:val="3"/>
        <w:ind w:firstLine="640" w:firstLineChars="200"/>
        <w:rPr>
          <w:rStyle w:val="30"/>
          <w:rFonts w:ascii="Times New Roman" w:hAnsi="Times New Roman"/>
          <w:b w:val="0"/>
          <w:bCs w:val="0"/>
        </w:rPr>
      </w:pPr>
      <w:bookmarkStart w:id="18" w:name="_Toc15396601"/>
      <w:bookmarkStart w:id="19" w:name="_Toc15377200"/>
      <w:bookmarkStart w:id="20" w:name="_Toc18085"/>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8"/>
      <w:bookmarkEnd w:id="19"/>
      <w:bookmarkEnd w:id="20"/>
    </w:p>
    <w:p>
      <w:pPr>
        <w:ind w:firstLine="640" w:firstLineChars="200"/>
        <w:rPr>
          <w:rFonts w:eastAsia="仿宋_GB2312" w:cs="仿宋_GB2312"/>
          <w:sz w:val="32"/>
          <w:szCs w:val="32"/>
        </w:rPr>
      </w:pPr>
      <w:r>
        <w:rPr>
          <w:rFonts w:hint="eastAsia" w:ascii="仿宋_GB2312" w:hAnsi="仿宋_GB2312" w:eastAsia="仿宋_GB2312" w:cs="仿宋_GB2312"/>
          <w:sz w:val="32"/>
          <w:szCs w:val="32"/>
        </w:rPr>
        <w:t>乐山市市中区</w:t>
      </w:r>
      <w:r>
        <w:rPr>
          <w:rFonts w:hint="eastAsia" w:eastAsia="仿宋_GB2312" w:cs="仿宋_GB2312"/>
          <w:sz w:val="32"/>
          <w:szCs w:val="32"/>
          <w:lang w:val="en-US" w:eastAsia="zh-CN"/>
        </w:rPr>
        <w:t>信访</w:t>
      </w:r>
      <w:r>
        <w:rPr>
          <w:rFonts w:hint="eastAsia" w:eastAsia="仿宋_GB2312" w:cs="仿宋_GB2312"/>
          <w:sz w:val="32"/>
          <w:szCs w:val="32"/>
        </w:rPr>
        <w:t>局下属二级预算单位</w:t>
      </w:r>
      <w:r>
        <w:rPr>
          <w:rFonts w:hint="eastAsia" w:eastAsia="仿宋_GB2312" w:cs="仿宋_GB2312"/>
          <w:sz w:val="32"/>
          <w:szCs w:val="32"/>
          <w:lang w:val="en-US" w:eastAsia="zh-CN"/>
        </w:rPr>
        <w:t>1</w:t>
      </w:r>
      <w:r>
        <w:rPr>
          <w:rFonts w:hint="eastAsia" w:eastAsia="仿宋_GB2312" w:cs="仿宋_GB2312"/>
          <w:sz w:val="32"/>
          <w:szCs w:val="32"/>
        </w:rPr>
        <w:t>个，其中行政单位</w:t>
      </w:r>
      <w:r>
        <w:rPr>
          <w:rFonts w:hint="eastAsia" w:eastAsia="仿宋_GB2312" w:cs="仿宋_GB2312"/>
          <w:sz w:val="32"/>
          <w:szCs w:val="32"/>
          <w:lang w:val="en-US" w:eastAsia="zh-CN"/>
        </w:rPr>
        <w:t>1</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0</w:t>
      </w:r>
      <w:r>
        <w:rPr>
          <w:rFonts w:hint="eastAsia" w:eastAsia="仿宋_GB2312" w:cs="仿宋_GB2312"/>
          <w:sz w:val="32"/>
          <w:szCs w:val="32"/>
        </w:rPr>
        <w:t>个。</w:t>
      </w:r>
    </w:p>
    <w:p>
      <w:pPr>
        <w:pStyle w:val="5"/>
        <w:adjustRightInd w:val="0"/>
        <w:snapToGrid w:val="0"/>
        <w:spacing w:before="93" w:line="600" w:lineRule="exact"/>
        <w:ind w:firstLine="640" w:firstLineChars="200"/>
        <w:rPr>
          <w:rFonts w:ascii="Times New Roman" w:cs="仿宋_GB2312"/>
          <w:sz w:val="32"/>
          <w:szCs w:val="32"/>
        </w:rPr>
      </w:pPr>
      <w:r>
        <w:rPr>
          <w:rFonts w:hint="eastAsia" w:ascii="Times New Roman" w:cs="仿宋_GB2312"/>
          <w:sz w:val="32"/>
          <w:szCs w:val="32"/>
        </w:rPr>
        <w:t>纳入</w:t>
      </w:r>
      <w:r>
        <w:rPr>
          <w:rFonts w:hint="eastAsia" w:hAnsi="仿宋_GB2312" w:cs="仿宋_GB2312"/>
          <w:sz w:val="32"/>
          <w:szCs w:val="32"/>
        </w:rPr>
        <w:t>乐山市市中区</w:t>
      </w:r>
      <w:r>
        <w:rPr>
          <w:rFonts w:hint="eastAsia" w:ascii="Times New Roman" w:cs="仿宋_GB2312"/>
          <w:sz w:val="32"/>
          <w:szCs w:val="32"/>
          <w:lang w:val="en-US" w:eastAsia="zh-CN"/>
        </w:rPr>
        <w:t>信访</w:t>
      </w:r>
      <w:r>
        <w:rPr>
          <w:rFonts w:hint="eastAsia" w:cs="仿宋_GB2312"/>
          <w:sz w:val="32"/>
          <w:szCs w:val="32"/>
        </w:rPr>
        <w:t>局</w:t>
      </w:r>
      <w:r>
        <w:rPr>
          <w:rFonts w:hint="eastAsia" w:ascii="Times New Roman" w:cs="仿宋_GB2312"/>
          <w:sz w:val="32"/>
          <w:szCs w:val="32"/>
        </w:rPr>
        <w:t>2024年度部门决算编制范围的二级预算单位包括：</w:t>
      </w:r>
    </w:p>
    <w:p>
      <w:pPr>
        <w:pStyle w:val="5"/>
        <w:numPr>
          <w:ilvl w:val="0"/>
          <w:numId w:val="1"/>
        </w:numPr>
        <w:adjustRightInd w:val="0"/>
        <w:snapToGrid w:val="0"/>
        <w:spacing w:before="93" w:line="600" w:lineRule="exact"/>
        <w:ind w:firstLine="640" w:firstLineChars="200"/>
        <w:outlineLvl w:val="9"/>
        <w:rPr>
          <w:rFonts w:ascii="Times New Roman" w:cs="仿宋_GB2312"/>
          <w:sz w:val="32"/>
          <w:szCs w:val="32"/>
        </w:rPr>
      </w:pPr>
      <w:r>
        <w:rPr>
          <w:rFonts w:hint="eastAsia" w:hAnsi="仿宋_GB2312" w:cs="仿宋_GB2312"/>
          <w:sz w:val="32"/>
          <w:szCs w:val="32"/>
        </w:rPr>
        <w:t>乐山市市中区</w:t>
      </w:r>
      <w:r>
        <w:rPr>
          <w:rFonts w:hint="eastAsia" w:ascii="Times New Roman" w:cs="仿宋_GB2312"/>
          <w:sz w:val="32"/>
          <w:szCs w:val="32"/>
          <w:lang w:val="en-US" w:eastAsia="zh-CN"/>
        </w:rPr>
        <w:t>信访</w:t>
      </w:r>
      <w:r>
        <w:rPr>
          <w:rFonts w:hint="eastAsia" w:cs="仿宋_GB2312"/>
          <w:sz w:val="32"/>
          <w:szCs w:val="32"/>
        </w:rPr>
        <w:t>局</w:t>
      </w:r>
    </w:p>
    <w:p>
      <w:pPr>
        <w:widowControl/>
        <w:ind w:firstLine="640" w:firstLineChars="200"/>
        <w:jc w:val="left"/>
        <w:outlineLvl w:val="9"/>
        <w:rPr>
          <w:rFonts w:eastAsia="仿宋"/>
          <w:kern w:val="0"/>
          <w:sz w:val="32"/>
          <w:szCs w:val="32"/>
        </w:rPr>
      </w:pPr>
    </w:p>
    <w:p>
      <w:pPr>
        <w:pStyle w:val="2"/>
        <w:jc w:val="center"/>
        <w:rPr>
          <w:rFonts w:eastAsia="方正小标宋简体" w:cs="方正小标宋简体"/>
          <w:b w:val="0"/>
        </w:rPr>
      </w:pPr>
      <w:bookmarkStart w:id="21" w:name="_Toc15377204"/>
      <w:bookmarkStart w:id="22" w:name="_Toc15396602"/>
      <w:bookmarkStart w:id="23" w:name="_Toc13544"/>
      <w:r>
        <w:rPr>
          <w:rFonts w:hint="eastAsia" w:eastAsia="方正小标宋简体" w:cs="方正小标宋简体"/>
          <w:b w:val="0"/>
        </w:rPr>
        <w:t>第二部分  2024年度部门决算情况说明</w:t>
      </w:r>
      <w:bookmarkEnd w:id="21"/>
      <w:bookmarkEnd w:id="22"/>
      <w:bookmarkEnd w:id="23"/>
    </w:p>
    <w:p>
      <w:pPr>
        <w:pStyle w:val="13"/>
      </w:pPr>
    </w:p>
    <w:p>
      <w:pPr>
        <w:pStyle w:val="28"/>
        <w:spacing w:line="600" w:lineRule="exact"/>
        <w:ind w:firstLine="640" w:firstLineChars="200"/>
        <w:outlineLvl w:val="1"/>
        <w:rPr>
          <w:rStyle w:val="30"/>
          <w:rFonts w:ascii="Times New Roman" w:hAnsi="Times New Roman" w:eastAsia="黑体"/>
          <w:b w:val="0"/>
        </w:rPr>
      </w:pPr>
      <w:bookmarkStart w:id="24" w:name="_Toc15377205"/>
      <w:bookmarkStart w:id="25" w:name="_Toc15396603"/>
      <w:bookmarkStart w:id="26" w:name="_Toc19741"/>
      <w:r>
        <w:rPr>
          <w:rFonts w:hint="eastAsia" w:eastAsia="黑体"/>
          <w:sz w:val="32"/>
          <w:szCs w:val="32"/>
        </w:rPr>
        <w:t>一、收</w:t>
      </w:r>
      <w:r>
        <w:rPr>
          <w:rStyle w:val="30"/>
          <w:rFonts w:hint="eastAsia" w:ascii="Times New Roman" w:hAnsi="Times New Roman" w:eastAsia="黑体"/>
          <w:b w:val="0"/>
        </w:rPr>
        <w:t>入支出决算总体情况说明</w:t>
      </w:r>
      <w:bookmarkEnd w:id="24"/>
      <w:bookmarkEnd w:id="25"/>
      <w:bookmarkEnd w:id="26"/>
    </w:p>
    <w:p>
      <w:pPr>
        <w:pStyle w:val="28"/>
        <w:spacing w:line="600" w:lineRule="exact"/>
        <w:ind w:firstLine="640" w:firstLineChars="200"/>
        <w:outlineLvl w:val="9"/>
        <w:rPr>
          <w:rFonts w:eastAsia="仿宋_GB2312" w:cs="仿宋_GB2312"/>
          <w:sz w:val="32"/>
          <w:szCs w:val="32"/>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435.73</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41.68</w:t>
      </w:r>
      <w:r>
        <w:rPr>
          <w:rFonts w:hint="eastAsia" w:eastAsia="仿宋_GB2312" w:cs="仿宋_GB2312"/>
          <w:sz w:val="32"/>
          <w:szCs w:val="32"/>
        </w:rPr>
        <w:t>万元，增长</w:t>
      </w:r>
      <w:r>
        <w:rPr>
          <w:rFonts w:hint="eastAsia" w:eastAsia="仿宋_GB2312" w:cs="仿宋_GB2312"/>
          <w:sz w:val="32"/>
          <w:szCs w:val="32"/>
          <w:lang w:val="en-US" w:eastAsia="zh-CN"/>
        </w:rPr>
        <w:t>10.58</w:t>
      </w:r>
      <w:r>
        <w:rPr>
          <w:rFonts w:hint="eastAsia" w:eastAsia="仿宋_GB2312" w:cs="仿宋_GB2312"/>
          <w:sz w:val="32"/>
          <w:szCs w:val="32"/>
        </w:rPr>
        <w:t>%。主要变动原因一是2024年新招了2名公务员</w:t>
      </w:r>
      <w:r>
        <w:rPr>
          <w:rFonts w:hint="eastAsia" w:eastAsia="仿宋_GB2312" w:cs="仿宋_GB2312"/>
          <w:sz w:val="32"/>
          <w:szCs w:val="32"/>
          <w:lang w:eastAsia="zh-CN"/>
        </w:rPr>
        <w:t>；</w:t>
      </w:r>
      <w:r>
        <w:rPr>
          <w:rFonts w:hint="eastAsia" w:eastAsia="仿宋_GB2312" w:cs="仿宋_GB2312"/>
          <w:sz w:val="32"/>
          <w:szCs w:val="32"/>
        </w:rPr>
        <w:t>二是工资标准和保险基数的调增，所以收入、支出增加了。</w:t>
      </w:r>
    </w:p>
    <w:p>
      <w:pPr>
        <w:ind w:firstLine="420" w:firstLineChars="200"/>
        <w:jc w:val="center"/>
        <w:outlineLvl w:val="9"/>
        <w:rPr>
          <w:rFonts w:hint="eastAsia" w:eastAsia="仿宋_GB2312" w:cs="仿宋_GB2312"/>
          <w:sz w:val="32"/>
          <w:szCs w:val="32"/>
        </w:rPr>
      </w:pPr>
      <w:r>
        <w:drawing>
          <wp:inline distT="0" distB="0" distL="114300" distR="114300">
            <wp:extent cx="3696335" cy="2095500"/>
            <wp:effectExtent l="38735" t="18415" r="55880" b="7683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outlineLvl w:val="9"/>
        <w:rPr>
          <w:rFonts w:eastAsia="仿宋_GB2312" w:cs="仿宋_GB2312"/>
          <w:sz w:val="32"/>
          <w:szCs w:val="32"/>
        </w:rPr>
      </w:pPr>
      <w:r>
        <w:rPr>
          <w:rFonts w:hint="eastAsia" w:eastAsia="仿宋_GB2312" w:cs="仿宋_GB2312"/>
          <w:sz w:val="32"/>
          <w:szCs w:val="32"/>
        </w:rPr>
        <w:t>（图1：收入、支出决算总计变动情况图）（柱状图）</w:t>
      </w:r>
    </w:p>
    <w:p>
      <w:pPr>
        <w:pStyle w:val="28"/>
        <w:spacing w:line="600" w:lineRule="exact"/>
        <w:ind w:firstLine="640" w:firstLineChars="200"/>
        <w:outlineLvl w:val="1"/>
        <w:rPr>
          <w:rFonts w:eastAsia="黑体"/>
          <w:sz w:val="32"/>
          <w:szCs w:val="32"/>
        </w:rPr>
      </w:pPr>
      <w:bookmarkStart w:id="27" w:name="_Toc15377206"/>
      <w:bookmarkStart w:id="28" w:name="_Toc26740"/>
      <w:bookmarkStart w:id="29" w:name="_Toc15396604"/>
      <w:r>
        <w:rPr>
          <w:rFonts w:hint="eastAsia" w:eastAsia="黑体"/>
          <w:sz w:val="32"/>
          <w:szCs w:val="32"/>
        </w:rPr>
        <w:t>二、收入决算情况说明</w:t>
      </w:r>
      <w:bookmarkEnd w:id="27"/>
      <w:bookmarkEnd w:id="28"/>
      <w:bookmarkEnd w:id="29"/>
    </w:p>
    <w:p>
      <w:pPr>
        <w:pStyle w:val="28"/>
        <w:spacing w:line="600" w:lineRule="exact"/>
        <w:ind w:firstLine="640" w:firstLineChars="200"/>
        <w:jc w:val="left"/>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eastAsia="仿宋_GB2312" w:cs="仿宋_GB2312"/>
          <w:sz w:val="32"/>
          <w:szCs w:val="32"/>
          <w:lang w:val="en-US" w:eastAsia="zh-CN"/>
        </w:rPr>
        <w:t>435.73</w:t>
      </w:r>
      <w:r>
        <w:rPr>
          <w:rFonts w:hint="eastAsia" w:ascii="仿宋_GB2312" w:hAnsi="仿宋_GB2312" w:eastAsia="仿宋_GB2312" w:cs="仿宋_GB2312"/>
          <w:sz w:val="32"/>
          <w:szCs w:val="32"/>
        </w:rPr>
        <w:t>万元，其中：一般公共预算财政拨款收入</w:t>
      </w:r>
      <w:r>
        <w:rPr>
          <w:rFonts w:hint="eastAsia" w:eastAsia="仿宋_GB2312" w:cs="仿宋_GB2312"/>
          <w:sz w:val="32"/>
          <w:szCs w:val="32"/>
          <w:lang w:val="en-US" w:eastAsia="zh-CN"/>
        </w:rPr>
        <w:t>435.73</w:t>
      </w:r>
      <w:r>
        <w:rPr>
          <w:rFonts w:hint="eastAsia" w:ascii="仿宋_GB2312" w:hAnsi="仿宋_GB2312" w:eastAsia="仿宋_GB2312" w:cs="仿宋_GB2312"/>
          <w:sz w:val="32"/>
          <w:szCs w:val="32"/>
        </w:rPr>
        <w:t>万元，占</w:t>
      </w:r>
      <w:r>
        <w:rPr>
          <w:rFonts w:hint="eastAsia" w:eastAsia="仿宋_GB2312" w:cs="仿宋_GB2312"/>
          <w:sz w:val="32"/>
          <w:szCs w:val="32"/>
          <w:lang w:val="en-US" w:eastAsia="zh-CN"/>
        </w:rPr>
        <w:t>100</w:t>
      </w:r>
      <w:r>
        <w:rPr>
          <w:rFonts w:hint="eastAsia" w:ascii="仿宋_GB2312" w:hAnsi="仿宋_GB2312" w:eastAsia="仿宋_GB2312" w:cs="仿宋_GB2312"/>
          <w:sz w:val="32"/>
          <w:szCs w:val="32"/>
        </w:rPr>
        <w:t>%。</w:t>
      </w:r>
    </w:p>
    <w:p>
      <w:pPr>
        <w:ind w:firstLine="800" w:firstLineChars="250"/>
        <w:rPr>
          <w:rFonts w:hint="eastAsia" w:eastAsia="仿宋_GB2312" w:cs="仿宋_GB2312"/>
          <w:sz w:val="32"/>
          <w:szCs w:val="32"/>
        </w:rPr>
      </w:pPr>
    </w:p>
    <w:p>
      <w:pPr>
        <w:ind w:firstLine="420" w:firstLineChars="200"/>
        <w:jc w:val="center"/>
        <w:rPr>
          <w:rFonts w:hint="eastAsia" w:eastAsia="仿宋_GB2312" w:cs="仿宋_GB2312"/>
          <w:sz w:val="32"/>
          <w:szCs w:val="32"/>
        </w:rPr>
      </w:pPr>
      <w:r>
        <w:drawing>
          <wp:inline distT="0" distB="0" distL="114300" distR="114300">
            <wp:extent cx="3716020" cy="2191385"/>
            <wp:effectExtent l="38735" t="18415" r="55245" b="7620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center"/>
        <w:rPr>
          <w:rFonts w:eastAsia="仿宋_GB2312" w:cs="仿宋_GB2312"/>
          <w:sz w:val="32"/>
          <w:szCs w:val="32"/>
        </w:rPr>
      </w:pPr>
      <w:r>
        <w:rPr>
          <w:rFonts w:hint="eastAsia" w:eastAsia="仿宋_GB2312" w:cs="仿宋_GB2312"/>
          <w:sz w:val="32"/>
          <w:szCs w:val="32"/>
        </w:rPr>
        <w:t>（图2：收入决算结构图）（饼状图）</w:t>
      </w:r>
    </w:p>
    <w:p>
      <w:pPr>
        <w:pStyle w:val="28"/>
        <w:spacing w:line="600" w:lineRule="exact"/>
        <w:ind w:firstLine="640" w:firstLineChars="200"/>
        <w:outlineLvl w:val="1"/>
        <w:rPr>
          <w:rStyle w:val="30"/>
          <w:rFonts w:ascii="Times New Roman" w:hAnsi="Times New Roman" w:eastAsia="黑体"/>
          <w:b w:val="0"/>
        </w:rPr>
      </w:pPr>
      <w:bookmarkStart w:id="30" w:name="_Toc15396605"/>
      <w:bookmarkStart w:id="31" w:name="_Toc15377207"/>
      <w:bookmarkStart w:id="32" w:name="_Toc961"/>
      <w:r>
        <w:rPr>
          <w:rFonts w:hint="eastAsia" w:eastAsia="黑体"/>
          <w:sz w:val="32"/>
          <w:szCs w:val="32"/>
        </w:rPr>
        <w:t>三、支</w:t>
      </w:r>
      <w:r>
        <w:rPr>
          <w:rStyle w:val="30"/>
          <w:rFonts w:hint="eastAsia" w:ascii="Times New Roman" w:hAnsi="Times New Roman" w:eastAsia="黑体"/>
          <w:b w:val="0"/>
        </w:rPr>
        <w:t>出决算情况说明</w:t>
      </w:r>
      <w:bookmarkEnd w:id="30"/>
      <w:bookmarkEnd w:id="31"/>
      <w:bookmarkEnd w:id="32"/>
    </w:p>
    <w:p>
      <w:pPr>
        <w:ind w:firstLine="640" w:firstLineChars="200"/>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eastAsia="仿宋_GB2312" w:cs="仿宋_GB2312"/>
          <w:sz w:val="32"/>
          <w:szCs w:val="32"/>
          <w:lang w:val="en-US" w:eastAsia="zh-CN"/>
        </w:rPr>
        <w:t>435.73</w:t>
      </w:r>
      <w:r>
        <w:rPr>
          <w:rFonts w:hint="eastAsia" w:ascii="仿宋_GB2312" w:hAnsi="仿宋_GB2312" w:eastAsia="仿宋_GB2312" w:cs="仿宋_GB2312"/>
          <w:sz w:val="32"/>
          <w:szCs w:val="32"/>
        </w:rPr>
        <w:t>万元，其中：基本支出</w:t>
      </w:r>
      <w:r>
        <w:rPr>
          <w:rFonts w:hint="eastAsia" w:eastAsia="仿宋_GB2312" w:cs="仿宋_GB2312"/>
          <w:sz w:val="32"/>
          <w:szCs w:val="32"/>
          <w:lang w:val="en-US" w:eastAsia="zh-CN"/>
        </w:rPr>
        <w:t>324.43</w:t>
      </w:r>
      <w:r>
        <w:rPr>
          <w:rFonts w:hint="eastAsia" w:ascii="仿宋_GB2312" w:hAnsi="仿宋_GB2312" w:eastAsia="仿宋_GB2312" w:cs="仿宋_GB2312"/>
          <w:sz w:val="32"/>
          <w:szCs w:val="32"/>
        </w:rPr>
        <w:t>万元，占</w:t>
      </w:r>
      <w:r>
        <w:rPr>
          <w:rFonts w:hint="eastAsia" w:eastAsia="仿宋_GB2312" w:cs="仿宋_GB2312"/>
          <w:sz w:val="32"/>
          <w:szCs w:val="32"/>
          <w:lang w:val="en-US" w:eastAsia="zh-CN"/>
        </w:rPr>
        <w:t>74.46</w:t>
      </w:r>
      <w:r>
        <w:rPr>
          <w:rFonts w:hint="eastAsia" w:ascii="仿宋_GB2312" w:hAnsi="仿宋_GB2312" w:eastAsia="仿宋_GB2312" w:cs="仿宋_GB2312"/>
          <w:sz w:val="32"/>
          <w:szCs w:val="32"/>
        </w:rPr>
        <w:t>%；项目支出</w:t>
      </w:r>
      <w:r>
        <w:rPr>
          <w:rFonts w:hint="eastAsia" w:eastAsia="仿宋_GB2312" w:cs="仿宋_GB2312"/>
          <w:sz w:val="32"/>
          <w:szCs w:val="32"/>
          <w:lang w:val="en-US" w:eastAsia="zh-CN"/>
        </w:rPr>
        <w:t>111.29</w:t>
      </w:r>
      <w:r>
        <w:rPr>
          <w:rFonts w:hint="eastAsia" w:ascii="仿宋_GB2312" w:hAnsi="仿宋_GB2312" w:eastAsia="仿宋_GB2312" w:cs="仿宋_GB2312"/>
          <w:sz w:val="32"/>
          <w:szCs w:val="32"/>
        </w:rPr>
        <w:t>万元，占</w:t>
      </w:r>
      <w:r>
        <w:rPr>
          <w:rFonts w:hint="eastAsia" w:eastAsia="仿宋_GB2312" w:cs="仿宋_GB2312"/>
          <w:sz w:val="32"/>
          <w:szCs w:val="32"/>
          <w:lang w:val="en-US" w:eastAsia="zh-CN"/>
        </w:rPr>
        <w:t>25.54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420" w:firstLineChars="200"/>
        <w:jc w:val="center"/>
        <w:rPr>
          <w:rFonts w:hint="eastAsia" w:eastAsia="仿宋_GB2312" w:cs="仿宋_GB2312"/>
          <w:sz w:val="32"/>
          <w:szCs w:val="32"/>
        </w:rPr>
      </w:pPr>
      <w:r>
        <w:drawing>
          <wp:inline distT="0" distB="0" distL="114300" distR="114300">
            <wp:extent cx="3734435" cy="2132965"/>
            <wp:effectExtent l="38735" t="18415" r="55880" b="5842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center"/>
        <w:rPr>
          <w:rFonts w:eastAsia="仿宋_GB2312" w:cs="仿宋_GB2312"/>
          <w:sz w:val="32"/>
          <w:szCs w:val="32"/>
        </w:rPr>
      </w:pPr>
      <w:r>
        <w:rPr>
          <w:rFonts w:hint="eastAsia" w:eastAsia="仿宋_GB2312" w:cs="仿宋_GB2312"/>
          <w:sz w:val="32"/>
          <w:szCs w:val="32"/>
        </w:rPr>
        <w:t>（图3：支出决算结构图）（饼状图）</w:t>
      </w:r>
    </w:p>
    <w:p>
      <w:pPr>
        <w:spacing w:line="600" w:lineRule="exact"/>
        <w:ind w:firstLine="640" w:firstLineChars="200"/>
        <w:outlineLvl w:val="1"/>
        <w:rPr>
          <w:rStyle w:val="30"/>
          <w:rFonts w:ascii="Times New Roman" w:hAnsi="Times New Roman" w:eastAsia="黑体"/>
          <w:b w:val="0"/>
        </w:rPr>
      </w:pPr>
      <w:bookmarkStart w:id="33" w:name="_Toc15377208"/>
      <w:bookmarkStart w:id="34" w:name="_Toc15396606"/>
      <w:bookmarkStart w:id="35" w:name="_Toc24146"/>
      <w:r>
        <w:rPr>
          <w:rFonts w:hint="eastAsia" w:eastAsia="黑体"/>
          <w:sz w:val="32"/>
          <w:szCs w:val="32"/>
        </w:rPr>
        <w:t>四、财</w:t>
      </w:r>
      <w:r>
        <w:rPr>
          <w:rStyle w:val="30"/>
          <w:rFonts w:hint="eastAsia" w:ascii="Times New Roman" w:hAnsi="Times New Roman" w:eastAsia="黑体"/>
          <w:b w:val="0"/>
        </w:rPr>
        <w:t>政拨款收入支出决算总体情况说明</w:t>
      </w:r>
      <w:bookmarkEnd w:id="33"/>
      <w:bookmarkEnd w:id="34"/>
      <w:bookmarkEnd w:id="35"/>
    </w:p>
    <w:p>
      <w:pPr>
        <w:spacing w:line="600" w:lineRule="exact"/>
        <w:ind w:firstLine="640" w:firstLineChars="200"/>
        <w:rPr>
          <w:rFonts w:eastAsia="仿宋_GB2312" w:cs="仿宋_GB2312"/>
          <w:sz w:val="32"/>
          <w:szCs w:val="32"/>
        </w:rPr>
      </w:pPr>
      <w:r>
        <w:rPr>
          <w:rFonts w:hint="eastAsia" w:eastAsia="仿宋_GB2312" w:cs="仿宋_GB2312"/>
          <w:sz w:val="32"/>
          <w:szCs w:val="32"/>
        </w:rPr>
        <w:t>2024年度财政拨款收入、支出总计均为</w:t>
      </w:r>
      <w:r>
        <w:rPr>
          <w:rFonts w:hint="eastAsia" w:eastAsia="仿宋_GB2312" w:cs="仿宋_GB2312"/>
          <w:sz w:val="32"/>
          <w:szCs w:val="32"/>
          <w:lang w:val="en-US" w:eastAsia="zh-CN"/>
        </w:rPr>
        <w:t>435.73</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41.68</w:t>
      </w:r>
      <w:r>
        <w:rPr>
          <w:rFonts w:hint="eastAsia" w:eastAsia="仿宋_GB2312" w:cs="仿宋_GB2312"/>
          <w:sz w:val="32"/>
          <w:szCs w:val="32"/>
        </w:rPr>
        <w:t>万元，增长</w:t>
      </w:r>
      <w:r>
        <w:rPr>
          <w:rFonts w:hint="eastAsia" w:eastAsia="仿宋_GB2312" w:cs="仿宋_GB2312"/>
          <w:sz w:val="32"/>
          <w:szCs w:val="32"/>
          <w:lang w:val="en-US" w:eastAsia="zh-CN"/>
        </w:rPr>
        <w:t>10.58</w:t>
      </w:r>
      <w:r>
        <w:rPr>
          <w:rFonts w:hint="eastAsia" w:eastAsia="仿宋_GB2312" w:cs="仿宋_GB2312"/>
          <w:sz w:val="32"/>
          <w:szCs w:val="32"/>
        </w:rPr>
        <w:t>%。主要变动原因一是2024年新招了2名公务员</w:t>
      </w:r>
      <w:r>
        <w:rPr>
          <w:rFonts w:hint="eastAsia" w:eastAsia="仿宋_GB2312" w:cs="仿宋_GB2312"/>
          <w:sz w:val="32"/>
          <w:szCs w:val="32"/>
          <w:lang w:eastAsia="zh-CN"/>
        </w:rPr>
        <w:t>；</w:t>
      </w:r>
      <w:r>
        <w:rPr>
          <w:rFonts w:hint="eastAsia" w:eastAsia="仿宋_GB2312" w:cs="仿宋_GB2312"/>
          <w:sz w:val="32"/>
          <w:szCs w:val="32"/>
        </w:rPr>
        <w:t>二是工资标准和保险基数的调增，所以收入、支出增加了。</w:t>
      </w:r>
    </w:p>
    <w:p>
      <w:pPr>
        <w:spacing w:line="240" w:lineRule="auto"/>
        <w:ind w:firstLine="420" w:firstLineChars="200"/>
        <w:jc w:val="center"/>
        <w:rPr>
          <w:rFonts w:hint="eastAsia" w:eastAsia="仿宋_GB2312" w:cs="仿宋_GB2312"/>
          <w:sz w:val="32"/>
          <w:szCs w:val="32"/>
        </w:rPr>
      </w:pPr>
      <w:r>
        <w:drawing>
          <wp:inline distT="0" distB="0" distL="114300" distR="114300">
            <wp:extent cx="3744595" cy="2134870"/>
            <wp:effectExtent l="38735" t="18415" r="45720" b="7556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firstLineChars="200"/>
        <w:outlineLvl w:val="1"/>
        <w:rPr>
          <w:rStyle w:val="30"/>
          <w:rFonts w:ascii="Times New Roman" w:hAnsi="Times New Roman" w:eastAsia="黑体"/>
          <w:b w:val="0"/>
        </w:rPr>
      </w:pPr>
      <w:bookmarkStart w:id="36" w:name="_Toc15396607"/>
      <w:bookmarkStart w:id="37" w:name="_Toc11234"/>
      <w:bookmarkStart w:id="38"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36"/>
      <w:bookmarkEnd w:id="37"/>
      <w:bookmarkEnd w:id="38"/>
    </w:p>
    <w:p>
      <w:pPr>
        <w:spacing w:line="600" w:lineRule="exact"/>
        <w:ind w:firstLine="643" w:firstLineChars="200"/>
        <w:outlineLvl w:val="2"/>
        <w:rPr>
          <w:rFonts w:eastAsia="楷体_GB2312" w:cs="楷体_GB2312"/>
          <w:b/>
          <w:sz w:val="32"/>
          <w:szCs w:val="32"/>
        </w:rPr>
      </w:pPr>
      <w:bookmarkStart w:id="39" w:name="_Toc15377210"/>
      <w:r>
        <w:rPr>
          <w:rFonts w:hint="eastAsia" w:eastAsia="楷体_GB2312" w:cs="楷体_GB2312"/>
          <w:b/>
          <w:sz w:val="32"/>
          <w:szCs w:val="32"/>
        </w:rPr>
        <w:t>（一）一般公共预算财政拨款支出决算总体情况</w:t>
      </w:r>
      <w:bookmarkEnd w:id="39"/>
    </w:p>
    <w:p>
      <w:pPr>
        <w:spacing w:line="60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2024年度一般公共预算财政拨款支出</w:t>
      </w:r>
      <w:r>
        <w:rPr>
          <w:rFonts w:hint="eastAsia" w:eastAsia="仿宋_GB2312" w:cs="仿宋_GB2312"/>
          <w:sz w:val="32"/>
          <w:szCs w:val="32"/>
          <w:lang w:val="en-US" w:eastAsia="zh-CN"/>
        </w:rPr>
        <w:t>435.73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w:t>
      </w:r>
      <w:r>
        <w:rPr>
          <w:rFonts w:hint="eastAsia" w:eastAsia="仿宋_GB2312" w:cs="仿宋_GB2312"/>
          <w:sz w:val="32"/>
          <w:szCs w:val="32"/>
          <w:lang w:eastAsia="zh-CN"/>
        </w:rPr>
        <w:t>0</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41.68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10.58</w:t>
      </w:r>
      <w:r>
        <w:rPr>
          <w:rFonts w:hint="eastAsia" w:ascii="仿宋_GB2312" w:hAnsi="仿宋_GB2312" w:eastAsia="仿宋_GB2312" w:cs="仿宋_GB2312"/>
          <w:sz w:val="32"/>
          <w:szCs w:val="32"/>
        </w:rPr>
        <w:t>%。主要变动原因一是2024年新招了2名公务员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二是工资标准和保险基数的调增，所以收入、支出增加了。</w:t>
      </w:r>
    </w:p>
    <w:p>
      <w:pPr>
        <w:ind w:firstLine="420" w:firstLineChars="200"/>
        <w:jc w:val="center"/>
        <w:rPr>
          <w:rFonts w:hint="eastAsia" w:eastAsia="仿宋_GB2312" w:cs="仿宋_GB2312"/>
          <w:sz w:val="32"/>
          <w:szCs w:val="32"/>
        </w:rPr>
      </w:pPr>
      <w:r>
        <w:drawing>
          <wp:inline distT="0" distB="0" distL="114300" distR="114300">
            <wp:extent cx="3763645" cy="2171065"/>
            <wp:effectExtent l="38735" t="18415" r="45720" b="5842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3" w:firstLineChars="200"/>
        <w:outlineLvl w:val="2"/>
        <w:rPr>
          <w:rFonts w:eastAsia="楷体_GB2312" w:cs="楷体_GB2312"/>
          <w:b/>
          <w:sz w:val="32"/>
          <w:szCs w:val="32"/>
        </w:rPr>
      </w:pPr>
      <w:bookmarkStart w:id="40" w:name="_Toc15377211"/>
      <w:r>
        <w:rPr>
          <w:rFonts w:hint="eastAsia" w:eastAsia="楷体_GB2312" w:cs="楷体_GB2312"/>
          <w:b/>
          <w:sz w:val="32"/>
          <w:szCs w:val="32"/>
        </w:rPr>
        <w:t>（二）一般公共预算财政拨款支出决算结构情况</w:t>
      </w:r>
      <w:bookmarkEnd w:id="40"/>
    </w:p>
    <w:p>
      <w:pPr>
        <w:pStyle w:val="28"/>
        <w:spacing w:line="600" w:lineRule="exact"/>
        <w:ind w:firstLine="640" w:firstLineChars="200"/>
        <w:jc w:val="left"/>
        <w:outlineLvl w:val="9"/>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eastAsia="仿宋_GB2312" w:cs="仿宋_GB2312"/>
          <w:sz w:val="32"/>
          <w:szCs w:val="32"/>
          <w:lang w:val="en-US" w:eastAsia="zh-CN"/>
        </w:rPr>
        <w:t>435.73</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354.87</w:t>
      </w:r>
      <w:r>
        <w:rPr>
          <w:rFonts w:hint="eastAsia" w:eastAsia="仿宋_GB2312" w:cs="仿宋_GB2312"/>
          <w:sz w:val="32"/>
          <w:szCs w:val="32"/>
        </w:rPr>
        <w:t>万元，占</w:t>
      </w:r>
      <w:r>
        <w:rPr>
          <w:rFonts w:hint="eastAsia" w:eastAsia="仿宋_GB2312" w:cs="仿宋_GB2312"/>
          <w:sz w:val="32"/>
          <w:szCs w:val="32"/>
          <w:lang w:val="en-US" w:eastAsia="zh-CN"/>
        </w:rPr>
        <w:t>81.44</w:t>
      </w:r>
      <w:r>
        <w:rPr>
          <w:rFonts w:hint="eastAsia" w:eastAsia="仿宋_GB2312" w:cs="仿宋_GB2312"/>
          <w:sz w:val="32"/>
          <w:szCs w:val="32"/>
        </w:rPr>
        <w:t>%；社会保障和就业支出</w:t>
      </w:r>
      <w:r>
        <w:rPr>
          <w:rFonts w:hint="eastAsia" w:eastAsia="仿宋_GB2312" w:cs="仿宋_GB2312"/>
          <w:sz w:val="32"/>
          <w:szCs w:val="32"/>
          <w:lang w:val="en-US" w:eastAsia="zh-CN"/>
        </w:rPr>
        <w:t>49.04</w:t>
      </w:r>
      <w:r>
        <w:rPr>
          <w:rFonts w:hint="eastAsia" w:eastAsia="仿宋_GB2312" w:cs="仿宋_GB2312"/>
          <w:sz w:val="32"/>
          <w:szCs w:val="32"/>
        </w:rPr>
        <w:t>万元，占</w:t>
      </w:r>
      <w:r>
        <w:rPr>
          <w:rFonts w:hint="eastAsia" w:eastAsia="仿宋_GB2312" w:cs="仿宋_GB2312"/>
          <w:sz w:val="32"/>
          <w:szCs w:val="32"/>
          <w:lang w:val="en-US" w:eastAsia="zh-CN"/>
        </w:rPr>
        <w:t>11.25</w:t>
      </w:r>
      <w:r>
        <w:rPr>
          <w:rFonts w:hint="eastAsia" w:eastAsia="仿宋_GB2312" w:cs="仿宋_GB2312"/>
          <w:sz w:val="32"/>
          <w:szCs w:val="32"/>
        </w:rPr>
        <w:t>%；卫生健康支出</w:t>
      </w:r>
      <w:r>
        <w:rPr>
          <w:rFonts w:hint="eastAsia" w:eastAsia="仿宋_GB2312" w:cs="仿宋_GB2312"/>
          <w:sz w:val="32"/>
          <w:szCs w:val="32"/>
          <w:lang w:val="en-US" w:eastAsia="zh-CN"/>
        </w:rPr>
        <w:t>9.82</w:t>
      </w:r>
      <w:r>
        <w:rPr>
          <w:rFonts w:hint="eastAsia" w:eastAsia="仿宋_GB2312" w:cs="仿宋_GB2312"/>
          <w:sz w:val="32"/>
          <w:szCs w:val="32"/>
        </w:rPr>
        <w:t>万元，占</w:t>
      </w:r>
      <w:r>
        <w:rPr>
          <w:rFonts w:hint="eastAsia" w:eastAsia="仿宋_GB2312" w:cs="仿宋_GB2312"/>
          <w:sz w:val="32"/>
          <w:szCs w:val="32"/>
          <w:lang w:val="en-US" w:eastAsia="zh-CN"/>
        </w:rPr>
        <w:t>2.25</w:t>
      </w:r>
      <w:r>
        <w:rPr>
          <w:rFonts w:hint="eastAsia" w:eastAsia="仿宋_GB2312" w:cs="仿宋_GB2312"/>
          <w:sz w:val="32"/>
          <w:szCs w:val="32"/>
        </w:rPr>
        <w:t>%；住房保障支出</w:t>
      </w:r>
      <w:r>
        <w:rPr>
          <w:rFonts w:hint="eastAsia" w:eastAsia="仿宋_GB2312" w:cs="仿宋_GB2312"/>
          <w:sz w:val="32"/>
          <w:szCs w:val="32"/>
          <w:lang w:val="en-US" w:eastAsia="zh-CN"/>
        </w:rPr>
        <w:t>21.99</w:t>
      </w:r>
      <w:r>
        <w:rPr>
          <w:rFonts w:hint="eastAsia" w:eastAsia="仿宋_GB2312" w:cs="仿宋_GB2312"/>
          <w:sz w:val="32"/>
          <w:szCs w:val="32"/>
        </w:rPr>
        <w:t>万元，占</w:t>
      </w:r>
      <w:r>
        <w:rPr>
          <w:rFonts w:hint="eastAsia" w:eastAsia="仿宋_GB2312" w:cs="仿宋_GB2312"/>
          <w:sz w:val="32"/>
          <w:szCs w:val="32"/>
          <w:lang w:val="en-US" w:eastAsia="zh-CN"/>
        </w:rPr>
        <w:t>5.05</w:t>
      </w:r>
      <w:r>
        <w:rPr>
          <w:rFonts w:hint="eastAsia" w:eastAsia="仿宋_GB2312" w:cs="仿宋_GB2312"/>
          <w:sz w:val="32"/>
          <w:szCs w:val="32"/>
        </w:rPr>
        <w:t>%</w:t>
      </w:r>
      <w:r>
        <w:rPr>
          <w:rFonts w:hint="eastAsia" w:eastAsia="仿宋_GB2312" w:cs="仿宋_GB2312"/>
          <w:sz w:val="32"/>
          <w:szCs w:val="32"/>
          <w:lang w:eastAsia="zh-CN"/>
        </w:rPr>
        <w:t>。</w:t>
      </w:r>
    </w:p>
    <w:p>
      <w:pPr>
        <w:pStyle w:val="28"/>
        <w:spacing w:line="240" w:lineRule="auto"/>
        <w:ind w:firstLine="420" w:firstLineChars="200"/>
        <w:jc w:val="center"/>
        <w:outlineLvl w:val="9"/>
        <w:rPr>
          <w:rFonts w:hint="eastAsia" w:eastAsia="仿宋_GB2312" w:cs="仿宋_GB2312"/>
          <w:sz w:val="32"/>
          <w:szCs w:val="32"/>
          <w:lang w:eastAsia="zh-CN"/>
        </w:rPr>
      </w:pPr>
      <w:r>
        <w:drawing>
          <wp:inline distT="0" distB="0" distL="114300" distR="114300">
            <wp:extent cx="3781425" cy="2068830"/>
            <wp:effectExtent l="38735" t="18415" r="46990" b="654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3" w:firstLineChars="200"/>
        <w:outlineLvl w:val="2"/>
        <w:rPr>
          <w:rFonts w:eastAsia="楷体_GB2312" w:cs="楷体_GB2312"/>
          <w:b/>
          <w:sz w:val="32"/>
          <w:szCs w:val="32"/>
        </w:rPr>
      </w:pPr>
      <w:bookmarkStart w:id="41" w:name="_Toc15377212"/>
      <w:r>
        <w:rPr>
          <w:rFonts w:hint="eastAsia" w:eastAsia="楷体_GB2312" w:cs="楷体_GB2312"/>
          <w:b/>
          <w:sz w:val="32"/>
          <w:szCs w:val="32"/>
        </w:rPr>
        <w:t>（三）一般公共预算财政拨款支出决算具体情况</w:t>
      </w:r>
      <w:bookmarkEnd w:id="41"/>
    </w:p>
    <w:p>
      <w:pPr>
        <w:spacing w:line="600" w:lineRule="exact"/>
        <w:ind w:firstLine="640" w:firstLineChars="200"/>
        <w:rPr>
          <w:rFonts w:eastAsia="仿宋_GB2312" w:cs="仿宋_GB2312"/>
          <w:sz w:val="32"/>
          <w:szCs w:val="32"/>
        </w:rPr>
      </w:pPr>
      <w:bookmarkStart w:id="42" w:name="_Toc15377444"/>
      <w:bookmarkStart w:id="43" w:name="_Toc15377213"/>
      <w:bookmarkStart w:id="44" w:name="_Toc15378460"/>
      <w:r>
        <w:rPr>
          <w:rFonts w:hint="eastAsia" w:eastAsia="仿宋_GB2312" w:cs="仿宋_GB2312"/>
          <w:sz w:val="32"/>
          <w:szCs w:val="32"/>
        </w:rPr>
        <w:t>2024年度一般公共预算财政拨款支出决算数为</w:t>
      </w:r>
      <w:r>
        <w:rPr>
          <w:rFonts w:hint="eastAsia" w:eastAsia="仿宋_GB2312" w:cs="仿宋_GB2312"/>
          <w:sz w:val="32"/>
          <w:szCs w:val="32"/>
          <w:lang w:val="en-US" w:eastAsia="zh-CN"/>
        </w:rPr>
        <w:t>435.73万元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ascii="仿宋" w:hAnsi="仿宋" w:eastAsia="仿宋"/>
          <w:b/>
          <w:sz w:val="32"/>
          <w:szCs w:val="32"/>
          <w:highlight w:val="none"/>
          <w:lang w:val="en-US" w:eastAsia="zh-CN"/>
        </w:rPr>
        <w:t>442.44万元的</w:t>
      </w:r>
      <w:r>
        <w:rPr>
          <w:rFonts w:hint="eastAsia" w:eastAsia="仿宋_GB2312" w:cs="仿宋_GB2312"/>
          <w:sz w:val="32"/>
          <w:szCs w:val="32"/>
          <w:lang w:val="en-US" w:eastAsia="zh-CN"/>
        </w:rPr>
        <w:t>98.48</w:t>
      </w:r>
      <w:r>
        <w:rPr>
          <w:rFonts w:hint="eastAsia" w:eastAsia="仿宋_GB2312" w:cs="仿宋_GB2312"/>
          <w:sz w:val="32"/>
          <w:szCs w:val="32"/>
        </w:rPr>
        <w:t>%。其中：</w:t>
      </w:r>
      <w:bookmarkEnd w:id="42"/>
      <w:bookmarkEnd w:id="43"/>
      <w:bookmarkEnd w:id="44"/>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一般公共服务（类）</w:t>
      </w:r>
      <w:r>
        <w:rPr>
          <w:rFonts w:hint="eastAsia" w:eastAsia="仿宋_GB2312" w:cs="仿宋_GB2312"/>
          <w:sz w:val="32"/>
          <w:szCs w:val="32"/>
          <w:lang w:eastAsia="zh-CN"/>
        </w:rPr>
        <w:t>信访事务</w:t>
      </w:r>
      <w:r>
        <w:rPr>
          <w:rFonts w:hint="eastAsia" w:eastAsia="仿宋_GB2312" w:cs="仿宋_GB2312"/>
          <w:sz w:val="32"/>
          <w:szCs w:val="32"/>
        </w:rPr>
        <w:t>（款）</w:t>
      </w:r>
      <w:r>
        <w:rPr>
          <w:rFonts w:hint="eastAsia" w:eastAsia="仿宋_GB2312" w:cs="仿宋_GB2312"/>
          <w:sz w:val="32"/>
          <w:szCs w:val="32"/>
          <w:lang w:eastAsia="zh-CN"/>
        </w:rPr>
        <w:t>行政运行</w:t>
      </w:r>
      <w:r>
        <w:rPr>
          <w:rFonts w:hint="eastAsia" w:eastAsia="仿宋_GB2312" w:cs="仿宋_GB2312"/>
          <w:sz w:val="32"/>
          <w:szCs w:val="32"/>
        </w:rPr>
        <w:t>（项）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204.33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default" w:eastAsia="仿宋_GB2312" w:cs="仿宋_GB2312"/>
          <w:sz w:val="32"/>
          <w:szCs w:val="32"/>
          <w:highlight w:val="none"/>
          <w:lang w:val="en-US" w:eastAsia="zh-CN"/>
        </w:rPr>
      </w:pPr>
      <w:r>
        <w:rPr>
          <w:rFonts w:hint="eastAsia" w:eastAsia="仿宋_GB2312" w:cs="仿宋_GB2312"/>
          <w:sz w:val="32"/>
          <w:szCs w:val="32"/>
        </w:rPr>
        <w:t>一般公共服务（类）</w:t>
      </w:r>
      <w:r>
        <w:rPr>
          <w:rFonts w:hint="eastAsia" w:eastAsia="仿宋_GB2312" w:cs="仿宋_GB2312"/>
          <w:sz w:val="32"/>
          <w:szCs w:val="32"/>
          <w:lang w:eastAsia="zh-CN"/>
        </w:rPr>
        <w:t>信访事务</w:t>
      </w:r>
      <w:r>
        <w:rPr>
          <w:rFonts w:hint="eastAsia" w:eastAsia="仿宋_GB2312" w:cs="仿宋_GB2312"/>
          <w:sz w:val="32"/>
          <w:szCs w:val="32"/>
        </w:rPr>
        <w:t>（款）</w:t>
      </w:r>
      <w:r>
        <w:rPr>
          <w:rFonts w:hint="eastAsia" w:eastAsia="仿宋_GB2312" w:cs="仿宋_GB2312"/>
          <w:sz w:val="32"/>
          <w:szCs w:val="32"/>
          <w:lang w:eastAsia="zh-CN"/>
        </w:rPr>
        <w:t>一般行政管理事务</w:t>
      </w:r>
      <w:r>
        <w:rPr>
          <w:rFonts w:hint="eastAsia" w:eastAsia="仿宋_GB2312" w:cs="仿宋_GB2312"/>
          <w:sz w:val="32"/>
          <w:szCs w:val="32"/>
        </w:rPr>
        <w:t>（项）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111.29</w:t>
      </w:r>
      <w:r>
        <w:rPr>
          <w:rFonts w:hint="eastAsia" w:eastAsia="仿宋_GB2312" w:cs="仿宋_GB2312"/>
          <w:sz w:val="32"/>
          <w:szCs w:val="32"/>
        </w:rPr>
        <w:t>万元，完成预算</w:t>
      </w:r>
      <w:r>
        <w:rPr>
          <w:rFonts w:hint="eastAsia" w:eastAsia="仿宋_GB2312" w:cs="仿宋_GB2312"/>
          <w:sz w:val="32"/>
          <w:szCs w:val="32"/>
          <w:lang w:val="en-US" w:eastAsia="zh-CN"/>
        </w:rPr>
        <w:t>94.32</w:t>
      </w:r>
      <w:r>
        <w:rPr>
          <w:rFonts w:hint="eastAsia" w:eastAsia="仿宋_GB2312" w:cs="仿宋_GB2312"/>
          <w:sz w:val="32"/>
          <w:szCs w:val="32"/>
        </w:rPr>
        <w:t>%，决算数小于预算数的</w:t>
      </w:r>
      <w:r>
        <w:rPr>
          <w:rFonts w:hint="eastAsia" w:eastAsia="仿宋_GB2312" w:cs="仿宋_GB2312"/>
          <w:sz w:val="32"/>
          <w:szCs w:val="32"/>
          <w:highlight w:val="none"/>
        </w:rPr>
        <w:t>主要原因是</w:t>
      </w:r>
      <w:r>
        <w:rPr>
          <w:rFonts w:hint="eastAsia" w:eastAsia="仿宋_GB2312" w:cs="仿宋_GB2312"/>
          <w:sz w:val="32"/>
          <w:szCs w:val="32"/>
          <w:highlight w:val="none"/>
          <w:lang w:val="en-US" w:eastAsia="zh-CN"/>
        </w:rPr>
        <w:t>本着节俭原则，在保证完成任务的情况下，减少开支。</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一般公共服务（类）</w:t>
      </w:r>
      <w:r>
        <w:rPr>
          <w:rFonts w:hint="eastAsia" w:eastAsia="仿宋_GB2312" w:cs="仿宋_GB2312"/>
          <w:sz w:val="32"/>
          <w:szCs w:val="32"/>
          <w:lang w:eastAsia="zh-CN"/>
        </w:rPr>
        <w:t>信访事务</w:t>
      </w:r>
      <w:r>
        <w:rPr>
          <w:rFonts w:hint="eastAsia" w:eastAsia="仿宋_GB2312" w:cs="仿宋_GB2312"/>
          <w:sz w:val="32"/>
          <w:szCs w:val="32"/>
        </w:rPr>
        <w:t>（款）</w:t>
      </w:r>
      <w:r>
        <w:rPr>
          <w:rFonts w:hint="eastAsia" w:eastAsia="仿宋_GB2312" w:cs="仿宋_GB2312"/>
          <w:sz w:val="32"/>
          <w:szCs w:val="32"/>
          <w:lang w:eastAsia="zh-CN"/>
        </w:rPr>
        <w:t>其他信访事务支出</w:t>
      </w:r>
      <w:r>
        <w:rPr>
          <w:rFonts w:hint="eastAsia" w:eastAsia="仿宋_GB2312" w:cs="仿宋_GB2312"/>
          <w:sz w:val="32"/>
          <w:szCs w:val="32"/>
        </w:rPr>
        <w:t>（项）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39.26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机关事业单位基本养老保险缴费支出</w:t>
      </w:r>
      <w:r>
        <w:rPr>
          <w:rFonts w:hint="eastAsia" w:eastAsia="仿宋_GB2312" w:cs="仿宋_GB2312"/>
          <w:sz w:val="32"/>
          <w:szCs w:val="32"/>
        </w:rPr>
        <w:t>（项）：支出决算为</w:t>
      </w:r>
      <w:r>
        <w:rPr>
          <w:rFonts w:hint="eastAsia" w:eastAsia="仿宋_GB2312" w:cs="仿宋_GB2312"/>
          <w:sz w:val="32"/>
          <w:szCs w:val="32"/>
          <w:lang w:val="en-US" w:eastAsia="zh-CN"/>
        </w:rPr>
        <w:t>26.76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机关事业单位职业年金缴费支出</w:t>
      </w:r>
      <w:r>
        <w:rPr>
          <w:rFonts w:hint="eastAsia" w:eastAsia="仿宋_GB2312" w:cs="仿宋_GB2312"/>
          <w:sz w:val="32"/>
          <w:szCs w:val="32"/>
        </w:rPr>
        <w:t>（项）：支出决算为</w:t>
      </w:r>
      <w:r>
        <w:rPr>
          <w:rFonts w:hint="eastAsia" w:eastAsia="仿宋_GB2312" w:cs="仿宋_GB2312"/>
          <w:sz w:val="32"/>
          <w:szCs w:val="32"/>
          <w:lang w:val="en-US" w:eastAsia="zh-CN"/>
        </w:rPr>
        <w:t>18.02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其他行政事业单位养老支出</w:t>
      </w:r>
      <w:r>
        <w:rPr>
          <w:rFonts w:hint="eastAsia" w:eastAsia="仿宋_GB2312" w:cs="仿宋_GB2312"/>
          <w:sz w:val="32"/>
          <w:szCs w:val="32"/>
        </w:rPr>
        <w:t>（项）：支出决算为</w:t>
      </w:r>
      <w:r>
        <w:rPr>
          <w:rFonts w:hint="eastAsia" w:eastAsia="仿宋_GB2312" w:cs="仿宋_GB2312"/>
          <w:sz w:val="32"/>
          <w:szCs w:val="32"/>
          <w:lang w:val="en-US" w:eastAsia="zh-CN"/>
        </w:rPr>
        <w:t>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其他社会保障和就业支出</w:t>
      </w:r>
      <w:r>
        <w:rPr>
          <w:rFonts w:hint="eastAsia" w:eastAsia="仿宋_GB2312" w:cs="仿宋_GB2312"/>
          <w:sz w:val="32"/>
          <w:szCs w:val="32"/>
        </w:rPr>
        <w:t>（款）</w:t>
      </w:r>
      <w:r>
        <w:rPr>
          <w:rFonts w:hint="eastAsia" w:eastAsia="仿宋_GB2312" w:cs="仿宋_GB2312"/>
          <w:sz w:val="32"/>
          <w:szCs w:val="32"/>
          <w:lang w:eastAsia="zh-CN"/>
        </w:rPr>
        <w:t>其他社会保障和就业支出</w:t>
      </w:r>
      <w:r>
        <w:rPr>
          <w:rFonts w:hint="eastAsia" w:eastAsia="仿宋_GB2312" w:cs="仿宋_GB2312"/>
          <w:sz w:val="32"/>
          <w:szCs w:val="32"/>
        </w:rPr>
        <w:t>（项）：支出决算为</w:t>
      </w:r>
      <w:r>
        <w:rPr>
          <w:rFonts w:hint="eastAsia" w:eastAsia="仿宋_GB2312" w:cs="仿宋_GB2312"/>
          <w:sz w:val="32"/>
          <w:szCs w:val="32"/>
          <w:lang w:val="en-US" w:eastAsia="zh-CN"/>
        </w:rPr>
        <w:t>2.25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行政单位医疗</w:t>
      </w:r>
      <w:r>
        <w:rPr>
          <w:rFonts w:hint="eastAsia" w:eastAsia="仿宋_GB2312" w:cs="仿宋_GB2312"/>
          <w:sz w:val="32"/>
          <w:szCs w:val="32"/>
        </w:rPr>
        <w:t>（项）：支出决算为</w:t>
      </w:r>
      <w:r>
        <w:rPr>
          <w:rFonts w:hint="eastAsia" w:eastAsia="仿宋_GB2312" w:cs="仿宋_GB2312"/>
          <w:sz w:val="32"/>
          <w:szCs w:val="32"/>
          <w:lang w:val="en-US" w:eastAsia="zh-CN"/>
        </w:rPr>
        <w:t>6.96</w:t>
      </w:r>
      <w:r>
        <w:rPr>
          <w:rFonts w:hint="eastAsia" w:eastAsia="仿宋_GB2312" w:cs="仿宋_GB2312"/>
          <w:sz w:val="32"/>
          <w:szCs w:val="32"/>
        </w:rPr>
        <w:t>万元，完成预算</w:t>
      </w:r>
      <w:r>
        <w:rPr>
          <w:rFonts w:hint="eastAsia" w:eastAsia="仿宋_GB2312" w:cs="仿宋_GB2312"/>
          <w:sz w:val="32"/>
          <w:szCs w:val="32"/>
          <w:lang w:val="en-US" w:eastAsia="zh-CN"/>
        </w:rPr>
        <w:t>10</w:t>
      </w:r>
      <w:r>
        <w:rPr>
          <w:rFonts w:hint="eastAsia" w:eastAsia="仿宋_GB2312" w:cs="仿宋_GB2312"/>
          <w:sz w:val="32"/>
          <w:szCs w:val="32"/>
          <w:lang w:eastAsia="zh-CN"/>
        </w:rPr>
        <w:t>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事业单位医疗</w:t>
      </w:r>
      <w:r>
        <w:rPr>
          <w:rFonts w:hint="eastAsia" w:eastAsia="仿宋_GB2312" w:cs="仿宋_GB2312"/>
          <w:sz w:val="32"/>
          <w:szCs w:val="32"/>
        </w:rPr>
        <w:t>（项）：支出决算为</w:t>
      </w:r>
      <w:r>
        <w:rPr>
          <w:rFonts w:hint="eastAsia" w:eastAsia="仿宋_GB2312" w:cs="仿宋_GB2312"/>
          <w:sz w:val="32"/>
          <w:szCs w:val="32"/>
          <w:lang w:val="en-US" w:eastAsia="zh-CN"/>
        </w:rPr>
        <w:t>0.92</w:t>
      </w:r>
      <w:r>
        <w:rPr>
          <w:rFonts w:hint="eastAsia" w:eastAsia="仿宋_GB2312" w:cs="仿宋_GB2312"/>
          <w:sz w:val="32"/>
          <w:szCs w:val="32"/>
        </w:rPr>
        <w:t>万元，完成预算</w:t>
      </w:r>
      <w:r>
        <w:rPr>
          <w:rFonts w:hint="eastAsia" w:eastAsia="仿宋_GB2312" w:cs="仿宋_GB2312"/>
          <w:sz w:val="32"/>
          <w:szCs w:val="32"/>
          <w:lang w:val="en-US" w:eastAsia="zh-CN"/>
        </w:rPr>
        <w:t>10</w:t>
      </w:r>
      <w:r>
        <w:rPr>
          <w:rFonts w:hint="eastAsia" w:eastAsia="仿宋_GB2312" w:cs="仿宋_GB2312"/>
          <w:sz w:val="32"/>
          <w:szCs w:val="32"/>
          <w:lang w:eastAsia="zh-CN"/>
        </w:rPr>
        <w:t>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公务员医疗补助</w:t>
      </w:r>
      <w:r>
        <w:rPr>
          <w:rFonts w:hint="eastAsia" w:eastAsia="仿宋_GB2312" w:cs="仿宋_GB2312"/>
          <w:sz w:val="32"/>
          <w:szCs w:val="32"/>
        </w:rPr>
        <w:t>（项）：支出决算为</w:t>
      </w:r>
      <w:r>
        <w:rPr>
          <w:rFonts w:hint="eastAsia" w:eastAsia="仿宋_GB2312" w:cs="仿宋_GB2312"/>
          <w:sz w:val="32"/>
          <w:szCs w:val="32"/>
          <w:lang w:val="en-US" w:eastAsia="zh-CN"/>
        </w:rPr>
        <w:t>1.95</w:t>
      </w:r>
      <w:r>
        <w:rPr>
          <w:rFonts w:hint="eastAsia" w:eastAsia="仿宋_GB2312" w:cs="仿宋_GB2312"/>
          <w:sz w:val="32"/>
          <w:szCs w:val="32"/>
        </w:rPr>
        <w:t>万元，完成预算</w:t>
      </w:r>
      <w:r>
        <w:rPr>
          <w:rFonts w:hint="eastAsia" w:eastAsia="仿宋_GB2312" w:cs="仿宋_GB2312"/>
          <w:sz w:val="32"/>
          <w:szCs w:val="32"/>
          <w:lang w:val="en-US" w:eastAsia="zh-CN"/>
        </w:rPr>
        <w:t>10</w:t>
      </w:r>
      <w:r>
        <w:rPr>
          <w:rFonts w:hint="eastAsia" w:eastAsia="仿宋_GB2312" w:cs="仿宋_GB2312"/>
          <w:sz w:val="32"/>
          <w:szCs w:val="32"/>
          <w:lang w:eastAsia="zh-CN"/>
        </w:rPr>
        <w:t>0</w:t>
      </w:r>
      <w:r>
        <w:rPr>
          <w:rFonts w:hint="eastAsia" w:eastAsia="仿宋_GB2312" w:cs="仿宋_GB2312"/>
          <w:sz w:val="32"/>
          <w:szCs w:val="32"/>
        </w:rPr>
        <w:t>%，决算数等于预算数</w:t>
      </w:r>
      <w:r>
        <w:rPr>
          <w:rFonts w:hint="eastAsia" w:eastAsia="仿宋_GB2312" w:cs="仿宋_GB2312"/>
          <w:sz w:val="32"/>
          <w:szCs w:val="32"/>
          <w:lang w:eastAsia="zh-CN"/>
        </w:rPr>
        <w:t>。</w:t>
      </w:r>
    </w:p>
    <w:p>
      <w:pPr>
        <w:numPr>
          <w:ilvl w:val="0"/>
          <w:numId w:val="2"/>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住房保障（类）</w:t>
      </w:r>
      <w:r>
        <w:rPr>
          <w:rFonts w:hint="eastAsia" w:eastAsia="仿宋_GB2312" w:cs="仿宋_GB2312"/>
          <w:sz w:val="32"/>
          <w:szCs w:val="32"/>
          <w:lang w:eastAsia="zh-CN"/>
        </w:rPr>
        <w:t>住房改革支出</w:t>
      </w:r>
      <w:r>
        <w:rPr>
          <w:rFonts w:hint="eastAsia" w:eastAsia="仿宋_GB2312" w:cs="仿宋_GB2312"/>
          <w:sz w:val="32"/>
          <w:szCs w:val="32"/>
        </w:rPr>
        <w:t>（款）</w:t>
      </w:r>
      <w:r>
        <w:rPr>
          <w:rFonts w:hint="eastAsia" w:eastAsia="仿宋_GB2312" w:cs="仿宋_GB2312"/>
          <w:sz w:val="32"/>
          <w:szCs w:val="32"/>
          <w:lang w:eastAsia="zh-CN"/>
        </w:rPr>
        <w:t>住房公积金</w:t>
      </w:r>
      <w:r>
        <w:rPr>
          <w:rFonts w:hint="eastAsia" w:eastAsia="仿宋_GB2312" w:cs="仿宋_GB2312"/>
          <w:sz w:val="32"/>
          <w:szCs w:val="32"/>
        </w:rPr>
        <w:t>（项）：支出决算为</w:t>
      </w:r>
      <w:r>
        <w:rPr>
          <w:rFonts w:hint="eastAsia" w:eastAsia="仿宋_GB2312" w:cs="仿宋_GB2312"/>
          <w:sz w:val="32"/>
          <w:szCs w:val="32"/>
          <w:lang w:val="en-US" w:eastAsia="zh-CN"/>
        </w:rPr>
        <w:t>21.99</w:t>
      </w:r>
      <w:r>
        <w:rPr>
          <w:rFonts w:hint="eastAsia" w:eastAsia="仿宋_GB2312" w:cs="仿宋_GB2312"/>
          <w:sz w:val="32"/>
          <w:szCs w:val="32"/>
        </w:rPr>
        <w:t>万元，完成预算</w:t>
      </w:r>
      <w:r>
        <w:rPr>
          <w:rFonts w:hint="eastAsia" w:eastAsia="仿宋_GB2312" w:cs="仿宋_GB2312"/>
          <w:sz w:val="32"/>
          <w:szCs w:val="32"/>
          <w:lang w:val="en-US" w:eastAsia="zh-CN"/>
        </w:rPr>
        <w:t>10</w:t>
      </w:r>
      <w:r>
        <w:rPr>
          <w:rFonts w:hint="eastAsia" w:eastAsia="仿宋_GB2312" w:cs="仿宋_GB2312"/>
          <w:sz w:val="32"/>
          <w:szCs w:val="32"/>
          <w:lang w:eastAsia="zh-CN"/>
        </w:rPr>
        <w:t>0</w:t>
      </w:r>
      <w:r>
        <w:rPr>
          <w:rFonts w:hint="eastAsia" w:eastAsia="仿宋_GB2312" w:cs="仿宋_GB2312"/>
          <w:sz w:val="32"/>
          <w:szCs w:val="32"/>
        </w:rPr>
        <w:t>%，决算数等于预算数</w:t>
      </w:r>
      <w:r>
        <w:rPr>
          <w:rFonts w:hint="eastAsia" w:eastAsia="仿宋_GB2312" w:cs="仿宋_GB2312"/>
          <w:sz w:val="32"/>
          <w:szCs w:val="32"/>
          <w:lang w:eastAsia="zh-CN"/>
        </w:rPr>
        <w:t>。</w:t>
      </w:r>
    </w:p>
    <w:p>
      <w:pPr>
        <w:tabs>
          <w:tab w:val="right" w:pos="8306"/>
        </w:tabs>
        <w:spacing w:line="600" w:lineRule="exact"/>
        <w:ind w:firstLine="640" w:firstLineChars="200"/>
        <w:outlineLvl w:val="1"/>
        <w:rPr>
          <w:rStyle w:val="30"/>
          <w:rFonts w:ascii="Times New Roman" w:hAnsi="Times New Roman"/>
        </w:rPr>
      </w:pPr>
      <w:bookmarkStart w:id="45" w:name="_Toc15377214"/>
      <w:bookmarkStart w:id="46" w:name="_Toc17235"/>
      <w:bookmarkStart w:id="47"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45"/>
      <w:bookmarkEnd w:id="46"/>
      <w:bookmarkEnd w:id="47"/>
      <w:r>
        <w:rPr>
          <w:rStyle w:val="30"/>
          <w:rFonts w:ascii="Times New Roman" w:hAnsi="Times New Roman" w:eastAsia="黑体"/>
          <w:b w:val="0"/>
        </w:rPr>
        <w:tab/>
      </w:r>
    </w:p>
    <w:p>
      <w:pPr>
        <w:spacing w:line="600" w:lineRule="exact"/>
        <w:ind w:firstLine="640" w:firstLineChars="200"/>
        <w:rPr>
          <w:rFonts w:eastAsia="仿宋_GB2312" w:cs="仿宋_GB2312"/>
          <w:sz w:val="32"/>
          <w:szCs w:val="32"/>
        </w:rPr>
      </w:pPr>
      <w:r>
        <w:rPr>
          <w:rFonts w:hint="eastAsia" w:eastAsia="仿宋_GB2312" w:cs="仿宋_GB2312"/>
          <w:sz w:val="32"/>
          <w:szCs w:val="32"/>
        </w:rPr>
        <w:t>2024年度一般公共预算财政拨款基本支出</w:t>
      </w:r>
      <w:r>
        <w:rPr>
          <w:rFonts w:hint="eastAsia" w:eastAsia="仿宋_GB2312" w:cs="仿宋_GB2312"/>
          <w:sz w:val="32"/>
          <w:szCs w:val="32"/>
          <w:lang w:val="en-US" w:eastAsia="zh-CN"/>
        </w:rPr>
        <w:t>324.43</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firstLineChars="200"/>
        <w:rPr>
          <w:rFonts w:ascii="仿宋" w:hAnsi="仿宋" w:eastAsia="仿宋"/>
          <w:sz w:val="32"/>
          <w:szCs w:val="32"/>
          <w:highlight w:val="yellow"/>
        </w:rPr>
      </w:pPr>
      <w:r>
        <w:rPr>
          <w:rFonts w:hint="eastAsia" w:eastAsia="仿宋_GB2312" w:cs="仿宋_GB2312"/>
          <w:sz w:val="32"/>
          <w:szCs w:val="32"/>
        </w:rPr>
        <w:t>人员经费</w:t>
      </w:r>
      <w:r>
        <w:rPr>
          <w:rFonts w:hint="eastAsia" w:eastAsia="仿宋_GB2312" w:cs="仿宋_GB2312"/>
          <w:sz w:val="32"/>
          <w:szCs w:val="32"/>
          <w:lang w:val="en-US" w:eastAsia="zh-CN"/>
        </w:rPr>
        <w:t>289.05</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元，主要包括：基本工资、津贴补贴、奖金、伙食补助费、绩效工资、机关事业单位基本养老保险缴费、职业年金缴费、职工基本医疗保险缴费</w:t>
      </w:r>
      <w:r>
        <w:rPr>
          <w:rFonts w:hint="eastAsia" w:eastAsia="仿宋_GB2312" w:cs="仿宋_GB2312"/>
          <w:sz w:val="32"/>
          <w:szCs w:val="32"/>
          <w:lang w:eastAsia="zh-CN"/>
        </w:rPr>
        <w:t>、公务员医疗补助缴费、</w:t>
      </w:r>
      <w:r>
        <w:rPr>
          <w:rFonts w:hint="eastAsia" w:eastAsia="仿宋_GB2312" w:cs="仿宋_GB2312"/>
          <w:sz w:val="32"/>
          <w:szCs w:val="32"/>
        </w:rPr>
        <w:t>其他社会保障缴费、住房公积金、其他工资福利支出、奖励金、其他对个人和家庭的补助支出等。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eastAsia="仿宋_GB2312" w:cs="仿宋_GB2312"/>
          <w:sz w:val="32"/>
          <w:szCs w:val="32"/>
          <w:lang w:val="en-US" w:eastAsia="zh-CN"/>
        </w:rPr>
        <w:t>35.38</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元，主要包括：办公费、印刷费、水费、电费、邮电费、物业管理费、维修（护）费、培训费、公务接待费、劳务费、委托业务费、工会经费、福利费、其他交通费、其他商品和服务支出、办公设备购置。</w:t>
      </w:r>
    </w:p>
    <w:p>
      <w:pPr>
        <w:spacing w:line="600" w:lineRule="exact"/>
        <w:ind w:firstLine="640" w:firstLineChars="200"/>
        <w:outlineLvl w:val="1"/>
        <w:rPr>
          <w:rStyle w:val="30"/>
          <w:rFonts w:ascii="Times New Roman" w:hAnsi="Times New Roman" w:eastAsia="黑体"/>
          <w:b w:val="0"/>
        </w:rPr>
      </w:pPr>
      <w:bookmarkStart w:id="48" w:name="_Toc15377215"/>
      <w:bookmarkStart w:id="49" w:name="_Toc15396609"/>
      <w:bookmarkStart w:id="50" w:name="_Toc2990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48"/>
      <w:bookmarkEnd w:id="49"/>
      <w:bookmarkEnd w:id="50"/>
    </w:p>
    <w:p>
      <w:pPr>
        <w:spacing w:line="600" w:lineRule="exact"/>
        <w:ind w:firstLine="643" w:firstLineChars="200"/>
        <w:outlineLvl w:val="2"/>
        <w:rPr>
          <w:rFonts w:eastAsia="楷体_GB2312" w:cs="楷体_GB2312"/>
          <w:b/>
          <w:sz w:val="32"/>
          <w:szCs w:val="32"/>
        </w:rPr>
      </w:pPr>
      <w:bookmarkStart w:id="51" w:name="_Toc15377216"/>
      <w:r>
        <w:rPr>
          <w:rFonts w:hint="eastAsia" w:eastAsia="楷体_GB2312" w:cs="楷体_GB2312"/>
          <w:b/>
          <w:sz w:val="32"/>
          <w:szCs w:val="32"/>
        </w:rPr>
        <w:t>（一）“三公”经费财政拨款支出决算总体情况说明</w:t>
      </w:r>
      <w:bookmarkEnd w:id="51"/>
    </w:p>
    <w:p>
      <w:pPr>
        <w:spacing w:line="600" w:lineRule="exact"/>
        <w:ind w:firstLine="640" w:firstLineChars="20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eastAsia="仿宋_GB2312" w:cs="仿宋_GB2312"/>
          <w:sz w:val="32"/>
          <w:szCs w:val="32"/>
          <w:lang w:val="en-US" w:eastAsia="zh-CN"/>
        </w:rPr>
        <w:t>1.02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w:t>
      </w:r>
      <w:r>
        <w:rPr>
          <w:rFonts w:hint="eastAsia" w:eastAsia="仿宋_GB2312" w:cs="仿宋_GB2312"/>
          <w:sz w:val="32"/>
          <w:szCs w:val="32"/>
          <w:lang w:eastAsia="zh-CN"/>
        </w:rPr>
        <w:t>0</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1.02</w:t>
      </w:r>
      <w:r>
        <w:rPr>
          <w:rFonts w:hint="eastAsia" w:eastAsia="仿宋_GB2312" w:cs="仿宋_GB2312"/>
          <w:sz w:val="32"/>
          <w:szCs w:val="32"/>
        </w:rPr>
        <w:t>万元，增长</w:t>
      </w:r>
      <w:r>
        <w:rPr>
          <w:rFonts w:hint="eastAsia" w:eastAsia="仿宋_GB2312" w:cs="仿宋_GB2312"/>
          <w:sz w:val="32"/>
          <w:szCs w:val="32"/>
          <w:lang w:val="en-US" w:eastAsia="zh-CN"/>
        </w:rPr>
        <w:t>100</w:t>
      </w:r>
      <w:r>
        <w:rPr>
          <w:rFonts w:hint="eastAsia" w:eastAsia="仿宋_GB2312" w:cs="仿宋_GB2312"/>
          <w:sz w:val="32"/>
          <w:szCs w:val="32"/>
        </w:rPr>
        <w:t>%。决算数与预算数持平</w:t>
      </w:r>
      <w:r>
        <w:rPr>
          <w:rFonts w:hint="eastAsia"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52" w:name="_Toc15377217"/>
      <w:r>
        <w:rPr>
          <w:rFonts w:hint="eastAsia" w:eastAsia="楷体_GB2312" w:cs="楷体_GB2312"/>
          <w:b/>
          <w:sz w:val="32"/>
          <w:szCs w:val="32"/>
        </w:rPr>
        <w:t>（二）“三公”经费财政拨款支出决算具体情况说明</w:t>
      </w:r>
      <w:bookmarkEnd w:id="52"/>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%；公务用车购置及运行维护费支出决算</w:t>
      </w:r>
      <w:r>
        <w:rPr>
          <w:rFonts w:hint="eastAsia" w:eastAsia="仿宋_GB2312" w:cs="仿宋_GB2312"/>
          <w:sz w:val="32"/>
          <w:szCs w:val="32"/>
          <w:lang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%；公务接待费支出决算</w:t>
      </w:r>
      <w:r>
        <w:rPr>
          <w:rFonts w:hint="eastAsia" w:eastAsia="仿宋_GB2312" w:cs="仿宋_GB2312"/>
          <w:sz w:val="32"/>
          <w:szCs w:val="32"/>
          <w:lang w:val="en-US" w:eastAsia="zh-CN"/>
        </w:rPr>
        <w:t>1.02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pPr>
        <w:tabs>
          <w:tab w:val="left" w:pos="812"/>
        </w:tabs>
        <w:spacing w:line="240" w:lineRule="auto"/>
        <w:ind w:firstLine="420" w:firstLineChars="200"/>
        <w:jc w:val="center"/>
        <w:rPr>
          <w:rFonts w:hint="eastAsia" w:ascii="仿宋_GB2312" w:hAnsi="仿宋_GB2312" w:eastAsia="仿宋_GB2312" w:cs="仿宋_GB2312"/>
          <w:sz w:val="32"/>
          <w:szCs w:val="32"/>
          <w:lang w:eastAsia="zh-CN"/>
        </w:rPr>
      </w:pPr>
      <w:r>
        <w:drawing>
          <wp:inline distT="0" distB="0" distL="114300" distR="114300">
            <wp:extent cx="3771900" cy="2115185"/>
            <wp:effectExtent l="38735" t="18415" r="56515" b="7620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eastAsia="仿宋_GB2312" w:cs="仿宋_GB2312"/>
          <w:sz w:val="32"/>
          <w:szCs w:val="32"/>
        </w:rPr>
      </w:pPr>
      <w:r>
        <w:rPr>
          <w:rFonts w:hint="eastAsia" w:eastAsia="仿宋_GB2312" w:cs="仿宋_GB2312"/>
          <w:sz w:val="32"/>
          <w:szCs w:val="32"/>
        </w:rPr>
        <w:t>（图7：“三公”经费财政拨款支出结构）（饼状图）</w:t>
      </w:r>
    </w:p>
    <w:p>
      <w:pPr>
        <w:spacing w:line="600" w:lineRule="exact"/>
        <w:ind w:firstLine="643" w:firstLineChars="200"/>
        <w:rPr>
          <w:rFonts w:eastAsia="仿宋_GB2312" w:cs="仿宋_GB2312"/>
          <w:sz w:val="32"/>
          <w:szCs w:val="32"/>
        </w:rPr>
      </w:pPr>
      <w:r>
        <w:rPr>
          <w:rFonts w:hint="eastAsia" w:eastAsia="仿宋_GB2312" w:cs="仿宋_GB2312"/>
          <w:b/>
          <w:bCs/>
          <w:sz w:val="32"/>
          <w:szCs w:val="32"/>
        </w:rPr>
        <w:t>1.</w:t>
      </w:r>
      <w:r>
        <w:rPr>
          <w:rFonts w:hint="eastAsia" w:ascii="仿宋_GB2312" w:eastAsia="仿宋_GB2312"/>
          <w:b/>
          <w:bCs/>
          <w:sz w:val="32"/>
          <w:szCs w:val="32"/>
        </w:rPr>
        <w:t>因公出国（境）经费支出</w:t>
      </w:r>
      <w:r>
        <w:rPr>
          <w:rFonts w:hint="eastAsia" w:ascii="仿宋_GB2312" w:eastAsia="仿宋_GB2312"/>
          <w:b w:val="0"/>
          <w:bCs w:val="0"/>
          <w:sz w:val="32"/>
          <w:szCs w:val="32"/>
        </w:rPr>
        <w:t>0万元，</w:t>
      </w:r>
      <w:r>
        <w:rPr>
          <w:rFonts w:hint="eastAsia" w:ascii="仿宋_GB2312" w:eastAsia="仿宋_GB2312"/>
          <w:sz w:val="32"/>
          <w:szCs w:val="32"/>
        </w:rPr>
        <w:t>完成预算0</w:t>
      </w:r>
      <w:r>
        <w:rPr>
          <w:rFonts w:ascii="仿宋_GB2312" w:eastAsia="仿宋_GB2312"/>
          <w:sz w:val="32"/>
          <w:szCs w:val="32"/>
        </w:rPr>
        <w:t>%</w:t>
      </w:r>
      <w:r>
        <w:rPr>
          <w:rFonts w:hint="eastAsia" w:ascii="仿宋_GB2312" w:eastAsia="仿宋_GB2312"/>
          <w:sz w:val="32"/>
          <w:szCs w:val="32"/>
        </w:rPr>
        <w:t>。全年安排因公出国（境）团组0次，出国（境）0人。因公出国（境）支出决算与202</w:t>
      </w:r>
      <w:r>
        <w:rPr>
          <w:rFonts w:hint="eastAsia" w:ascii="仿宋_GB2312" w:eastAsia="仿宋_GB2312"/>
          <w:sz w:val="32"/>
          <w:szCs w:val="32"/>
          <w:lang w:val="en-US" w:eastAsia="zh-CN"/>
        </w:rPr>
        <w:t>3</w:t>
      </w:r>
      <w:r>
        <w:rPr>
          <w:rFonts w:hint="eastAsia" w:ascii="仿宋_GB2312" w:eastAsia="仿宋_GB2312"/>
          <w:sz w:val="32"/>
          <w:szCs w:val="32"/>
        </w:rPr>
        <w:t>年持平。主要原因是202</w:t>
      </w:r>
      <w:r>
        <w:rPr>
          <w:rFonts w:hint="eastAsia" w:ascii="仿宋_GB2312" w:eastAsia="仿宋_GB2312"/>
          <w:sz w:val="32"/>
          <w:szCs w:val="32"/>
          <w:lang w:val="en-US" w:eastAsia="zh-CN"/>
        </w:rPr>
        <w:t>4</w:t>
      </w:r>
      <w:r>
        <w:rPr>
          <w:rFonts w:hint="eastAsia" w:ascii="仿宋_GB2312" w:eastAsia="仿宋_GB2312"/>
          <w:sz w:val="32"/>
          <w:szCs w:val="32"/>
        </w:rPr>
        <w:t>年本单位无因公出国（境）经费支出。</w:t>
      </w:r>
    </w:p>
    <w:p>
      <w:pPr>
        <w:spacing w:line="600" w:lineRule="exact"/>
        <w:ind w:firstLine="643" w:firstLineChars="200"/>
        <w:jc w:val="both"/>
        <w:rPr>
          <w:rFonts w:ascii="仿宋_GB2312" w:eastAsia="仿宋_GB2312"/>
          <w:sz w:val="32"/>
          <w:szCs w:val="32"/>
        </w:rPr>
      </w:pPr>
      <w:r>
        <w:rPr>
          <w:rFonts w:hint="eastAsia" w:eastAsia="仿宋_GB2312" w:cs="仿宋_GB2312"/>
          <w:b/>
          <w:bCs/>
          <w:sz w:val="32"/>
          <w:szCs w:val="32"/>
        </w:rPr>
        <w:t>2.</w:t>
      </w:r>
      <w:r>
        <w:rPr>
          <w:rFonts w:hint="eastAsia" w:ascii="仿宋_GB2312" w:eastAsia="仿宋_GB2312"/>
          <w:b/>
          <w:bCs/>
          <w:sz w:val="32"/>
          <w:szCs w:val="32"/>
        </w:rPr>
        <w:t>公务用车购置及运行维护费支出</w:t>
      </w:r>
      <w:r>
        <w:rPr>
          <w:rFonts w:hint="eastAsia" w:ascii="仿宋_GB2312" w:eastAsia="仿宋_GB2312"/>
          <w:b w:val="0"/>
          <w:bCs w:val="0"/>
          <w:sz w:val="32"/>
          <w:szCs w:val="32"/>
        </w:rPr>
        <w:t>0万元</w:t>
      </w:r>
      <w:r>
        <w:rPr>
          <w:rFonts w:hint="eastAsia" w:ascii="仿宋_GB2312" w:eastAsia="仿宋_GB2312"/>
          <w:b w:val="0"/>
          <w:bCs w:val="0"/>
          <w:sz w:val="32"/>
          <w:szCs w:val="32"/>
          <w:lang w:eastAsia="zh-CN"/>
        </w:rPr>
        <w:t>，</w:t>
      </w:r>
      <w:r>
        <w:rPr>
          <w:rFonts w:hint="eastAsia" w:ascii="仿宋_GB2312" w:eastAsia="仿宋_GB2312"/>
          <w:sz w:val="32"/>
          <w:szCs w:val="32"/>
        </w:rPr>
        <w:t>完成预算0</w:t>
      </w:r>
      <w:r>
        <w:rPr>
          <w:rFonts w:ascii="仿宋_GB2312" w:eastAsia="仿宋_GB2312"/>
          <w:sz w:val="32"/>
          <w:szCs w:val="32"/>
        </w:rPr>
        <w:t>%</w:t>
      </w:r>
      <w:r>
        <w:rPr>
          <w:rFonts w:hint="eastAsia" w:ascii="仿宋_GB2312" w:eastAsia="仿宋_GB2312"/>
          <w:sz w:val="32"/>
          <w:szCs w:val="32"/>
        </w:rPr>
        <w:t>。公务用车购置及运行维护费支出决算与202</w:t>
      </w:r>
      <w:r>
        <w:rPr>
          <w:rFonts w:hint="eastAsia" w:ascii="仿宋_GB2312" w:eastAsia="仿宋_GB2312"/>
          <w:sz w:val="32"/>
          <w:szCs w:val="32"/>
          <w:lang w:val="en-US" w:eastAsia="zh-CN"/>
        </w:rPr>
        <w:t>3</w:t>
      </w:r>
      <w:r>
        <w:rPr>
          <w:rFonts w:hint="eastAsia" w:ascii="仿宋_GB2312" w:eastAsia="仿宋_GB2312"/>
          <w:sz w:val="32"/>
          <w:szCs w:val="32"/>
        </w:rPr>
        <w:t>年度持平。主要原因是202</w:t>
      </w:r>
      <w:r>
        <w:rPr>
          <w:rFonts w:hint="eastAsia" w:ascii="仿宋_GB2312" w:eastAsia="仿宋_GB2312"/>
          <w:sz w:val="32"/>
          <w:szCs w:val="32"/>
          <w:lang w:val="en-US" w:eastAsia="zh-CN"/>
        </w:rPr>
        <w:t>4</w:t>
      </w:r>
      <w:r>
        <w:rPr>
          <w:rFonts w:hint="eastAsia" w:ascii="仿宋_GB2312" w:eastAsia="仿宋_GB2312"/>
          <w:sz w:val="32"/>
          <w:szCs w:val="32"/>
        </w:rPr>
        <w:t>年本单位无公务用车购置及运行维护费支出。</w:t>
      </w:r>
    </w:p>
    <w:p>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bCs/>
          <w:sz w:val="32"/>
          <w:szCs w:val="32"/>
        </w:rPr>
        <w:t>公务用车购置支出</w:t>
      </w:r>
      <w:r>
        <w:rPr>
          <w:rFonts w:hint="eastAsia" w:ascii="仿宋_GB2312" w:eastAsia="仿宋_GB2312"/>
          <w:b w:val="0"/>
          <w:bCs w:val="0"/>
          <w:sz w:val="32"/>
          <w:szCs w:val="32"/>
        </w:rPr>
        <w:t>0万元。</w:t>
      </w:r>
      <w:r>
        <w:rPr>
          <w:rFonts w:hint="eastAsia" w:ascii="仿宋_GB2312" w:eastAsia="仿宋_GB2312"/>
          <w:sz w:val="32"/>
          <w:szCs w:val="32"/>
        </w:rPr>
        <w:t>全年按规定更新购置公务用车0辆，其中：轿车0辆、金额0万元，越野车0辆、金额0万元，载客汽车0辆、金额0万元。截至202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pPr>
        <w:spacing w:line="600" w:lineRule="exact"/>
        <w:ind w:firstLine="643" w:firstLineChars="200"/>
        <w:jc w:val="both"/>
        <w:rPr>
          <w:rFonts w:eastAsia="仿宋_GB2312" w:cs="仿宋_GB2312"/>
          <w:sz w:val="32"/>
          <w:szCs w:val="32"/>
        </w:rPr>
      </w:pPr>
      <w:r>
        <w:rPr>
          <w:rFonts w:hint="eastAsia" w:ascii="仿宋_GB2312" w:eastAsia="仿宋_GB2312"/>
          <w:b/>
          <w:bCs/>
          <w:sz w:val="32"/>
          <w:szCs w:val="32"/>
        </w:rPr>
        <w:t>公务用车运行维护费支出</w:t>
      </w:r>
      <w:r>
        <w:rPr>
          <w:rFonts w:hint="eastAsia" w:ascii="仿宋_GB2312" w:eastAsia="仿宋_GB2312"/>
          <w:sz w:val="32"/>
          <w:szCs w:val="32"/>
        </w:rPr>
        <w:t>0万元。</w:t>
      </w:r>
    </w:p>
    <w:p>
      <w:pPr>
        <w:spacing w:line="600" w:lineRule="exact"/>
        <w:ind w:firstLine="643" w:firstLineChars="200"/>
        <w:rPr>
          <w:rFonts w:eastAsia="仿宋_GB2312" w:cs="仿宋_GB2312"/>
          <w:sz w:val="32"/>
          <w:szCs w:val="32"/>
        </w:rPr>
      </w:pPr>
      <w:r>
        <w:rPr>
          <w:rFonts w:hint="eastAsia" w:eastAsia="仿宋_GB2312" w:cs="仿宋_GB2312"/>
          <w:b/>
          <w:bCs/>
          <w:sz w:val="32"/>
          <w:szCs w:val="32"/>
        </w:rPr>
        <w:t>3.公务接待费支出</w:t>
      </w:r>
      <w:r>
        <w:rPr>
          <w:rFonts w:hint="eastAsia" w:eastAsia="仿宋_GB2312" w:cs="仿宋_GB2312"/>
          <w:sz w:val="32"/>
          <w:szCs w:val="32"/>
          <w:lang w:val="en-US" w:eastAsia="zh-CN"/>
        </w:rPr>
        <w:t>1.02</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hint="eastAsia" w:eastAsia="仿宋_GB2312" w:cs="仿宋_GB2312"/>
          <w:sz w:val="32"/>
          <w:szCs w:val="32"/>
          <w:lang w:val="en-US" w:eastAsia="zh-CN"/>
        </w:rPr>
        <w:t>1.02</w:t>
      </w:r>
      <w:r>
        <w:rPr>
          <w:rFonts w:hint="eastAsia" w:eastAsia="仿宋_GB2312" w:cs="仿宋_GB2312"/>
          <w:sz w:val="32"/>
          <w:szCs w:val="32"/>
        </w:rPr>
        <w:t>万元，增长</w:t>
      </w:r>
      <w:r>
        <w:rPr>
          <w:rFonts w:hint="eastAsia" w:eastAsia="仿宋_GB2312" w:cs="仿宋_GB2312"/>
          <w:sz w:val="32"/>
          <w:szCs w:val="32"/>
          <w:lang w:val="en-US" w:eastAsia="zh-CN"/>
        </w:rPr>
        <w:t>100</w:t>
      </w:r>
      <w:r>
        <w:rPr>
          <w:rFonts w:hint="eastAsia" w:eastAsia="仿宋_GB2312" w:cs="仿宋_GB2312"/>
          <w:sz w:val="32"/>
          <w:szCs w:val="32"/>
        </w:rPr>
        <w:t>%。主要原因是</w:t>
      </w:r>
      <w:r>
        <w:rPr>
          <w:rFonts w:hint="eastAsia" w:eastAsia="仿宋_GB2312" w:cs="仿宋_GB2312"/>
          <w:sz w:val="32"/>
          <w:szCs w:val="32"/>
          <w:lang w:val="en-US" w:eastAsia="zh-CN"/>
        </w:rPr>
        <w:t>2023年无公务接待事务，20</w:t>
      </w:r>
      <w:r>
        <w:rPr>
          <w:rFonts w:hint="eastAsia" w:eastAsia="仿宋_GB2312" w:cs="仿宋_GB2312"/>
          <w:sz w:val="32"/>
          <w:szCs w:val="32"/>
        </w:rPr>
        <w:t>24年</w:t>
      </w:r>
      <w:r>
        <w:rPr>
          <w:rFonts w:hint="eastAsia" w:eastAsia="仿宋_GB2312" w:cs="仿宋_GB2312"/>
          <w:sz w:val="32"/>
          <w:szCs w:val="32"/>
          <w:lang w:val="en-US" w:eastAsia="zh-CN"/>
        </w:rPr>
        <w:t>有</w:t>
      </w:r>
      <w:r>
        <w:rPr>
          <w:rFonts w:hint="eastAsia" w:eastAsia="仿宋_GB2312" w:cs="仿宋_GB2312"/>
          <w:sz w:val="32"/>
          <w:szCs w:val="32"/>
        </w:rPr>
        <w:t>公务接待事</w:t>
      </w:r>
      <w:r>
        <w:rPr>
          <w:rFonts w:hint="eastAsia" w:eastAsia="仿宋_GB2312" w:cs="仿宋_GB2312"/>
          <w:sz w:val="32"/>
          <w:szCs w:val="32"/>
          <w:lang w:val="en-US" w:eastAsia="zh-CN"/>
        </w:rPr>
        <w:t>由，安排了公务接待支出</w:t>
      </w:r>
      <w:r>
        <w:rPr>
          <w:rFonts w:hint="eastAsia" w:eastAsia="仿宋_GB2312" w:cs="仿宋_GB2312"/>
          <w:sz w:val="32"/>
          <w:szCs w:val="32"/>
        </w:rPr>
        <w:t>。其中：</w:t>
      </w:r>
    </w:p>
    <w:p>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eastAsia="仿宋_GB2312" w:cs="仿宋_GB2312"/>
          <w:sz w:val="32"/>
          <w:szCs w:val="32"/>
          <w:lang w:val="en-US" w:eastAsia="zh-CN"/>
        </w:rPr>
        <w:t>1.02</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hint="eastAsia" w:eastAsia="仿宋_GB2312" w:cs="仿宋_GB2312"/>
          <w:sz w:val="32"/>
          <w:szCs w:val="32"/>
          <w:lang w:val="en-US" w:eastAsia="zh-CN"/>
        </w:rPr>
        <w:t>交流学习</w:t>
      </w:r>
      <w:r>
        <w:rPr>
          <w:rFonts w:hint="eastAsia" w:eastAsia="仿宋_GB2312" w:cs="仿宋_GB2312"/>
          <w:sz w:val="32"/>
          <w:szCs w:val="32"/>
        </w:rPr>
        <w:t>的用餐费等。国内公务接</w:t>
      </w:r>
      <w:r>
        <w:rPr>
          <w:rFonts w:hint="eastAsia" w:ascii="仿宋_GB2312" w:hAnsi="仿宋_GB2312" w:eastAsia="仿宋_GB2312" w:cs="仿宋_GB2312"/>
          <w:sz w:val="32"/>
          <w:szCs w:val="32"/>
        </w:rPr>
        <w:t>待</w:t>
      </w:r>
      <w:r>
        <w:rPr>
          <w:rFonts w:hint="eastAsia" w:eastAsia="仿宋_GB2312" w:cs="仿宋_GB2312"/>
          <w:sz w:val="32"/>
          <w:szCs w:val="32"/>
          <w:lang w:val="en-US" w:eastAsia="zh-CN"/>
        </w:rPr>
        <w:t>6</w:t>
      </w:r>
      <w:r>
        <w:rPr>
          <w:rFonts w:hint="eastAsia" w:ascii="仿宋_GB2312" w:hAnsi="仿宋_GB2312" w:eastAsia="仿宋_GB2312" w:cs="仿宋_GB2312"/>
          <w:sz w:val="32"/>
          <w:szCs w:val="32"/>
        </w:rPr>
        <w:t>批次，</w:t>
      </w:r>
      <w:r>
        <w:rPr>
          <w:rFonts w:hint="eastAsia" w:eastAsia="仿宋_GB2312" w:cs="仿宋_GB2312"/>
          <w:sz w:val="32"/>
          <w:szCs w:val="32"/>
          <w:lang w:val="en-US" w:eastAsia="zh-CN"/>
        </w:rPr>
        <w:t>123</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1.02</w:t>
      </w:r>
      <w:r>
        <w:rPr>
          <w:rFonts w:hint="eastAsia" w:eastAsia="仿宋_GB2312" w:cs="仿宋_GB2312"/>
          <w:sz w:val="32"/>
          <w:szCs w:val="32"/>
        </w:rPr>
        <w:t>万元，具体内容包括：</w:t>
      </w:r>
    </w:p>
    <w:p>
      <w:pPr>
        <w:pStyle w:val="36"/>
        <w:keepNext w:val="0"/>
        <w:keepLines w:val="0"/>
        <w:pageBreakBefore w:val="0"/>
        <w:numPr>
          <w:ilvl w:val="0"/>
          <w:numId w:val="3"/>
        </w:numP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2024年3月19日：接待双流来学习法治化的人员16名，发生接待费用0.0909万元。</w:t>
      </w:r>
    </w:p>
    <w:p>
      <w:pPr>
        <w:pStyle w:val="36"/>
        <w:keepNext w:val="0"/>
        <w:keepLines w:val="0"/>
        <w:pageBreakBefore w:val="0"/>
        <w:numPr>
          <w:ilvl w:val="0"/>
          <w:numId w:val="3"/>
        </w:numP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2024年3月21日：接待遂宁来学习考察人员44名，发生接待费用0.428万元。</w:t>
      </w:r>
    </w:p>
    <w:p>
      <w:pPr>
        <w:pStyle w:val="36"/>
        <w:keepNext w:val="0"/>
        <w:keepLines w:val="0"/>
        <w:pageBreakBefore w:val="0"/>
        <w:numPr>
          <w:ilvl w:val="0"/>
          <w:numId w:val="3"/>
        </w:numP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2024年3月22日：接待达州来学习考察人员12名，发生接待费用0.107万元。</w:t>
      </w:r>
    </w:p>
    <w:p>
      <w:pPr>
        <w:pStyle w:val="36"/>
        <w:keepNext w:val="0"/>
        <w:keepLines w:val="0"/>
        <w:pageBreakBefore w:val="0"/>
        <w:numPr>
          <w:ilvl w:val="0"/>
          <w:numId w:val="3"/>
        </w:numPr>
        <w:kinsoku/>
        <w:wordWrap/>
        <w:overflowPunct/>
        <w:topLinePunct w:val="0"/>
        <w:autoSpaceDE/>
        <w:autoSpaceDN/>
        <w:bidi w:val="0"/>
        <w:adjustRightInd/>
        <w:spacing w:line="360" w:lineRule="auto"/>
        <w:ind w:left="0" w:leftChars="0" w:firstLine="640" w:firstLineChars="200"/>
        <w:textAlignment w:val="auto"/>
        <w:rPr>
          <w:rFonts w:hint="default"/>
          <w:lang w:val="en-US" w:eastAsia="zh-CN"/>
        </w:rPr>
      </w:pPr>
      <w:r>
        <w:rPr>
          <w:rFonts w:hint="eastAsia" w:ascii="仿宋_GB2312" w:hAnsi="仿宋" w:eastAsia="仿宋_GB2312" w:cs="Times New Roman"/>
          <w:sz w:val="32"/>
          <w:szCs w:val="32"/>
          <w:highlight w:val="none"/>
          <w:lang w:val="en-US" w:eastAsia="zh-CN"/>
        </w:rPr>
        <w:t>2024年4月2日：接待眉山来法治化学习16名，发生接待费用0.1038万元。</w:t>
      </w:r>
    </w:p>
    <w:p>
      <w:pPr>
        <w:pStyle w:val="36"/>
        <w:keepNext w:val="0"/>
        <w:keepLines w:val="0"/>
        <w:pageBreakBefore w:val="0"/>
        <w:numPr>
          <w:ilvl w:val="0"/>
          <w:numId w:val="3"/>
        </w:numP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2024年4月3日：接待沙湾区来法治化学习的11名，发生接待费用0.0827万元。</w:t>
      </w:r>
    </w:p>
    <w:p>
      <w:pPr>
        <w:numPr>
          <w:ilvl w:val="0"/>
          <w:numId w:val="3"/>
        </w:numPr>
        <w:spacing w:line="600" w:lineRule="exact"/>
        <w:ind w:left="0" w:leftChars="0" w:firstLine="640" w:firstLineChars="200"/>
        <w:rPr>
          <w:rFonts w:hint="eastAsia" w:eastAsia="仿宋_GB2312" w:cs="仿宋_GB2312"/>
          <w:sz w:val="32"/>
          <w:szCs w:val="32"/>
        </w:rPr>
      </w:pPr>
      <w:r>
        <w:rPr>
          <w:rFonts w:hint="eastAsia" w:ascii="仿宋_GB2312" w:hAnsi="仿宋" w:eastAsia="仿宋_GB2312" w:cs="Times New Roman"/>
          <w:sz w:val="32"/>
          <w:szCs w:val="32"/>
          <w:highlight w:val="none"/>
          <w:lang w:val="en-US" w:eastAsia="zh-CN"/>
        </w:rPr>
        <w:t>2024年4月22日：接待五通桥区法治化学习的人员18名，市中区人员6名，发生接待费用0.2107万元。</w:t>
      </w:r>
    </w:p>
    <w:p>
      <w:pPr>
        <w:spacing w:line="600" w:lineRule="exact"/>
        <w:ind w:firstLine="643" w:firstLineChars="200"/>
        <w:jc w:val="both"/>
        <w:rPr>
          <w:rFonts w:hint="eastAsia" w:ascii="仿宋_GB2312" w:eastAsia="仿宋_GB2312"/>
          <w:b w:val="0"/>
          <w:bCs w:val="0"/>
          <w:sz w:val="32"/>
          <w:szCs w:val="32"/>
        </w:rPr>
      </w:pPr>
      <w:bookmarkStart w:id="53" w:name="_Toc15377218"/>
      <w:bookmarkStart w:id="54" w:name="_Toc15396610"/>
      <w:r>
        <w:rPr>
          <w:rFonts w:hint="eastAsia" w:ascii="仿宋_GB2312" w:eastAsia="仿宋_GB2312"/>
          <w:b/>
          <w:bCs/>
          <w:sz w:val="32"/>
          <w:szCs w:val="32"/>
        </w:rPr>
        <w:t>外事接待支出</w:t>
      </w:r>
      <w:r>
        <w:rPr>
          <w:rFonts w:hint="eastAsia" w:ascii="仿宋_GB2312" w:eastAsia="仿宋_GB2312"/>
          <w:b w:val="0"/>
          <w:bCs w:val="0"/>
          <w:sz w:val="32"/>
          <w:szCs w:val="32"/>
        </w:rPr>
        <w:t>0万元。</w:t>
      </w:r>
    </w:p>
    <w:p>
      <w:pPr>
        <w:spacing w:line="600" w:lineRule="exact"/>
        <w:ind w:firstLine="640" w:firstLineChars="200"/>
        <w:outlineLvl w:val="1"/>
        <w:rPr>
          <w:rStyle w:val="30"/>
          <w:rFonts w:ascii="Times New Roman" w:hAnsi="Times New Roman" w:eastAsia="黑体"/>
        </w:rPr>
      </w:pPr>
      <w:bookmarkStart w:id="55" w:name="_Toc20567"/>
      <w:r>
        <w:rPr>
          <w:rFonts w:hint="eastAsia" w:eastAsia="黑体"/>
          <w:sz w:val="32"/>
          <w:szCs w:val="32"/>
        </w:rPr>
        <w:t>八、</w:t>
      </w:r>
      <w:r>
        <w:rPr>
          <w:rStyle w:val="30"/>
          <w:rFonts w:hint="eastAsia" w:ascii="Times New Roman" w:hAnsi="Times New Roman" w:eastAsia="黑体"/>
          <w:b w:val="0"/>
        </w:rPr>
        <w:t>政府性基金预算支出决算情况说明</w:t>
      </w:r>
      <w:bookmarkEnd w:id="53"/>
      <w:bookmarkEnd w:id="54"/>
      <w:bookmarkEnd w:id="55"/>
    </w:p>
    <w:p>
      <w:pPr>
        <w:spacing w:line="60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left="630" w:firstLine="640" w:firstLineChars="200"/>
        <w:outlineLvl w:val="1"/>
        <w:rPr>
          <w:rStyle w:val="30"/>
          <w:rFonts w:ascii="Times New Roman" w:hAnsi="Times New Roman" w:eastAsia="黑体"/>
          <w:b w:val="0"/>
        </w:rPr>
      </w:pPr>
      <w:bookmarkStart w:id="56" w:name="_Toc15377219"/>
      <w:bookmarkStart w:id="57" w:name="_Toc10094"/>
      <w:bookmarkStart w:id="58" w:name="_Toc15396611"/>
      <w:r>
        <w:rPr>
          <w:rStyle w:val="30"/>
          <w:rFonts w:hint="eastAsia" w:ascii="Times New Roman" w:hAnsi="Times New Roman" w:eastAsia="黑体"/>
          <w:b w:val="0"/>
        </w:rPr>
        <w:t>九、国有资本经营预算支出决算情况说明</w:t>
      </w:r>
      <w:bookmarkEnd w:id="56"/>
      <w:bookmarkEnd w:id="57"/>
      <w:bookmarkEnd w:id="58"/>
    </w:p>
    <w:p>
      <w:pPr>
        <w:spacing w:line="600" w:lineRule="exact"/>
        <w:ind w:firstLine="640" w:firstLineChars="20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eastAsia="仿宋_GB2312" w:cs="仿宋_GB2312"/>
          <w:sz w:val="32"/>
          <w:szCs w:val="32"/>
          <w:lang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left="630" w:firstLine="640" w:firstLineChars="200"/>
        <w:outlineLvl w:val="1"/>
        <w:rPr>
          <w:rStyle w:val="30"/>
          <w:rFonts w:ascii="Times New Roman" w:hAnsi="Times New Roman" w:eastAsia="黑体"/>
          <w:b w:val="0"/>
        </w:rPr>
      </w:pPr>
      <w:bookmarkStart w:id="59" w:name="_Toc15377221"/>
      <w:bookmarkStart w:id="60" w:name="_Toc30755"/>
      <w:bookmarkStart w:id="61" w:name="_Toc15396612"/>
      <w:r>
        <w:rPr>
          <w:rStyle w:val="30"/>
          <w:rFonts w:hint="eastAsia" w:ascii="Times New Roman" w:hAnsi="Times New Roman" w:eastAsia="黑体"/>
          <w:b w:val="0"/>
        </w:rPr>
        <w:t>十、其他重要事项的情况说明</w:t>
      </w:r>
      <w:bookmarkEnd w:id="59"/>
      <w:bookmarkEnd w:id="60"/>
      <w:bookmarkEnd w:id="61"/>
    </w:p>
    <w:p>
      <w:pPr>
        <w:spacing w:line="600" w:lineRule="exact"/>
        <w:ind w:firstLine="643" w:firstLineChars="200"/>
        <w:outlineLvl w:val="2"/>
        <w:rPr>
          <w:rFonts w:eastAsia="楷体_GB2312" w:cs="楷体_GB2312"/>
          <w:b/>
          <w:sz w:val="32"/>
          <w:szCs w:val="32"/>
        </w:rPr>
      </w:pPr>
      <w:bookmarkStart w:id="62" w:name="_Toc15377222"/>
      <w:r>
        <w:rPr>
          <w:rFonts w:hint="eastAsia" w:eastAsia="楷体_GB2312" w:cs="楷体_GB2312"/>
          <w:b/>
          <w:sz w:val="32"/>
          <w:szCs w:val="32"/>
        </w:rPr>
        <w:t>（一）机关运行经费支出情况</w:t>
      </w:r>
      <w:bookmarkEnd w:id="62"/>
    </w:p>
    <w:p>
      <w:pPr>
        <w:spacing w:line="600" w:lineRule="exact"/>
        <w:ind w:firstLine="640" w:firstLineChars="20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，乐山市市中区信访局机关运行经费支出</w:t>
      </w:r>
      <w:r>
        <w:rPr>
          <w:rFonts w:hint="eastAsia" w:eastAsia="仿宋_GB2312" w:cs="仿宋_GB2312"/>
          <w:sz w:val="32"/>
          <w:szCs w:val="32"/>
          <w:lang w:val="en-US" w:eastAsia="zh-CN"/>
        </w:rPr>
        <w:t>35.38</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1.8</w:t>
      </w:r>
      <w:r>
        <w:rPr>
          <w:rFonts w:hint="eastAsia" w:eastAsia="仿宋_GB2312" w:cs="仿宋_GB2312"/>
          <w:sz w:val="32"/>
          <w:szCs w:val="32"/>
        </w:rPr>
        <w:t>万元，增长</w:t>
      </w:r>
      <w:r>
        <w:rPr>
          <w:rFonts w:hint="eastAsia" w:eastAsia="仿宋_GB2312" w:cs="仿宋_GB2312"/>
          <w:sz w:val="32"/>
          <w:szCs w:val="32"/>
          <w:lang w:val="en-US" w:eastAsia="zh-CN"/>
        </w:rPr>
        <w:t>5.36</w:t>
      </w:r>
      <w:r>
        <w:rPr>
          <w:rFonts w:hint="eastAsia" w:eastAsia="仿宋_GB2312" w:cs="仿宋_GB2312"/>
          <w:sz w:val="32"/>
          <w:szCs w:val="32"/>
        </w:rPr>
        <w:t>%。主要原因是</w:t>
      </w:r>
      <w:r>
        <w:rPr>
          <w:rFonts w:hint="eastAsia" w:eastAsia="仿宋_GB2312" w:cs="仿宋_GB2312"/>
          <w:sz w:val="32"/>
          <w:szCs w:val="32"/>
          <w:lang w:val="en-US" w:eastAsia="zh-CN"/>
        </w:rPr>
        <w:t>新招2名公务员，机关运行经费的支出增加。</w:t>
      </w:r>
    </w:p>
    <w:p>
      <w:pPr>
        <w:spacing w:line="600" w:lineRule="exact"/>
        <w:ind w:firstLine="643" w:firstLineChars="200"/>
        <w:outlineLvl w:val="2"/>
        <w:rPr>
          <w:rFonts w:eastAsia="楷体_GB2312" w:cs="楷体_GB2312"/>
          <w:b/>
          <w:sz w:val="32"/>
          <w:szCs w:val="32"/>
        </w:rPr>
      </w:pPr>
      <w:bookmarkStart w:id="63" w:name="_Toc15377223"/>
      <w:r>
        <w:rPr>
          <w:rFonts w:hint="eastAsia" w:eastAsia="楷体_GB2312" w:cs="楷体_GB2312"/>
          <w:b/>
          <w:sz w:val="32"/>
          <w:szCs w:val="32"/>
        </w:rPr>
        <w:t>（二）政府采购支出情况</w:t>
      </w:r>
      <w:bookmarkEnd w:id="63"/>
    </w:p>
    <w:p>
      <w:pPr>
        <w:spacing w:line="60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2024年度，乐山市市中区信访局政府采购支出总额</w:t>
      </w:r>
      <w:r>
        <w:rPr>
          <w:rFonts w:hint="eastAsia" w:eastAsia="仿宋_GB2312" w:cs="仿宋_GB2312"/>
          <w:sz w:val="32"/>
          <w:szCs w:val="32"/>
          <w:lang w:val="en-US" w:eastAsia="zh-CN"/>
        </w:rPr>
        <w:t>0.98</w:t>
      </w:r>
      <w:r>
        <w:rPr>
          <w:rFonts w:hint="eastAsia" w:ascii="仿宋_GB2312" w:hAnsi="仿宋_GB2312" w:eastAsia="仿宋_GB2312" w:cs="仿宋_GB2312"/>
          <w:sz w:val="32"/>
          <w:szCs w:val="32"/>
        </w:rPr>
        <w:t>万元，其中：政府采购货物支出</w:t>
      </w:r>
      <w:r>
        <w:rPr>
          <w:rFonts w:hint="eastAsia" w:eastAsia="仿宋_GB2312" w:cs="仿宋_GB2312"/>
          <w:sz w:val="32"/>
          <w:szCs w:val="32"/>
          <w:lang w:val="en-US" w:eastAsia="zh-CN"/>
        </w:rPr>
        <w:t>0.98</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64" w:name="_Toc15377224"/>
      <w:r>
        <w:rPr>
          <w:rFonts w:hint="eastAsia" w:eastAsia="楷体_GB2312" w:cs="楷体_GB2312"/>
          <w:b/>
          <w:sz w:val="32"/>
          <w:szCs w:val="32"/>
        </w:rPr>
        <w:t>（三）国有资产占有使用情况</w:t>
      </w:r>
      <w:bookmarkEnd w:id="64"/>
    </w:p>
    <w:p>
      <w:pPr>
        <w:spacing w:line="60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截至2024年12月31日，乐山市市中区信访局共有车辆</w:t>
      </w:r>
      <w:r>
        <w:rPr>
          <w:rFonts w:hint="eastAsia" w:eastAsia="仿宋_GB2312" w:cs="仿宋_GB2312"/>
          <w:sz w:val="32"/>
          <w:szCs w:val="32"/>
          <w:lang w:eastAsia="zh-CN"/>
        </w:rPr>
        <w:t>0</w:t>
      </w:r>
      <w:r>
        <w:rPr>
          <w:rFonts w:hint="eastAsia" w:ascii="仿宋_GB2312" w:hAnsi="仿宋_GB2312" w:eastAsia="仿宋_GB2312" w:cs="仿宋_GB2312"/>
          <w:sz w:val="32"/>
          <w:szCs w:val="32"/>
        </w:rPr>
        <w:t>辆，其中：主要负责人用车</w:t>
      </w:r>
      <w:r>
        <w:rPr>
          <w:rFonts w:hint="eastAsia" w:eastAsia="仿宋_GB2312" w:cs="仿宋_GB2312"/>
          <w:sz w:val="32"/>
          <w:szCs w:val="32"/>
          <w:lang w:eastAsia="zh-CN"/>
        </w:rPr>
        <w:t>0</w:t>
      </w:r>
      <w:r>
        <w:rPr>
          <w:rFonts w:hint="eastAsia" w:ascii="仿宋_GB2312" w:hAnsi="仿宋_GB2312" w:eastAsia="仿宋_GB2312" w:cs="仿宋_GB2312"/>
          <w:sz w:val="32"/>
          <w:szCs w:val="32"/>
        </w:rPr>
        <w:t>辆、机要通信用车</w:t>
      </w:r>
      <w:r>
        <w:rPr>
          <w:rFonts w:hint="eastAsia" w:eastAsia="仿宋_GB2312" w:cs="仿宋_GB2312"/>
          <w:sz w:val="32"/>
          <w:szCs w:val="32"/>
          <w:lang w:eastAsia="zh-CN"/>
        </w:rPr>
        <w:t>0</w:t>
      </w:r>
      <w:r>
        <w:rPr>
          <w:rFonts w:hint="eastAsia" w:ascii="仿宋_GB2312" w:hAnsi="仿宋_GB2312" w:eastAsia="仿宋_GB2312" w:cs="仿宋_GB2312"/>
          <w:sz w:val="32"/>
          <w:szCs w:val="32"/>
        </w:rPr>
        <w:t>辆、应急保障用车</w:t>
      </w:r>
      <w:r>
        <w:rPr>
          <w:rFonts w:hint="eastAsia" w:eastAsia="仿宋_GB2312" w:cs="仿宋_GB2312"/>
          <w:sz w:val="32"/>
          <w:szCs w:val="32"/>
          <w:lang w:eastAsia="zh-CN"/>
        </w:rPr>
        <w:t>0</w:t>
      </w:r>
      <w:r>
        <w:rPr>
          <w:rFonts w:hint="eastAsia" w:ascii="仿宋_GB2312" w:hAnsi="仿宋_GB2312" w:eastAsia="仿宋_GB2312" w:cs="仿宋_GB2312"/>
          <w:sz w:val="32"/>
          <w:szCs w:val="32"/>
        </w:rPr>
        <w:t>辆、其他用车</w:t>
      </w:r>
      <w:r>
        <w:rPr>
          <w:rFonts w:hint="eastAsia" w:eastAsia="仿宋_GB2312" w:cs="仿宋_GB2312"/>
          <w:sz w:val="32"/>
          <w:szCs w:val="32"/>
          <w:lang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单价100万元（含）以上设备（不含车辆）</w:t>
      </w:r>
      <w:r>
        <w:rPr>
          <w:rFonts w:hint="eastAsia" w:eastAsia="仿宋_GB2312" w:cs="仿宋_GB2312"/>
          <w:sz w:val="32"/>
          <w:szCs w:val="32"/>
          <w:lang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firstLineChars="20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乐山市市中区信访局</w:t>
      </w:r>
      <w:r>
        <w:rPr>
          <w:rFonts w:hint="eastAsia" w:eastAsia="仿宋_GB2312" w:cs="仿宋_GB2312"/>
          <w:sz w:val="32"/>
          <w:szCs w:val="32"/>
        </w:rPr>
        <w:t>在2024年度预算编制阶段，组织对</w:t>
      </w:r>
      <w:r>
        <w:rPr>
          <w:rFonts w:hint="eastAsia" w:eastAsia="仿宋_GB2312" w:cs="仿宋_GB2312"/>
          <w:sz w:val="32"/>
          <w:szCs w:val="32"/>
          <w:lang w:eastAsia="zh-CN"/>
        </w:rPr>
        <w:t>“</w:t>
      </w:r>
      <w:r>
        <w:rPr>
          <w:rFonts w:hint="eastAsia" w:eastAsia="仿宋_GB2312" w:cs="仿宋_GB2312"/>
          <w:sz w:val="32"/>
          <w:szCs w:val="32"/>
          <w:lang w:val="en-US" w:eastAsia="zh-CN"/>
        </w:rPr>
        <w:t>业务费</w:t>
      </w:r>
      <w:r>
        <w:rPr>
          <w:rFonts w:hint="eastAsia" w:eastAsia="仿宋_GB2312" w:cs="仿宋_GB2312"/>
          <w:sz w:val="32"/>
          <w:szCs w:val="32"/>
          <w:lang w:eastAsia="zh-CN"/>
        </w:rPr>
        <w:t>”</w:t>
      </w:r>
      <w:r>
        <w:rPr>
          <w:rFonts w:hint="eastAsia" w:eastAsia="仿宋_GB2312" w:cs="仿宋_GB2312"/>
          <w:sz w:val="32"/>
          <w:szCs w:val="32"/>
        </w:rPr>
        <w:t>等</w:t>
      </w:r>
      <w:r>
        <w:rPr>
          <w:rFonts w:hint="eastAsia" w:eastAsia="仿宋_GB2312" w:cs="仿宋_GB2312"/>
          <w:sz w:val="32"/>
          <w:szCs w:val="32"/>
          <w:lang w:val="en-US" w:eastAsia="zh-CN"/>
        </w:rPr>
        <w:t>1</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1</w:t>
      </w:r>
      <w:r>
        <w:rPr>
          <w:rFonts w:hint="eastAsia" w:eastAsia="仿宋_GB2312" w:cs="仿宋_GB2312"/>
          <w:sz w:val="32"/>
          <w:szCs w:val="32"/>
        </w:rPr>
        <w:t>个项目编制了绩效目标</w:t>
      </w:r>
      <w:r>
        <w:rPr>
          <w:rFonts w:hint="eastAsia" w:eastAsia="仿宋_GB2312" w:cs="仿宋_GB2312"/>
          <w:sz w:val="32"/>
          <w:szCs w:val="32"/>
          <w:lang w:eastAsia="zh-CN"/>
        </w:rPr>
        <w:t>，在</w:t>
      </w:r>
      <w:r>
        <w:rPr>
          <w:rFonts w:hint="eastAsia" w:eastAsia="仿宋_GB2312" w:cs="仿宋_GB2312"/>
          <w:sz w:val="32"/>
          <w:szCs w:val="32"/>
        </w:rPr>
        <w:t>预算执行过程中，选取</w:t>
      </w:r>
      <w:r>
        <w:rPr>
          <w:rFonts w:hint="eastAsia" w:eastAsia="仿宋_GB2312" w:cs="仿宋_GB2312"/>
          <w:sz w:val="32"/>
          <w:szCs w:val="32"/>
          <w:lang w:val="en-US" w:eastAsia="zh-CN"/>
        </w:rPr>
        <w:t>1</w:t>
      </w:r>
      <w:r>
        <w:rPr>
          <w:rFonts w:hint="eastAsia" w:eastAsia="仿宋_GB2312" w:cs="仿宋_GB2312"/>
          <w:sz w:val="32"/>
          <w:szCs w:val="32"/>
        </w:rPr>
        <w:t>个项目开展绩效监控。</w:t>
      </w:r>
    </w:p>
    <w:p>
      <w:pPr>
        <w:spacing w:line="600" w:lineRule="exact"/>
        <w:ind w:firstLine="640" w:firstLineChars="200"/>
        <w:rPr>
          <w:rFonts w:eastAsia="仿宋_GB2312" w:cs="仿宋_GB2312"/>
          <w:b/>
          <w:bCs/>
          <w:sz w:val="32"/>
          <w:szCs w:val="32"/>
          <w:highlight w:val="none"/>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eastAsia="zh-CN"/>
        </w:rPr>
        <w:t>乐山市市中区信访局</w:t>
      </w:r>
      <w:r>
        <w:rPr>
          <w:rFonts w:hint="eastAsia" w:eastAsia="仿宋_GB2312" w:cs="仿宋_GB2312"/>
          <w:sz w:val="32"/>
          <w:szCs w:val="32"/>
        </w:rPr>
        <w:t>部门整体（含部门预算项目）绩效自评报告</w:t>
      </w:r>
      <w:r>
        <w:rPr>
          <w:rFonts w:hint="eastAsia" w:eastAsia="仿宋_GB2312" w:cs="仿宋_GB2312"/>
          <w:sz w:val="32"/>
          <w:szCs w:val="32"/>
          <w:highlight w:val="none"/>
        </w:rPr>
        <w:t>，其中，</w:t>
      </w:r>
      <w:r>
        <w:rPr>
          <w:rFonts w:hint="eastAsia" w:eastAsia="仿宋_GB2312" w:cs="仿宋_GB2312"/>
          <w:sz w:val="32"/>
          <w:szCs w:val="32"/>
          <w:highlight w:val="none"/>
          <w:lang w:val="en-US" w:eastAsia="zh-CN"/>
        </w:rPr>
        <w:t>区信访局</w:t>
      </w:r>
      <w:r>
        <w:rPr>
          <w:rFonts w:hint="eastAsia" w:eastAsia="仿宋_GB2312" w:cs="仿宋_GB2312"/>
          <w:sz w:val="32"/>
          <w:szCs w:val="32"/>
          <w:highlight w:val="none"/>
        </w:rPr>
        <w:t>部门整体（含部门预算项目）绩效自评得分为</w:t>
      </w:r>
      <w:r>
        <w:rPr>
          <w:rFonts w:hint="eastAsia" w:eastAsia="仿宋_GB2312" w:cs="仿宋_GB2312"/>
          <w:sz w:val="32"/>
          <w:szCs w:val="32"/>
          <w:highlight w:val="none"/>
          <w:lang w:val="en-US" w:eastAsia="zh-CN"/>
        </w:rPr>
        <w:t>94.2</w:t>
      </w:r>
      <w:r>
        <w:rPr>
          <w:rFonts w:hint="eastAsia" w:eastAsia="仿宋_GB2312" w:cs="仿宋_GB2312"/>
          <w:sz w:val="32"/>
          <w:szCs w:val="32"/>
          <w:highlight w:val="none"/>
        </w:rPr>
        <w:t>分，绩效自评综述</w:t>
      </w:r>
      <w:r>
        <w:rPr>
          <w:rFonts w:hint="eastAsia" w:eastAsia="仿宋_GB2312"/>
          <w:sz w:val="32"/>
          <w:szCs w:val="32"/>
        </w:rPr>
        <w:t>本年预算安排控制较好，预算执行方面，支出总额控制在预算总额以内，不存在挪用、截留或滞留专项资金情况。部门整体绩效自评得分94.2分</w:t>
      </w:r>
      <w:r>
        <w:rPr>
          <w:rFonts w:hint="eastAsia" w:eastAsia="仿宋_GB2312" w:cs="仿宋_GB2312"/>
          <w:sz w:val="32"/>
          <w:szCs w:val="32"/>
          <w:highlight w:val="none"/>
        </w:rPr>
        <w:t>；</w:t>
      </w:r>
      <w:r>
        <w:rPr>
          <w:rFonts w:hint="eastAsia" w:eastAsia="仿宋_GB2312" w:cs="仿宋_GB2312"/>
          <w:sz w:val="32"/>
          <w:szCs w:val="32"/>
          <w:highlight w:val="none"/>
          <w:lang w:val="en-US" w:eastAsia="zh-CN"/>
        </w:rPr>
        <w:t>业务费</w:t>
      </w:r>
      <w:r>
        <w:rPr>
          <w:rFonts w:hint="eastAsia" w:eastAsia="仿宋_GB2312" w:cs="仿宋_GB2312"/>
          <w:sz w:val="32"/>
          <w:szCs w:val="32"/>
          <w:highlight w:val="none"/>
        </w:rPr>
        <w:t>专项预算项目绩效自评得分为</w:t>
      </w:r>
      <w:r>
        <w:rPr>
          <w:rFonts w:hint="eastAsia" w:eastAsia="仿宋_GB2312" w:cs="仿宋_GB2312"/>
          <w:sz w:val="32"/>
          <w:szCs w:val="32"/>
          <w:highlight w:val="none"/>
          <w:lang w:val="en-US" w:eastAsia="zh-CN"/>
        </w:rPr>
        <w:t>100</w:t>
      </w:r>
      <w:r>
        <w:rPr>
          <w:rFonts w:hint="eastAsia" w:eastAsia="仿宋_GB2312" w:cs="仿宋_GB2312"/>
          <w:sz w:val="32"/>
          <w:szCs w:val="32"/>
          <w:highlight w:val="none"/>
        </w:rPr>
        <w:t>分，绩效自评综述</w:t>
      </w:r>
      <w:r>
        <w:rPr>
          <w:rFonts w:hint="eastAsia" w:eastAsia="仿宋_GB2312" w:cs="仿宋_GB2312"/>
          <w:sz w:val="32"/>
          <w:szCs w:val="32"/>
          <w:highlight w:val="none"/>
          <w:lang w:val="en-US" w:eastAsia="zh-CN"/>
        </w:rPr>
        <w:t>保障了单位的工作正常运转</w:t>
      </w:r>
      <w:r>
        <w:rPr>
          <w:rFonts w:hint="eastAsia" w:eastAsia="仿宋_GB2312" w:cs="仿宋_GB2312"/>
          <w:sz w:val="32"/>
          <w:szCs w:val="32"/>
          <w:highlight w:val="none"/>
        </w:rPr>
        <w:t>。</w:t>
      </w:r>
      <w:r>
        <w:rPr>
          <w:rFonts w:hint="eastAsia" w:eastAsia="仿宋_GB2312" w:cs="仿宋_GB2312"/>
          <w:b/>
          <w:bCs/>
          <w:sz w:val="32"/>
          <w:szCs w:val="32"/>
          <w:highlight w:val="none"/>
        </w:rPr>
        <w:t>（</w:t>
      </w:r>
      <w:r>
        <w:rPr>
          <w:rFonts w:hint="eastAsia" w:eastAsia="仿宋_GB2312" w:cs="仿宋_GB2312"/>
          <w:sz w:val="32"/>
          <w:szCs w:val="32"/>
          <w:highlight w:val="none"/>
          <w:lang w:val="en-US" w:eastAsia="zh-CN"/>
        </w:rPr>
        <w:t>区信访局不涉及</w:t>
      </w:r>
      <w:r>
        <w:rPr>
          <w:rFonts w:hint="eastAsia" w:eastAsia="仿宋_GB2312" w:cs="仿宋_GB2312"/>
          <w:sz w:val="32"/>
          <w:szCs w:val="32"/>
          <w:highlight w:val="none"/>
        </w:rPr>
        <w:t>专项预算项目绩效自评报告</w:t>
      </w:r>
      <w:r>
        <w:rPr>
          <w:rFonts w:hint="eastAsia" w:eastAsia="仿宋_GB2312" w:cs="仿宋_GB2312"/>
          <w:b/>
          <w:bCs/>
          <w:sz w:val="32"/>
          <w:szCs w:val="32"/>
          <w:highlight w:val="none"/>
        </w:rPr>
        <w:t>）</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880" w:firstLineChars="200"/>
        <w:jc w:val="center"/>
        <w:outlineLvl w:val="0"/>
        <w:rPr>
          <w:rFonts w:eastAsia="黑体"/>
          <w:sz w:val="44"/>
          <w:szCs w:val="44"/>
        </w:rPr>
      </w:pPr>
      <w:bookmarkStart w:id="65" w:name="_Toc15377225"/>
      <w:bookmarkStart w:id="66" w:name="_Toc2890"/>
      <w:bookmarkStart w:id="67" w:name="_Toc15396613"/>
      <w:r>
        <w:rPr>
          <w:rFonts w:hint="eastAsia" w:eastAsia="黑体"/>
          <w:sz w:val="44"/>
          <w:szCs w:val="44"/>
        </w:rPr>
        <w:t>第三部分  名词解释</w:t>
      </w:r>
      <w:bookmarkEnd w:id="65"/>
      <w:bookmarkEnd w:id="66"/>
      <w:bookmarkEnd w:id="67"/>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财政拨款收入：指单位从同级财政部门取得的财政预算资金。</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事业收入：指事业单位开展专业业务活动及辅助活动取得的收入。</w:t>
      </w:r>
    </w:p>
    <w:p>
      <w:pPr>
        <w:numPr>
          <w:ilvl w:val="0"/>
          <w:numId w:val="4"/>
        </w:numPr>
        <w:spacing w:line="600" w:lineRule="exact"/>
        <w:ind w:left="0" w:leftChars="0" w:firstLine="640" w:firstLineChars="200"/>
        <w:rPr>
          <w:rFonts w:hint="eastAsia" w:eastAsia="仿宋_GB2312" w:cs="仿宋_GB2312"/>
          <w:sz w:val="32"/>
          <w:szCs w:val="32"/>
        </w:rPr>
      </w:pPr>
      <w:r>
        <w:rPr>
          <w:rFonts w:hint="eastAsia" w:eastAsia="仿宋_GB2312" w:cs="仿宋_GB2312"/>
          <w:sz w:val="32"/>
          <w:szCs w:val="32"/>
        </w:rPr>
        <w:t>经营收入：指事业单位在专业业务活动及其辅助活动之外开展非独立核算经营活动取得的收入。</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 xml:space="preserve">其他收入：指单位取得的除上述收入以外的各项收入。 </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 xml:space="preserve">使用非财政拨款结余（含专用结余）：指事业单位使用以前年度积累的非财政拨款结余弥补当年收支差额的金额。 </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 xml:space="preserve">年初结转和结余：指以前年度尚未完成、结转到本年按有关规定继续使用的资金。 </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结余分配：指事业单位按照会计制度规定缴纳的所得税、提取的专用结余以及转入非财政拨款结余的金额等。</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年末结转和结余：指单位按有关规定结转到下年或以后年度继续使用的资金。</w:t>
      </w:r>
    </w:p>
    <w:p>
      <w:pPr>
        <w:numPr>
          <w:ilvl w:val="0"/>
          <w:numId w:val="4"/>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一般公共服务（类）</w:t>
      </w:r>
      <w:r>
        <w:rPr>
          <w:rFonts w:hint="eastAsia" w:eastAsia="仿宋_GB2312" w:cs="仿宋_GB2312"/>
          <w:sz w:val="32"/>
          <w:szCs w:val="32"/>
          <w:lang w:eastAsia="zh-CN"/>
        </w:rPr>
        <w:t>信访事务</w:t>
      </w:r>
      <w:r>
        <w:rPr>
          <w:rFonts w:hint="eastAsia" w:eastAsia="仿宋_GB2312" w:cs="仿宋_GB2312"/>
          <w:sz w:val="32"/>
          <w:szCs w:val="32"/>
        </w:rPr>
        <w:t>（款）</w:t>
      </w:r>
      <w:r>
        <w:rPr>
          <w:rFonts w:hint="eastAsia" w:eastAsia="仿宋_GB2312" w:cs="仿宋_GB2312"/>
          <w:sz w:val="32"/>
          <w:szCs w:val="32"/>
          <w:lang w:eastAsia="zh-CN"/>
        </w:rPr>
        <w:t>行政运行</w:t>
      </w:r>
      <w:r>
        <w:rPr>
          <w:rFonts w:hint="eastAsia" w:eastAsia="仿宋_GB2312" w:cs="仿宋_GB2312"/>
          <w:sz w:val="32"/>
          <w:szCs w:val="32"/>
        </w:rPr>
        <w:t>（项）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指行政单位（包括实行公务员管理的事业单位）的基本支出</w:t>
      </w:r>
      <w:r>
        <w:rPr>
          <w:rFonts w:hint="eastAsia" w:eastAsia="仿宋_GB2312" w:cs="仿宋_GB2312"/>
          <w:sz w:val="32"/>
          <w:szCs w:val="32"/>
          <w:lang w:eastAsia="zh-CN"/>
        </w:rPr>
        <w:t>。</w:t>
      </w:r>
    </w:p>
    <w:p>
      <w:pPr>
        <w:numPr>
          <w:ilvl w:val="0"/>
          <w:numId w:val="4"/>
        </w:numPr>
        <w:spacing w:line="600" w:lineRule="exact"/>
        <w:ind w:left="0" w:leftChars="0" w:firstLine="640" w:firstLineChars="200"/>
        <w:rPr>
          <w:rFonts w:hint="default" w:eastAsia="仿宋_GB2312" w:cs="仿宋_GB2312"/>
          <w:sz w:val="32"/>
          <w:szCs w:val="32"/>
          <w:highlight w:val="yellow"/>
          <w:lang w:val="en-US" w:eastAsia="zh-CN"/>
        </w:rPr>
      </w:pPr>
      <w:r>
        <w:rPr>
          <w:rFonts w:hint="eastAsia" w:eastAsia="仿宋_GB2312" w:cs="仿宋_GB2312"/>
          <w:sz w:val="32"/>
          <w:szCs w:val="32"/>
          <w:highlight w:val="none"/>
        </w:rPr>
        <w:t>一般公共</w:t>
      </w:r>
      <w:r>
        <w:rPr>
          <w:rFonts w:hint="eastAsia" w:eastAsia="仿宋_GB2312" w:cs="仿宋_GB2312"/>
          <w:sz w:val="32"/>
          <w:szCs w:val="32"/>
        </w:rPr>
        <w:t>服务（类）</w:t>
      </w:r>
      <w:r>
        <w:rPr>
          <w:rFonts w:hint="eastAsia" w:eastAsia="仿宋_GB2312" w:cs="仿宋_GB2312"/>
          <w:sz w:val="32"/>
          <w:szCs w:val="32"/>
          <w:lang w:eastAsia="zh-CN"/>
        </w:rPr>
        <w:t>信访事务</w:t>
      </w:r>
      <w:r>
        <w:rPr>
          <w:rFonts w:hint="eastAsia" w:eastAsia="仿宋_GB2312" w:cs="仿宋_GB2312"/>
          <w:sz w:val="32"/>
          <w:szCs w:val="32"/>
        </w:rPr>
        <w:t>（款）</w:t>
      </w:r>
      <w:r>
        <w:rPr>
          <w:rFonts w:hint="eastAsia" w:eastAsia="仿宋_GB2312" w:cs="仿宋_GB2312"/>
          <w:sz w:val="32"/>
          <w:szCs w:val="32"/>
          <w:lang w:eastAsia="zh-CN"/>
        </w:rPr>
        <w:t>一般行政管理事务</w:t>
      </w:r>
      <w:r>
        <w:rPr>
          <w:rFonts w:hint="eastAsia" w:eastAsia="仿宋_GB2312" w:cs="仿宋_GB2312"/>
          <w:sz w:val="32"/>
          <w:szCs w:val="32"/>
        </w:rPr>
        <w:t>（项）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指行政单位（包括实行公务员管理的事业单位）未单设置项级科目的其他项目支出。</w:t>
      </w:r>
    </w:p>
    <w:p>
      <w:pPr>
        <w:numPr>
          <w:ilvl w:val="0"/>
          <w:numId w:val="4"/>
        </w:numPr>
        <w:spacing w:line="600" w:lineRule="exact"/>
        <w:ind w:left="0" w:leftChars="0" w:firstLine="640" w:firstLineChars="200"/>
        <w:rPr>
          <w:rFonts w:hint="eastAsia" w:eastAsia="仿宋_GB2312" w:cs="仿宋_GB2312"/>
          <w:sz w:val="32"/>
          <w:szCs w:val="32"/>
          <w:lang w:eastAsia="zh-CN"/>
        </w:rPr>
      </w:pPr>
      <w:r>
        <w:rPr>
          <w:rFonts w:hint="eastAsia" w:eastAsia="仿宋_GB2312" w:cs="仿宋_GB2312"/>
          <w:sz w:val="32"/>
          <w:szCs w:val="32"/>
        </w:rPr>
        <w:t>一般公共服务（类）</w:t>
      </w:r>
      <w:r>
        <w:rPr>
          <w:rFonts w:hint="eastAsia" w:eastAsia="仿宋_GB2312" w:cs="仿宋_GB2312"/>
          <w:sz w:val="32"/>
          <w:szCs w:val="32"/>
          <w:lang w:eastAsia="zh-CN"/>
        </w:rPr>
        <w:t>信访事务</w:t>
      </w:r>
      <w:r>
        <w:rPr>
          <w:rFonts w:hint="eastAsia" w:eastAsia="仿宋_GB2312" w:cs="仿宋_GB2312"/>
          <w:sz w:val="32"/>
          <w:szCs w:val="32"/>
        </w:rPr>
        <w:t>（款）</w:t>
      </w:r>
      <w:r>
        <w:rPr>
          <w:rFonts w:hint="eastAsia" w:eastAsia="仿宋_GB2312" w:cs="仿宋_GB2312"/>
          <w:sz w:val="32"/>
          <w:szCs w:val="32"/>
          <w:lang w:eastAsia="zh-CN"/>
        </w:rPr>
        <w:t>其他信访事务支出</w:t>
      </w:r>
      <w:r>
        <w:rPr>
          <w:rFonts w:hint="eastAsia" w:eastAsia="仿宋_GB2312" w:cs="仿宋_GB2312"/>
          <w:sz w:val="32"/>
          <w:szCs w:val="32"/>
        </w:rPr>
        <w:t>（项）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指用于</w:t>
      </w:r>
      <w:r>
        <w:rPr>
          <w:rFonts w:hint="eastAsia" w:eastAsia="仿宋_GB2312" w:cs="仿宋_GB2312"/>
          <w:sz w:val="32"/>
          <w:szCs w:val="32"/>
        </w:rPr>
        <w:t>其他信访事务支出</w:t>
      </w:r>
      <w:r>
        <w:rPr>
          <w:rFonts w:hint="eastAsia" w:eastAsia="仿宋_GB2312" w:cs="仿宋_GB2312"/>
          <w:sz w:val="32"/>
          <w:szCs w:val="32"/>
          <w:lang w:eastAsia="zh-CN"/>
        </w:rPr>
        <w:t>。</w:t>
      </w:r>
    </w:p>
    <w:p>
      <w:pPr>
        <w:numPr>
          <w:ilvl w:val="0"/>
          <w:numId w:val="4"/>
        </w:numPr>
        <w:spacing w:line="600" w:lineRule="exact"/>
        <w:ind w:left="0" w:leftChars="0" w:firstLine="640" w:firstLineChars="200"/>
        <w:jc w:val="both"/>
        <w:rPr>
          <w:rFonts w:hint="eastAsia" w:ascii="仿宋_GB2312" w:eastAsia="仿宋_GB2312"/>
          <w:b w:val="0"/>
          <w:bCs w:val="0"/>
          <w:sz w:val="32"/>
          <w:szCs w:val="32"/>
        </w:rPr>
      </w:pPr>
      <w:r>
        <w:rPr>
          <w:rFonts w:hint="eastAsia" w:ascii="仿宋_GB2312" w:eastAsia="仿宋_GB2312"/>
          <w:b w:val="0"/>
          <w:bCs w:val="0"/>
          <w:sz w:val="32"/>
          <w:szCs w:val="32"/>
        </w:rPr>
        <w:t>社会保障和就业（类）行政事业单位养老支出（款）事业单位离退休（项）：指事业单位开支的离退休经费。</w:t>
      </w:r>
    </w:p>
    <w:p>
      <w:pPr>
        <w:numPr>
          <w:ilvl w:val="0"/>
          <w:numId w:val="4"/>
        </w:numPr>
        <w:spacing w:line="600" w:lineRule="exact"/>
        <w:ind w:left="0" w:leftChars="0" w:firstLine="640" w:firstLineChars="200"/>
        <w:jc w:val="both"/>
        <w:rPr>
          <w:rFonts w:hint="eastAsia" w:ascii="仿宋_GB2312" w:eastAsia="仿宋_GB2312"/>
          <w:b w:val="0"/>
          <w:bCs w:val="0"/>
          <w:sz w:val="32"/>
          <w:szCs w:val="32"/>
        </w:rPr>
      </w:pPr>
      <w:r>
        <w:rPr>
          <w:rFonts w:hint="eastAsia" w:ascii="仿宋_GB2312" w:eastAsia="仿宋_GB2312"/>
          <w:b w:val="0"/>
          <w:bCs w:val="0"/>
          <w:sz w:val="32"/>
          <w:szCs w:val="32"/>
        </w:rPr>
        <w:t>社会保障和就业（类）行政事业单位养老支出（款）机关事业单位基本养老保险缴费支出（项）：指机关事业单位实施养老保险制度由单位缴纳的基本养老保险费支出。</w:t>
      </w:r>
    </w:p>
    <w:p>
      <w:pPr>
        <w:numPr>
          <w:ilvl w:val="0"/>
          <w:numId w:val="4"/>
        </w:numPr>
        <w:spacing w:line="600" w:lineRule="exact"/>
        <w:ind w:left="0" w:leftChars="0" w:firstLine="640" w:firstLineChars="200"/>
        <w:jc w:val="both"/>
        <w:rPr>
          <w:rFonts w:hint="eastAsia" w:ascii="仿宋_GB2312" w:eastAsia="仿宋_GB2312"/>
          <w:b w:val="0"/>
          <w:bCs w:val="0"/>
          <w:sz w:val="32"/>
          <w:szCs w:val="32"/>
        </w:rPr>
      </w:pPr>
      <w:r>
        <w:rPr>
          <w:rFonts w:hint="eastAsia" w:ascii="仿宋_GB2312" w:eastAsia="仿宋_GB2312"/>
          <w:b w:val="0"/>
          <w:bCs w:val="0"/>
          <w:sz w:val="32"/>
          <w:szCs w:val="32"/>
        </w:rPr>
        <w:t>社会保障和就业（类）行政事业单位养老支出（款）机关事业单位职业年金缴费支出（项）： 指机关事业单位实施养老保险制度由单位实际缴纳的职业年金支出（含职业年金补记支出）。</w:t>
      </w:r>
    </w:p>
    <w:p>
      <w:pPr>
        <w:numPr>
          <w:ilvl w:val="0"/>
          <w:numId w:val="4"/>
        </w:numPr>
        <w:spacing w:line="600" w:lineRule="exact"/>
        <w:ind w:left="0" w:leftChars="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社会保障和就业（类）行政事业单位养老支出（款）其他行政事业单位养老支出（项）： 指其他用于行政事业单位养老方面的支出。</w:t>
      </w:r>
    </w:p>
    <w:p>
      <w:pPr>
        <w:numPr>
          <w:ilvl w:val="0"/>
          <w:numId w:val="4"/>
        </w:numPr>
        <w:spacing w:line="600" w:lineRule="exact"/>
        <w:ind w:left="0" w:leftChars="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社会保障和就业（类）抚恤（款）死亡抚恤（项）： 指按规定用于烈士和牺牲、病故人员家属的一次性和定期抚恤金、丧葬补助费以及烈士褒扬金。</w:t>
      </w:r>
    </w:p>
    <w:p>
      <w:pPr>
        <w:numPr>
          <w:ilvl w:val="0"/>
          <w:numId w:val="4"/>
        </w:numPr>
        <w:spacing w:line="600" w:lineRule="exact"/>
        <w:ind w:left="0" w:leftChars="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社会保障和就业（类）抚恤（款）其他优抚支出（项）： 指其他用于优抚方面的支出，包括向优抚对象发放的价格临时补贴、老烈士子女、老党员定期生活补助等支出。反映用于退役军人安置方面的支出。</w:t>
      </w:r>
    </w:p>
    <w:p>
      <w:pPr>
        <w:numPr>
          <w:ilvl w:val="0"/>
          <w:numId w:val="4"/>
        </w:numPr>
        <w:spacing w:line="600" w:lineRule="exact"/>
        <w:ind w:left="0" w:leftChars="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社会保障和就业（类）其他社会保障和就业支出（款）其他社会保障和就业支出（项）： 指按规定用于其他社会保障和就业等方面的支出。</w:t>
      </w:r>
    </w:p>
    <w:p>
      <w:pPr>
        <w:numPr>
          <w:ilvl w:val="0"/>
          <w:numId w:val="4"/>
        </w:numPr>
        <w:spacing w:line="600" w:lineRule="exact"/>
        <w:ind w:left="0" w:leftChars="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卫生健康（类）行政事业单位医疗（款）事业单位医疗（项）：指财政部门安排的事业单位基本医疗保险缴费经费，未参加医疗保险的事业单位的公费医疗经费，按国家规定享受离休人员待遇的医疗经费。</w:t>
      </w:r>
    </w:p>
    <w:p>
      <w:pPr>
        <w:numPr>
          <w:ilvl w:val="0"/>
          <w:numId w:val="4"/>
        </w:numPr>
        <w:spacing w:line="600" w:lineRule="exact"/>
        <w:ind w:left="0" w:leftChars="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住房保障（类）住房改革支出（款）住房公积金（项）：指行政事业单位按人力资源和社会保障部、财政部规定的基本工资和津贴补贴以及规定比例为职工缴纳的住房公积金。</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基本支出：指为保障机构正常运转、完成日常工作任务而发生的人员支出和公用支出。</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 xml:space="preserve">项目支出：指在基本支出之外为完成特定行政任务和事业发展目标所发生的支出。 </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经营支出：指事业单位在专业业务活动及其辅助活动之外开展非独立核算经营活动发生的支出。</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4"/>
        </w:numPr>
        <w:spacing w:line="600" w:lineRule="exact"/>
        <w:ind w:left="0" w:leftChars="0" w:firstLine="640" w:firstLineChars="200"/>
        <w:rPr>
          <w:rFonts w:eastAsia="仿宋_GB2312" w:cs="仿宋_GB2312"/>
          <w:sz w:val="32"/>
          <w:szCs w:val="32"/>
        </w:rPr>
      </w:pP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jc w:val="center"/>
        <w:rPr>
          <w:rFonts w:eastAsia="仿宋_GB2312" w:cs="仿宋_GB2312"/>
          <w:sz w:val="32"/>
          <w:szCs w:val="32"/>
        </w:rPr>
      </w:pPr>
      <w:bookmarkStart w:id="68" w:name="_Toc15377226"/>
      <w:r>
        <w:rPr>
          <w:rFonts w:hint="eastAsia" w:eastAsia="仿宋_GB2312" w:cs="仿宋_GB2312"/>
          <w:sz w:val="32"/>
          <w:szCs w:val="32"/>
        </w:rPr>
        <w:br w:type="page"/>
      </w:r>
      <w:bookmarkStart w:id="69" w:name="_Toc15396614"/>
    </w:p>
    <w:p>
      <w:pPr>
        <w:spacing w:line="600" w:lineRule="exact"/>
        <w:ind w:firstLine="880" w:firstLineChars="200"/>
        <w:jc w:val="center"/>
        <w:outlineLvl w:val="0"/>
        <w:rPr>
          <w:rStyle w:val="29"/>
          <w:rFonts w:eastAsia="黑体"/>
          <w:b w:val="0"/>
        </w:rPr>
      </w:pPr>
      <w:bookmarkStart w:id="70" w:name="_Toc27757"/>
      <w:r>
        <w:rPr>
          <w:rFonts w:hint="eastAsia" w:eastAsia="黑体"/>
          <w:sz w:val="44"/>
          <w:szCs w:val="44"/>
        </w:rPr>
        <w:t>第四部分  附件</w:t>
      </w:r>
      <w:bookmarkEnd w:id="69"/>
      <w:bookmarkEnd w:id="70"/>
    </w:p>
    <w:p>
      <w:pPr>
        <w:spacing w:line="572" w:lineRule="exact"/>
        <w:jc w:val="left"/>
        <w:outlineLvl w:val="9"/>
        <w:rPr>
          <w:rFonts w:eastAsia="黑体" w:cs="黑体"/>
          <w:color w:val="FF0000"/>
          <w:sz w:val="32"/>
          <w:szCs w:val="32"/>
        </w:rPr>
      </w:pPr>
    </w:p>
    <w:p>
      <w:pPr>
        <w:spacing w:line="572" w:lineRule="exact"/>
        <w:ind w:firstLine="640" w:firstLineChars="200"/>
        <w:jc w:val="left"/>
        <w:outlineLvl w:val="9"/>
        <w:rPr>
          <w:rFonts w:eastAsia="黑体" w:cs="方正小标宋简体"/>
          <w:sz w:val="44"/>
          <w:szCs w:val="44"/>
        </w:rPr>
      </w:pPr>
      <w:r>
        <w:rPr>
          <w:rFonts w:hint="eastAsia" w:eastAsia="黑体" w:cs="黑体"/>
          <w:sz w:val="32"/>
          <w:szCs w:val="32"/>
        </w:rPr>
        <w:t>附件1</w:t>
      </w:r>
    </w:p>
    <w:p>
      <w:pPr>
        <w:widowControl/>
        <w:spacing w:line="578" w:lineRule="exact"/>
        <w:contextualSpacing/>
        <w:jc w:val="center"/>
        <w:rPr>
          <w:rFonts w:eastAsia="方正小标宋简体"/>
          <w:bCs/>
          <w:sz w:val="44"/>
          <w:szCs w:val="44"/>
          <w:shd w:val="clear" w:color="auto" w:fill="FFFFFF"/>
        </w:rPr>
      </w:pPr>
    </w:p>
    <w:p>
      <w:pPr>
        <w:widowControl/>
        <w:spacing w:line="578" w:lineRule="exact"/>
        <w:ind w:firstLine="880" w:firstLineChars="200"/>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报告范本</w:t>
      </w:r>
    </w:p>
    <w:p>
      <w:pPr>
        <w:widowControl/>
        <w:spacing w:line="578" w:lineRule="exact"/>
        <w:ind w:firstLine="640" w:firstLineChars="200"/>
        <w:contextualSpacing/>
        <w:jc w:val="center"/>
        <w:rPr>
          <w:rFonts w:eastAsia="仿宋_GB2312"/>
          <w:sz w:val="32"/>
          <w:szCs w:val="32"/>
          <w:shd w:val="clear" w:color="auto" w:fill="FFFFFF"/>
        </w:rPr>
      </w:pPr>
      <w:r>
        <w:rPr>
          <w:rFonts w:eastAsia="仿宋_GB2312"/>
          <w:sz w:val="32"/>
          <w:szCs w:val="32"/>
          <w:shd w:val="clear" w:color="auto" w:fill="FFFFFF"/>
        </w:rPr>
        <w:t>（</w:t>
      </w:r>
      <w:r>
        <w:rPr>
          <w:rFonts w:hint="eastAsia" w:eastAsia="仿宋_GB2312"/>
          <w:sz w:val="32"/>
          <w:szCs w:val="32"/>
        </w:rPr>
        <w:t>乐山市市中区信访局</w:t>
      </w:r>
      <w:r>
        <w:rPr>
          <w:rFonts w:hint="eastAsia" w:eastAsia="仿宋_GB2312"/>
          <w:sz w:val="32"/>
          <w:szCs w:val="32"/>
          <w:lang w:val="en-US" w:eastAsia="zh-CN"/>
        </w:rPr>
        <w:t>部门</w:t>
      </w:r>
      <w:r>
        <w:rPr>
          <w:rFonts w:eastAsia="仿宋_GB2312"/>
          <w:sz w:val="32"/>
          <w:szCs w:val="32"/>
          <w:shd w:val="clear" w:color="auto" w:fill="FFFFFF"/>
        </w:rPr>
        <w:t>）</w:t>
      </w:r>
    </w:p>
    <w:p>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578" w:lineRule="exact"/>
        <w:ind w:firstLine="640" w:firstLineChars="200"/>
        <w:contextualSpacing/>
        <w:jc w:val="left"/>
        <w:rPr>
          <w:rFonts w:hint="eastAsia" w:ascii="黑体" w:hAnsi="黑体" w:eastAsia="黑体" w:cs="黑体"/>
          <w:sz w:val="32"/>
          <w:szCs w:val="32"/>
        </w:rPr>
      </w:pPr>
      <w:bookmarkStart w:id="71" w:name="_Hlk110546638"/>
      <w:r>
        <w:rPr>
          <w:rFonts w:hint="eastAsia" w:ascii="黑体" w:hAnsi="黑体" w:eastAsia="黑体" w:cs="黑体"/>
          <w:sz w:val="32"/>
          <w:szCs w:val="32"/>
        </w:rPr>
        <w:t>一、部门（单位）基本情况</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（一）机构组成。</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乐山市市中区信访局是行政单位，设有综合股、网络股、督查股、信访股。行政单位下属设置未独立核算二级预算单位1个（乐山市市中区群众来访接待中心）。</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（二）机构职能。</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1.处理来信、来访。2.承办、交办的信访事项，督促检查重要信访事项、信访批示的处理和落实。 3.协调处理跨部门的重要信访问题。 4.综合分析信访信息，开展调查</w:t>
      </w:r>
      <w:r>
        <w:rPr>
          <w:rFonts w:hint="eastAsia" w:eastAsia="仿宋_GB2312"/>
          <w:sz w:val="32"/>
          <w:szCs w:val="32"/>
          <w:lang w:eastAsia="zh-CN"/>
        </w:rPr>
        <w:t>研究</w:t>
      </w:r>
      <w:r>
        <w:rPr>
          <w:rFonts w:hint="eastAsia" w:eastAsia="仿宋_GB2312"/>
          <w:sz w:val="32"/>
          <w:szCs w:val="32"/>
        </w:rPr>
        <w:t>。</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（三）人员概况。</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截至2024年末，乐山市市中区信访局部门（单位）及下属单位行政</w:t>
      </w:r>
      <w:r>
        <w:rPr>
          <w:rFonts w:hint="eastAsia" w:eastAsia="仿宋_GB2312"/>
          <w:sz w:val="32"/>
          <w:szCs w:val="32"/>
          <w:lang w:eastAsia="zh-CN"/>
        </w:rPr>
        <w:t>编制</w:t>
      </w:r>
      <w:r>
        <w:rPr>
          <w:rFonts w:hint="eastAsia" w:eastAsia="仿宋_GB2312"/>
          <w:sz w:val="32"/>
          <w:szCs w:val="32"/>
        </w:rPr>
        <w:t>12人，行政工勤2人，事业编制3人，实际年末行政编制12人，行政工勤2人，事业编制3人。</w:t>
      </w:r>
    </w:p>
    <w:p>
      <w:pPr>
        <w:widowControl/>
        <w:adjustRightInd w:val="0"/>
        <w:snapToGrid w:val="0"/>
        <w:spacing w:line="578" w:lineRule="exact"/>
        <w:ind w:firstLine="640" w:firstLineChars="200"/>
        <w:contextualSpacing/>
        <w:jc w:val="left"/>
        <w:rPr>
          <w:rFonts w:hint="eastAsia" w:ascii="黑体" w:hAnsi="黑体" w:eastAsia="黑体" w:cs="黑体"/>
          <w:sz w:val="32"/>
          <w:szCs w:val="32"/>
        </w:rPr>
      </w:pPr>
      <w:r>
        <w:rPr>
          <w:rFonts w:hint="eastAsia" w:ascii="黑体" w:hAnsi="黑体" w:eastAsia="黑体" w:cs="黑体"/>
          <w:sz w:val="32"/>
          <w:szCs w:val="32"/>
        </w:rPr>
        <w:t>二、部门资金收支情况</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（一）收入情况。</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乐山市市中区信访局部门（单位）2024年年初预算收入308.5万元，决算报表收入435.73万元。</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（二）支出情况。</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乐山市市中区信访局部门（单位）2024年年初预算支出308.5万元，决算报表支出435.73万元。</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（三）结余分配和结转结余情况。</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乐山市市中区信访局部门（单位）2024</w:t>
      </w:r>
      <w:r>
        <w:rPr>
          <w:rFonts w:hint="eastAsia" w:eastAsia="仿宋_GB2312"/>
          <w:sz w:val="32"/>
          <w:szCs w:val="32"/>
          <w:lang w:eastAsia="zh-CN"/>
        </w:rPr>
        <w:t>年度</w:t>
      </w:r>
      <w:r>
        <w:rPr>
          <w:rFonts w:hint="eastAsia" w:eastAsia="仿宋_GB2312"/>
          <w:sz w:val="32"/>
          <w:szCs w:val="32"/>
        </w:rPr>
        <w:t>决算报表无结转结余资金。</w:t>
      </w:r>
    </w:p>
    <w:p>
      <w:pPr>
        <w:widowControl/>
        <w:adjustRightInd w:val="0"/>
        <w:snapToGrid w:val="0"/>
        <w:spacing w:line="578" w:lineRule="exact"/>
        <w:ind w:firstLine="640" w:firstLineChars="200"/>
        <w:contextualSpacing/>
        <w:jc w:val="left"/>
        <w:rPr>
          <w:rFonts w:hint="eastAsia" w:ascii="黑体" w:hAnsi="黑体" w:eastAsia="黑体" w:cs="黑体"/>
          <w:sz w:val="32"/>
          <w:szCs w:val="32"/>
        </w:rPr>
      </w:pPr>
      <w:r>
        <w:rPr>
          <w:rFonts w:hint="eastAsia" w:ascii="黑体" w:hAnsi="黑体" w:eastAsia="黑体" w:cs="黑体"/>
          <w:sz w:val="32"/>
          <w:szCs w:val="32"/>
        </w:rPr>
        <w:t>三、部门预算绩效分析</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（一）部门预算总体绩效分析。</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1.履职效能。</w:t>
      </w:r>
    </w:p>
    <w:p>
      <w:pPr>
        <w:widowControl/>
        <w:adjustRightInd w:val="0"/>
        <w:snapToGrid w:val="0"/>
        <w:spacing w:line="578" w:lineRule="exact"/>
        <w:ind w:firstLine="640" w:firstLineChars="200"/>
        <w:contextualSpacing/>
        <w:jc w:val="left"/>
        <w:rPr>
          <w:rFonts w:hint="eastAsia" w:eastAsia="仿宋_GB2312"/>
          <w:sz w:val="32"/>
          <w:szCs w:val="32"/>
          <w:lang w:val="en-US" w:eastAsia="zh-CN"/>
        </w:rPr>
      </w:pPr>
      <w:r>
        <w:rPr>
          <w:rFonts w:hint="eastAsia" w:eastAsia="仿宋_GB2312"/>
          <w:sz w:val="32"/>
          <w:szCs w:val="32"/>
        </w:rPr>
        <w:t>（1）保障机关及下属单位的人员的工资正常发放，保险、公积金等正常缴费，单位运转保障率为100%，实际完成100%。</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（2）保障机关及下属单位的办公用品及后勤工作正常运转，及时处理日常事务以及紧急事务。</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（3）项目支出为信访维稳工作出差人员后能立即按实报销差旅补助、城际间交通费、住宿费等提供有力保障，为全区的和谐稳定做出贡献。</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（4）三大平台的正常运行，一是系统维护运行数量为3个，实际完成3个，2024年三大平台正常使用。二是系统运行维护及时率为100%，实际完成100%，对于设备的维修维护做到了按时检查，及时维修。</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2.预算管理。</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（1）预算编制质量：预算编制科学，引入零基预算法，对非固定支出项目重新评估必要性；预算数据准确，人员类和公用经费预算偏差率较小；预算编制规范，遵循《预算管理办法》，审批流程合规。</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（2）单位收入统筹：收入及时到账，但收入来源单一，</w:t>
      </w:r>
      <w:r>
        <w:rPr>
          <w:rFonts w:hint="eastAsia" w:eastAsia="仿宋_GB2312"/>
          <w:sz w:val="32"/>
          <w:szCs w:val="32"/>
          <w:lang w:eastAsia="zh-CN"/>
        </w:rPr>
        <w:t>全部是</w:t>
      </w:r>
      <w:r>
        <w:rPr>
          <w:rFonts w:hint="eastAsia" w:eastAsia="仿宋_GB2312"/>
          <w:sz w:val="32"/>
          <w:szCs w:val="32"/>
        </w:rPr>
        <w:t>财政拨款收入，我单位不涉及非税收入，2024年我单位利用统筹资金快速响应突发任务，保障项目及时落地。</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3）支出执行进度：整体执行进度，全年预算执行率98.48%，人员经费执行率100%，公用经费执行率100%，项目经费执行率94.32%。支出审批流程合规率100%，未发现超预算、超标准支出以及无支出预警和违规金额支出的情况。</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（4）预算年终结余：2024年我（单位）部门无年终结余资金。</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（5）严控一般性支出：一般性支出财政拨款年初预算较上年增加，是因为单位增加了人员，所以人员相关支出增加。一般性支出财政拨款预算执行较上年增加，人员增加以及项目支出增加。</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3.财务管理。</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（1）财务管理制度：修订《财务管理制度》和《预算管理办法》，建立制度动态更新机制，根据政策变化调整报销标准与审批流程。</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（2）财务岗位设置：不相容岗位相分离，财务人员加强自我学习，坚持继续教育。</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（3）资金使用规范：建立事前审核，事中监控，事后审计全流程监管，资金支出合规率100%。</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4.资产管理。</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围绕人均资产变化率、资产利用率、资产盘活率进行绩效分析。</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（1）人均资产变化：期初人均资产2.35万元/人，期末人均资产2.01万元/人，变化率-14.47%。2024年我单位报废资产，所以人均资产规模下降。</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（2）资产利用率：设备利用率达到100%，我单位无房屋，借用其他单位房屋办公。</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（3）资产盘活率：我单位无闲置资产。</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5.采购管理。</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2024年采购电脑两台，采购执行率100%，保障单位工作正常运行。</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（二）部门预算项目绩效分析。</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常年项目绩效分析。该类项目总数2个，涉及预算总金额  111.29万元，1—12月预算执行总体进度为 94.32%，其中：预算结余率大于10%的项目共计 0个。</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阶段（一次性）项目绩效分析。该类项目总数0个，涉及预算总金额0万元，1—12月预算执行总体进度为0 %，其中：预算结余率大于10%的项目共计0个。</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1.项目决策。</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2024年我单位业务费的项目自评，决策程序合规，百分比遵循立项论证审批全流程；目标设置科学，绩效目标是可量化的，可行的；项目入库规范，其材料完整，根据资金使用随时进行项目动态调整，通过评分模型对入库项目进行优先级划分，充分保证高优先级项目资源分配及时率达到100%。</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2.项目执行。</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围绕资金执行同向、项目调整、执行结果进行绩效分析。</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（1）资金执行同向：业务费的支付根据合同约定按时付款，预算执行准确率100%，资金拨付及时率98%。</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（2）项目调整：业务费年初预算准确，未进行项目调整。</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（3）执行结果：业务费的绩效目标完成率100%，其中数量指标完成率100%，质量指标完成率100%。</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3.目标实现。</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（1）目标完成：数量指标，三个平台正常运行；质量指标，三个平台使用保障率等完成率100%。</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（2）目标偏离：2024年我单位业务费的绩效目标100%完成，无偏离。</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（3）实现效果：社会效益，单位与人民群众沟通更便捷，更高效，能及时准确地为人民群众提供帮助。</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（三）重点领域绩效分析。</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2024年度政府采购电脑两台。</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lang w:eastAsia="zh-CN"/>
        </w:rPr>
        <w:t>（</w:t>
      </w:r>
      <w:r>
        <w:rPr>
          <w:rFonts w:hint="eastAsia" w:eastAsia="仿宋_GB2312"/>
          <w:sz w:val="32"/>
          <w:szCs w:val="32"/>
        </w:rPr>
        <w:t>1）经济性，我单位预算采购2台电脑共0.98万元，实际支出0.98万元，预算执行率为100%，且采购配置高于市场同价位产品，则经济性表现良好。</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（2）效率性：采购周期节约行业平均时长20%，效率大大提升。</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（3）有效性：电脑配置（CPU、内存、存储等）满足实际工作需求；部门人员对电脑性能、稳定性、效率的满意度大于等于99%。</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（4）公平性与合规性：供应商选择公平，供应商按合同提供售后服务（如保修、技术支持），优先采购节能、环保产品，符合政府采购清单要求。</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（四）绩效结果应用情况。</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我（单位）部门将事前绩效评估结果用于调整预算项目、资金规模、支出方向等，本年度预算项目绩效目标准确度高。部门绩效目标一次性审核过关，通过绩效监控进行政策优化、改进管理、预算调整、结余处理、项目调整等，将评价结果作为次年政策优化、改进管理、预算调整、项目调整等的重要依据并组织实施，按要求将绩效目标随同部门年初预算同步公开。按要求将绩效目标完成情况、部门整体支出绩效评价自评报告、项目支出绩效评价自评报告等绩效信息随同部门年终决算公开，包括绩效自评公开、评价结果整改和应用结果反馈等情况。</w:t>
      </w:r>
    </w:p>
    <w:p>
      <w:pPr>
        <w:widowControl/>
        <w:adjustRightInd w:val="0"/>
        <w:snapToGrid w:val="0"/>
        <w:spacing w:line="578" w:lineRule="exact"/>
        <w:ind w:firstLine="640" w:firstLineChars="200"/>
        <w:contextualSpacing/>
        <w:jc w:val="left"/>
        <w:rPr>
          <w:rFonts w:hint="eastAsia" w:ascii="黑体" w:hAnsi="黑体" w:eastAsia="黑体" w:cs="黑体"/>
          <w:sz w:val="32"/>
          <w:szCs w:val="32"/>
        </w:rPr>
      </w:pPr>
      <w:r>
        <w:rPr>
          <w:rFonts w:hint="eastAsia" w:ascii="黑体" w:hAnsi="黑体" w:eastAsia="黑体" w:cs="黑体"/>
          <w:sz w:val="32"/>
          <w:szCs w:val="32"/>
        </w:rPr>
        <w:t>四、评价结论及建议</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（一）评价结论。</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本年预算安排控制较好，预算执行方面，支出总额控制在预算总额以内，不存在挪用、截留或滞留专项资金情况。部门整体绩效自评得分94.2分。</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（二）存在问题。</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预算绩效管理工作制度建设方面仍需加强。</w:t>
      </w:r>
    </w:p>
    <w:p>
      <w:pPr>
        <w:widowControl/>
        <w:adjustRightInd w:val="0"/>
        <w:snapToGrid w:val="0"/>
        <w:spacing w:line="578" w:lineRule="exact"/>
        <w:ind w:firstLine="640" w:firstLineChars="200"/>
        <w:contextualSpacing/>
        <w:jc w:val="left"/>
        <w:rPr>
          <w:rFonts w:hint="eastAsia" w:eastAsia="仿宋_GB2312"/>
          <w:sz w:val="32"/>
          <w:szCs w:val="32"/>
        </w:rPr>
      </w:pPr>
      <w:r>
        <w:rPr>
          <w:rFonts w:hint="eastAsia" w:eastAsia="仿宋_GB2312"/>
          <w:sz w:val="32"/>
          <w:szCs w:val="32"/>
        </w:rPr>
        <w:t>（三）改进建议。</w:t>
      </w:r>
    </w:p>
    <w:p>
      <w:pPr>
        <w:widowControl/>
        <w:adjustRightInd w:val="0"/>
        <w:snapToGrid w:val="0"/>
        <w:spacing w:line="578" w:lineRule="exact"/>
        <w:ind w:firstLine="640" w:firstLineChars="200"/>
        <w:contextualSpacing/>
        <w:jc w:val="left"/>
        <w:rPr>
          <w:rFonts w:eastAsia="仿宋_GB2312"/>
          <w:sz w:val="32"/>
          <w:szCs w:val="32"/>
        </w:rPr>
      </w:pPr>
      <w:r>
        <w:rPr>
          <w:rFonts w:hint="eastAsia" w:eastAsia="仿宋_GB2312"/>
          <w:sz w:val="32"/>
          <w:szCs w:val="32"/>
        </w:rPr>
        <w:t>建议加强部门相关人员预算绩效方面的培训力度，强化部门预算绩效的意识，增强绩效编制的口径统一，帮助相关人员提高预算执行能力，从而提高部门预算绩效水平。</w:t>
      </w:r>
    </w:p>
    <w:bookmarkEnd w:id="71"/>
    <w:p>
      <w:pPr>
        <w:pStyle w:val="7"/>
        <w:spacing w:line="560" w:lineRule="exact"/>
        <w:ind w:left="0" w:leftChars="0" w:firstLine="640"/>
        <w:rPr>
          <w:rFonts w:ascii="Times New Roman" w:eastAsia="仿宋_GB2312"/>
          <w:sz w:val="32"/>
          <w:lang w:val="zh-CN"/>
        </w:rPr>
      </w:pPr>
    </w:p>
    <w:p>
      <w:pPr>
        <w:pStyle w:val="7"/>
        <w:spacing w:line="560" w:lineRule="exact"/>
        <w:ind w:left="0" w:leftChars="0" w:firstLine="640" w:firstLineChars="200"/>
        <w:rPr>
          <w:rFonts w:ascii="Times New Roman" w:eastAsia="仿宋_GB2312"/>
          <w:sz w:val="32"/>
          <w:lang w:val="zh-CN"/>
        </w:rPr>
      </w:pPr>
      <w:r>
        <w:rPr>
          <w:rFonts w:hint="eastAsia" w:ascii="Times New Roman" w:eastAsia="仿宋_GB2312"/>
          <w:sz w:val="32"/>
          <w:lang w:val="zh-CN"/>
        </w:rPr>
        <w:t>附表：</w:t>
      </w:r>
      <w:r>
        <w:rPr>
          <w:rFonts w:hint="eastAsia" w:ascii="Times New Roman" w:eastAsia="仿宋_GB2312"/>
          <w:sz w:val="32"/>
        </w:rPr>
        <w:t>部门预算项目支出绩效自评表（2024年度）</w:t>
      </w:r>
    </w:p>
    <w:p>
      <w:pPr>
        <w:pStyle w:val="7"/>
        <w:spacing w:line="240" w:lineRule="auto"/>
        <w:ind w:left="0" w:leftChars="0" w:firstLine="0" w:firstLineChars="0"/>
        <w:rPr>
          <w:rFonts w:ascii="Times New Roman"/>
          <w:sz w:val="32"/>
          <w:highlight w:val="yellow"/>
          <w:lang w:val="zh-CN"/>
        </w:rPr>
      </w:pPr>
      <w:r>
        <w:rPr>
          <w:rFonts w:ascii="Times New Roman"/>
          <w:sz w:val="32"/>
          <w:highlight w:val="none"/>
          <w:lang w:val="zh-CN"/>
        </w:rPr>
        <w:drawing>
          <wp:inline distT="0" distB="0" distL="114300" distR="114300">
            <wp:extent cx="5272405" cy="6297295"/>
            <wp:effectExtent l="0" t="0" r="4445" b="8255"/>
            <wp:docPr id="8" name="图片 8" descr="6.9附件3.信访局单位部门预算项目支出绩效自评表-业务费_自评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9附件3.信访局单位部门预算项目支出绩效自评表-业务费_自评表"/>
                    <pic:cNvPicPr>
                      <a:picLocks noChangeAspect="1"/>
                    </pic:cNvPicPr>
                  </pic:nvPicPr>
                  <pic:blipFill>
                    <a:blip r:embed="rId13"/>
                    <a:stretch>
                      <a:fillRect/>
                    </a:stretch>
                  </pic:blipFill>
                  <pic:spPr>
                    <a:xfrm>
                      <a:off x="0" y="0"/>
                      <a:ext cx="5272405" cy="6297295"/>
                    </a:xfrm>
                    <a:prstGeom prst="rect">
                      <a:avLst/>
                    </a:prstGeom>
                  </pic:spPr>
                </pic:pic>
              </a:graphicData>
            </a:graphic>
          </wp:inline>
        </w:drawing>
      </w:r>
    </w:p>
    <w:p>
      <w:pPr>
        <w:pStyle w:val="5"/>
        <w:spacing w:before="93"/>
        <w:rPr>
          <w:rFonts w:ascii="Times New Roman" w:cs="宋体"/>
          <w:color w:val="FF0000"/>
          <w:sz w:val="32"/>
          <w:szCs w:val="32"/>
          <w:highlight w:val="yellow"/>
          <w:shd w:val="clear" w:color="auto" w:fill="FFFFFF"/>
          <w:lang w:val="zh-CN"/>
        </w:rPr>
      </w:pPr>
    </w:p>
    <w:p>
      <w:pPr>
        <w:ind w:firstLine="640" w:firstLineChars="200"/>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pStyle w:val="5"/>
        <w:spacing w:before="93"/>
        <w:ind w:firstLine="640" w:firstLineChars="200"/>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pPr>
        <w:pStyle w:val="35"/>
        <w:spacing w:line="578" w:lineRule="exact"/>
        <w:jc w:val="center"/>
        <w:rPr>
          <w:rFonts w:ascii="Times New Roman" w:hAnsi="Times New Roman" w:eastAsia="方正小标宋简体" w:cs="方正小标宋简体"/>
          <w:color w:val="auto"/>
          <w:kern w:val="2"/>
          <w:sz w:val="44"/>
          <w:szCs w:val="44"/>
          <w:lang w:val="en-US"/>
        </w:rPr>
      </w:pPr>
    </w:p>
    <w:p>
      <w:pPr>
        <w:pStyle w:val="35"/>
        <w:spacing w:line="578" w:lineRule="exact"/>
        <w:ind w:firstLine="880" w:firstLineChars="20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专项预算项目绩效评价报告范本</w:t>
      </w:r>
    </w:p>
    <w:p>
      <w:pPr>
        <w:pStyle w:val="35"/>
        <w:spacing w:line="578" w:lineRule="exact"/>
        <w:ind w:firstLine="880" w:firstLineChars="200"/>
        <w:jc w:val="center"/>
        <w:rPr>
          <w:rFonts w:hint="eastAsia" w:ascii="Times New Roman" w:hAnsi="Times New Roman" w:eastAsia="方正小标宋简体" w:cs="方正小标宋简体"/>
          <w:color w:val="auto"/>
          <w:kern w:val="2"/>
          <w:sz w:val="44"/>
          <w:szCs w:val="44"/>
          <w:lang w:val="en-US"/>
        </w:rPr>
      </w:pPr>
    </w:p>
    <w:p>
      <w:pPr>
        <w:pStyle w:val="35"/>
        <w:spacing w:line="578" w:lineRule="exact"/>
        <w:ind w:firstLine="640" w:firstLineChars="200"/>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仿宋_GB2312" w:cs="仿宋_GB2312"/>
          <w:color w:val="auto"/>
          <w:kern w:val="0"/>
          <w:sz w:val="32"/>
          <w:szCs w:val="32"/>
          <w:lang w:val="en-US" w:eastAsia="zh-CN" w:bidi="ar-SA"/>
        </w:rPr>
        <w:t>（2024年本部门不涉及专项自评报告）</w:t>
      </w:r>
    </w:p>
    <w:p>
      <w:pPr>
        <w:pStyle w:val="35"/>
        <w:spacing w:line="578" w:lineRule="exact"/>
        <w:ind w:firstLine="640"/>
        <w:jc w:val="center"/>
        <w:rPr>
          <w:rFonts w:ascii="Times New Roman" w:hAnsi="Times New Roman"/>
          <w:color w:val="auto"/>
          <w:kern w:val="2"/>
          <w:sz w:val="32"/>
          <w:szCs w:val="32"/>
        </w:rPr>
      </w:pPr>
    </w:p>
    <w:p>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pPr>
        <w:widowControl/>
        <w:adjustRightInd w:val="0"/>
        <w:snapToGrid w:val="0"/>
        <w:spacing w:line="578" w:lineRule="exact"/>
        <w:ind w:firstLine="643" w:firstLineChars="200"/>
        <w:contextualSpacing/>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r>
        <w:rPr>
          <w:rFonts w:hint="eastAsia" w:eastAsia="仿宋_GB2312" w:cs="仿宋_GB2312"/>
          <w:kern w:val="0"/>
          <w:sz w:val="32"/>
          <w:szCs w:val="32"/>
        </w:rPr>
        <w:t>项目设立原因及背景，</w:t>
      </w:r>
      <w:r>
        <w:rPr>
          <w:rFonts w:hint="eastAsia" w:eastAsia="仿宋_GB2312" w:cs="仿宋_GB2312"/>
          <w:kern w:val="0"/>
          <w:sz w:val="32"/>
          <w:szCs w:val="32"/>
          <w:lang w:val="zh-CN"/>
        </w:rPr>
        <w:t>项目立项、资金申报的依据，项目主要内容</w:t>
      </w:r>
      <w:r>
        <w:rPr>
          <w:rFonts w:hint="eastAsia" w:eastAsia="仿宋_GB2312" w:cs="仿宋_GB2312"/>
          <w:kern w:val="0"/>
          <w:sz w:val="32"/>
          <w:szCs w:val="32"/>
        </w:rPr>
        <w:t>。</w:t>
      </w:r>
      <w:r>
        <w:rPr>
          <w:rFonts w:hint="eastAsia" w:eastAsia="仿宋_GB2312" w:cs="仿宋_GB2312"/>
          <w:kern w:val="0"/>
          <w:sz w:val="32"/>
          <w:szCs w:val="32"/>
          <w:lang w:val="zh-CN"/>
        </w:rPr>
        <w:t>主管部门职能</w:t>
      </w:r>
      <w:r>
        <w:rPr>
          <w:rFonts w:hint="eastAsia" w:eastAsia="仿宋_GB2312" w:cs="仿宋_GB2312"/>
          <w:kern w:val="0"/>
          <w:sz w:val="32"/>
          <w:szCs w:val="32"/>
          <w:shd w:val="clear" w:color="auto" w:fill="FFFFFF"/>
          <w:lang w:val="zh-CN"/>
        </w:rPr>
        <w:t>。</w:t>
      </w:r>
    </w:p>
    <w:p>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eastAsia="仿宋_GB2312" w:cs="仿宋_GB2312"/>
          <w:kern w:val="0"/>
          <w:sz w:val="32"/>
          <w:szCs w:val="32"/>
        </w:rPr>
        <w:t>项目资金</w:t>
      </w:r>
      <w:r>
        <w:rPr>
          <w:rFonts w:hint="eastAsia" w:eastAsia="仿宋_GB2312" w:cs="仿宋_GB2312"/>
          <w:kern w:val="0"/>
          <w:sz w:val="32"/>
          <w:szCs w:val="32"/>
          <w:lang w:val="zh-CN"/>
        </w:rPr>
        <w:t>管理办法制定情况，项目实施目的和主要工作任务，项目支持方向。</w:t>
      </w:r>
    </w:p>
    <w:p>
      <w:pPr>
        <w:widowControl/>
        <w:adjustRightInd w:val="0"/>
        <w:snapToGrid w:val="0"/>
        <w:spacing w:line="578" w:lineRule="exact"/>
        <w:ind w:firstLine="643"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hint="eastAsia" w:eastAsia="仿宋_GB2312" w:cs="仿宋_GB2312"/>
          <w:kern w:val="0"/>
          <w:sz w:val="32"/>
          <w:szCs w:val="32"/>
          <w:lang w:val="zh-CN"/>
        </w:rPr>
        <w:t>项目预算安排情况，项目资金分配原则及考虑因素，项目资金分配情况。</w:t>
      </w:r>
    </w:p>
    <w:p>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（四）项目绩效目标设置。</w:t>
      </w:r>
      <w:r>
        <w:rPr>
          <w:rFonts w:hint="eastAsia" w:eastAsia="仿宋_GB2312" w:cs="仿宋_GB2312"/>
          <w:kern w:val="0"/>
          <w:sz w:val="32"/>
          <w:szCs w:val="32"/>
          <w:lang w:val="zh-CN"/>
        </w:rPr>
        <w:t>项目整体、区域和具体绩效目标设置情况，项目自评工作开展情况。</w:t>
      </w:r>
    </w:p>
    <w:p>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pPr>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（一）评价目的。</w:t>
      </w:r>
      <w:r>
        <w:rPr>
          <w:rFonts w:hint="eastAsia" w:eastAsia="仿宋_GB2312" w:cs="仿宋_GB2312"/>
          <w:kern w:val="0"/>
          <w:sz w:val="32"/>
          <w:szCs w:val="32"/>
          <w:lang w:val="zh-CN"/>
        </w:rPr>
        <w:t>通过项目绩效自评要实现的目的。</w:t>
      </w:r>
    </w:p>
    <w:p>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hint="eastAsia" w:eastAsia="仿宋_GB2312" w:cs="仿宋_GB2312"/>
          <w:kern w:val="0"/>
          <w:sz w:val="32"/>
          <w:szCs w:val="32"/>
          <w:lang w:val="zh-CN"/>
        </w:rPr>
        <w:t>按照绩效评价指标体系，对资金支出使用全过程及其实施效果进行综合评价和判断。</w:t>
      </w:r>
    </w:p>
    <w:p>
      <w:pPr>
        <w:spacing w:line="578" w:lineRule="exact"/>
        <w:ind w:firstLine="643" w:firstLineChars="200"/>
        <w:rPr>
          <w:rFonts w:eastAsia="楷体_GB2312"/>
          <w:b/>
          <w:sz w:val="32"/>
          <w:szCs w:val="32"/>
          <w:lang w:val="zh-CN"/>
        </w:rPr>
      </w:pPr>
      <w:r>
        <w:rPr>
          <w:rFonts w:hint="eastAsia" w:eastAsia="楷体_GB2312"/>
          <w:b/>
          <w:sz w:val="32"/>
          <w:szCs w:val="32"/>
          <w:lang w:val="zh-CN"/>
        </w:rPr>
        <w:t>（三）评价选点。</w:t>
      </w:r>
      <w:r>
        <w:rPr>
          <w:rFonts w:hint="eastAsia" w:eastAsia="仿宋_GB2312" w:cs="仿宋_GB2312"/>
          <w:kern w:val="0"/>
          <w:sz w:val="32"/>
          <w:szCs w:val="32"/>
          <w:lang w:val="zh-CN"/>
        </w:rPr>
        <w:t>项目绩效自评所抽样点位情况。每个专项预算项目应选取专项资金分配涉及市县总数的20%、总计不超过20个的市县点位进行实地踏勘，且点位清单应作为自评附表。</w:t>
      </w:r>
    </w:p>
    <w:p>
      <w:pPr>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（四）评价方法。</w:t>
      </w:r>
      <w:r>
        <w:rPr>
          <w:rFonts w:hint="eastAsia" w:eastAsia="仿宋_GB2312" w:cs="仿宋_GB2312"/>
          <w:kern w:val="0"/>
          <w:sz w:val="32"/>
          <w:szCs w:val="32"/>
          <w:lang w:val="zh-CN"/>
        </w:rPr>
        <w:t>根据项目情况和评价重点，用来收集相关材料和开展具体评价的方法。包括：采用成本效益分析法、标杆管理法、案卷研究法、单位自评法、实地勘察法、问卷调查法、座谈调研法等多种方法。</w:t>
      </w:r>
    </w:p>
    <w:p>
      <w:pPr>
        <w:spacing w:line="578" w:lineRule="exact"/>
        <w:ind w:firstLine="643" w:firstLineChars="200"/>
        <w:rPr>
          <w:rFonts w:eastAsia="仿宋_GB2312"/>
          <w:bCs/>
        </w:rPr>
      </w:pPr>
      <w:r>
        <w:rPr>
          <w:rFonts w:hint="eastAsia" w:eastAsia="楷体_GB2312"/>
          <w:b/>
          <w:sz w:val="32"/>
          <w:szCs w:val="32"/>
          <w:lang w:val="zh-CN"/>
        </w:rPr>
        <w:t>（五）评价组织。</w:t>
      </w:r>
      <w:r>
        <w:rPr>
          <w:rFonts w:hint="eastAsia" w:eastAsia="仿宋_GB2312" w:cs="仿宋_GB2312"/>
          <w:kern w:val="0"/>
          <w:sz w:val="32"/>
          <w:szCs w:val="32"/>
          <w:lang w:val="zh-CN"/>
        </w:rPr>
        <w:t>评价组人员构成和职责分工。</w:t>
      </w:r>
    </w:p>
    <w:p>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pPr>
        <w:spacing w:line="578" w:lineRule="exact"/>
        <w:ind w:firstLine="640" w:firstLineChars="20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pPr>
        <w:spacing w:line="578" w:lineRule="exact"/>
        <w:ind w:firstLine="643" w:firstLineChars="20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78" w:lineRule="exact"/>
        <w:ind w:firstLine="640" w:firstLineChars="20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项目决策。围绕决策程序、规划论证、资金投向进行绩效分析。</w:t>
      </w:r>
    </w:p>
    <w:p>
      <w:pPr>
        <w:spacing w:line="578" w:lineRule="exact"/>
        <w:ind w:firstLine="640" w:firstLineChars="20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项目管理。围绕制度办法、分配管理、绩效监管进行绩效分析。</w:t>
      </w:r>
    </w:p>
    <w:p>
      <w:pPr>
        <w:spacing w:line="578" w:lineRule="exact"/>
        <w:ind w:firstLine="640" w:firstLineChars="200"/>
        <w:rPr>
          <w:rFonts w:eastAsia="仿宋_GB2312" w:cs="仿宋_GB2312"/>
          <w:kern w:val="0"/>
          <w:sz w:val="32"/>
          <w:szCs w:val="32"/>
          <w:lang w:val="zh-CN"/>
        </w:rPr>
      </w:pPr>
      <w:r>
        <w:rPr>
          <w:rFonts w:hint="eastAsia" w:eastAsia="仿宋_GB2312" w:cs="仿宋_GB2312"/>
          <w:kern w:val="0"/>
          <w:sz w:val="32"/>
          <w:szCs w:val="32"/>
        </w:rPr>
        <w:t>3.项目实施。</w:t>
      </w:r>
      <w:r>
        <w:rPr>
          <w:rFonts w:hint="eastAsia" w:eastAsia="仿宋_GB2312" w:cs="仿宋_GB2312"/>
          <w:kern w:val="0"/>
          <w:sz w:val="32"/>
          <w:szCs w:val="32"/>
          <w:lang w:val="zh-CN"/>
        </w:rPr>
        <w:t>围绕预算执行、资金使用进行绩效分析。</w:t>
      </w:r>
    </w:p>
    <w:p>
      <w:pPr>
        <w:spacing w:line="578" w:lineRule="exact"/>
        <w:ind w:firstLine="640" w:firstLineChars="200"/>
        <w:rPr>
          <w:rFonts w:eastAsia="仿宋_GB2312" w:cs="仿宋_GB2312"/>
          <w:kern w:val="0"/>
          <w:sz w:val="32"/>
          <w:szCs w:val="32"/>
          <w:lang w:val="zh-CN"/>
        </w:rPr>
      </w:pPr>
      <w:r>
        <w:rPr>
          <w:rFonts w:hint="eastAsia" w:eastAsia="仿宋_GB2312" w:cs="仿宋_GB2312"/>
          <w:kern w:val="0"/>
          <w:sz w:val="32"/>
          <w:szCs w:val="32"/>
        </w:rPr>
        <w:t>4.项目结果。围绕</w:t>
      </w:r>
      <w:r>
        <w:rPr>
          <w:rFonts w:hint="eastAsia" w:eastAsia="仿宋_GB2312" w:cs="仿宋_GB2312"/>
          <w:kern w:val="0"/>
          <w:sz w:val="32"/>
          <w:szCs w:val="32"/>
          <w:lang w:val="zh-CN"/>
        </w:rPr>
        <w:t>目标完成、完成时效进行绩效分析。</w:t>
      </w:r>
    </w:p>
    <w:p>
      <w:pPr>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w:t>
      </w:r>
      <w:r>
        <w:rPr>
          <w:rFonts w:hint="eastAsia" w:eastAsia="仿宋_GB2312" w:cs="仿宋_GB2312"/>
          <w:kern w:val="0"/>
          <w:sz w:val="32"/>
          <w:szCs w:val="32"/>
        </w:rPr>
        <w:t>专项预算项目资金支持对象选择所属指标进行绩效分析。支持对象</w:t>
      </w:r>
      <w:r>
        <w:rPr>
          <w:rFonts w:hint="eastAsia" w:eastAsia="仿宋_GB2312" w:cs="仿宋_GB2312"/>
          <w:kern w:val="0"/>
          <w:sz w:val="32"/>
          <w:szCs w:val="32"/>
          <w:lang w:val="zh-CN"/>
        </w:rPr>
        <w:t>包括产业发展、民生保障、基础设施、行政运转等方面。</w:t>
      </w:r>
    </w:p>
    <w:p>
      <w:p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1.产业发展。围绕符合性、成长性、经济性进行绩效分析。</w:t>
      </w:r>
    </w:p>
    <w:p>
      <w:p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hint="eastAsia" w:eastAsia="仿宋_GB2312" w:cs="仿宋_GB2312"/>
          <w:kern w:val="0"/>
          <w:sz w:val="32"/>
          <w:szCs w:val="32"/>
        </w:rPr>
        <w:t>围绕区域均衡性、对象精准性、标准合理性、群众满意度进行绩效分析。</w:t>
      </w:r>
    </w:p>
    <w:p>
      <w:p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3.基础设施。在建项目围绕工程进度和资金拨付进行绩效分析；建成项目围绕项目验收、功能实现、后续管护进行</w:t>
      </w:r>
      <w:r>
        <w:rPr>
          <w:rFonts w:hint="eastAsia" w:eastAsia="仿宋_GB2312" w:cs="仿宋_GB2312"/>
          <w:kern w:val="0"/>
          <w:sz w:val="32"/>
          <w:szCs w:val="32"/>
          <w:lang w:val="zh-CN"/>
        </w:rPr>
        <w:t>绩效分析。</w:t>
      </w:r>
    </w:p>
    <w:p>
      <w:p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4.</w:t>
      </w:r>
      <w:r>
        <w:rPr>
          <w:rFonts w:hint="eastAsia" w:eastAsia="仿宋_GB2312" w:cs="仿宋_GB2312"/>
          <w:kern w:val="0"/>
          <w:sz w:val="32"/>
          <w:szCs w:val="32"/>
          <w:lang w:val="zh-CN"/>
        </w:rPr>
        <w:t>行政运转。围绕用途合规性、程序合规性、标准合规性进行绩效分析。</w:t>
      </w:r>
    </w:p>
    <w:p>
      <w:pPr>
        <w:spacing w:line="578" w:lineRule="exact"/>
        <w:ind w:firstLine="643" w:firstLineChars="20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根据项目个性自行设定部分指标，反映该项指标执行完成情况。</w:t>
      </w:r>
    </w:p>
    <w:p>
      <w:pPr>
        <w:spacing w:line="578"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四、评价结论</w:t>
      </w:r>
    </w:p>
    <w:p>
      <w:p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简要阐述专项预算项目绩效自评总体结论，包含评价总分、</w:t>
      </w:r>
      <w:r>
        <w:rPr>
          <w:rFonts w:hint="eastAsia" w:eastAsia="仿宋_GB2312" w:cs="仿宋_GB2312"/>
          <w:kern w:val="0"/>
          <w:sz w:val="32"/>
          <w:szCs w:val="32"/>
          <w:lang w:val="zh-CN"/>
        </w:rPr>
        <w:t>项目实施情况。</w:t>
      </w:r>
    </w:p>
    <w:p>
      <w:pPr>
        <w:spacing w:line="578"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五、存在主要问题</w:t>
      </w:r>
    </w:p>
    <w:p>
      <w:p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简要阐述专项预算项目绩效自评发现的主要问题。</w:t>
      </w:r>
    </w:p>
    <w:p>
      <w:pPr>
        <w:spacing w:line="578"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p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简要阐述专项预算项目在预算安排、完善政策、改进管理等方面的措施建议，其中必须</w:t>
      </w:r>
      <w:r>
        <w:rPr>
          <w:rFonts w:hint="eastAsia" w:eastAsia="仿宋_GB2312" w:cs="仿宋_GB2312"/>
          <w:kern w:val="0"/>
          <w:sz w:val="32"/>
          <w:szCs w:val="32"/>
          <w:lang w:eastAsia="zh-CN"/>
        </w:rPr>
        <w:t>对</w:t>
      </w:r>
      <w:r>
        <w:rPr>
          <w:rFonts w:hint="eastAsia" w:eastAsia="仿宋_GB2312" w:cs="仿宋_GB2312"/>
          <w:kern w:val="0"/>
          <w:sz w:val="32"/>
          <w:szCs w:val="32"/>
        </w:rPr>
        <w:t>评价发现的主要问题一一提出措施建议。</w:t>
      </w:r>
    </w:p>
    <w:p>
      <w:p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（注：以上绩效自评报告，除涉密敏感内容外，原则上都应予以公开）</w:t>
      </w: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p>
    <w:p>
      <w:pPr>
        <w:spacing w:line="578" w:lineRule="exact"/>
        <w:ind w:firstLine="640" w:firstLineChars="200"/>
        <w:rPr>
          <w:rFonts w:eastAsia="仿宋_GB2312" w:cs="仿宋_GB2312"/>
          <w:kern w:val="0"/>
          <w:sz w:val="32"/>
          <w:szCs w:val="32"/>
        </w:rPr>
      </w:pPr>
      <w:bookmarkStart w:id="72" w:name="_Toc15396618"/>
      <w:r>
        <w:rPr>
          <w:rFonts w:hint="eastAsia" w:eastAsia="仿宋_GB2312" w:cs="仿宋_GB2312"/>
          <w:kern w:val="0"/>
          <w:sz w:val="32"/>
          <w:szCs w:val="32"/>
        </w:rPr>
        <w:br w:type="page"/>
      </w:r>
    </w:p>
    <w:p>
      <w:pPr>
        <w:widowControl/>
        <w:ind w:firstLine="880" w:firstLineChars="200"/>
        <w:jc w:val="center"/>
        <w:outlineLvl w:val="0"/>
        <w:rPr>
          <w:rFonts w:eastAsia="仿宋"/>
        </w:rPr>
      </w:pPr>
      <w:bookmarkStart w:id="73" w:name="_Toc14827"/>
      <w:r>
        <w:rPr>
          <w:rFonts w:hint="eastAsia" w:eastAsia="黑体"/>
          <w:sz w:val="44"/>
          <w:szCs w:val="44"/>
        </w:rPr>
        <w:t>第</w:t>
      </w:r>
      <w:r>
        <w:rPr>
          <w:rStyle w:val="29"/>
          <w:rFonts w:hint="eastAsia" w:eastAsia="黑体"/>
          <w:b w:val="0"/>
        </w:rPr>
        <w:t>五部分 附表</w:t>
      </w:r>
      <w:bookmarkEnd w:id="68"/>
      <w:bookmarkEnd w:id="72"/>
      <w:bookmarkEnd w:id="73"/>
      <w:bookmarkStart w:id="74" w:name="_Toc15396619"/>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75" w:name="_Toc31919"/>
      <w:r>
        <w:rPr>
          <w:rFonts w:hint="eastAsia" w:ascii="黑体" w:hAnsi="黑体" w:eastAsia="黑体" w:cs="黑体"/>
          <w:sz w:val="32"/>
          <w:szCs w:val="32"/>
        </w:rPr>
        <w:t>一、收入支出决算总表</w:t>
      </w:r>
      <w:bookmarkEnd w:id="74"/>
      <w:bookmarkEnd w:id="75"/>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76" w:name="_Toc15396620"/>
      <w:bookmarkStart w:id="77" w:name="_Toc30942"/>
      <w:r>
        <w:rPr>
          <w:rFonts w:hint="eastAsia" w:ascii="黑体" w:hAnsi="黑体" w:eastAsia="黑体" w:cs="黑体"/>
          <w:sz w:val="32"/>
          <w:szCs w:val="32"/>
        </w:rPr>
        <w:t>二、收入决算表</w:t>
      </w:r>
      <w:bookmarkEnd w:id="76"/>
      <w:bookmarkEnd w:id="77"/>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78" w:name="_Toc9290"/>
      <w:bookmarkStart w:id="79" w:name="_Toc15396621"/>
      <w:r>
        <w:rPr>
          <w:rFonts w:hint="eastAsia" w:ascii="黑体" w:hAnsi="黑体" w:eastAsia="黑体" w:cs="黑体"/>
          <w:sz w:val="32"/>
          <w:szCs w:val="32"/>
        </w:rPr>
        <w:t>三、支出决算表</w:t>
      </w:r>
      <w:bookmarkEnd w:id="78"/>
      <w:bookmarkEnd w:id="79"/>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80" w:name="_Toc14793"/>
      <w:bookmarkStart w:id="81" w:name="_Toc15396622"/>
      <w:r>
        <w:rPr>
          <w:rFonts w:hint="eastAsia" w:ascii="黑体" w:hAnsi="黑体" w:eastAsia="黑体" w:cs="黑体"/>
          <w:sz w:val="32"/>
          <w:szCs w:val="32"/>
        </w:rPr>
        <w:t>四、财政拨款收入支出决算总表</w:t>
      </w:r>
      <w:bookmarkEnd w:id="80"/>
      <w:bookmarkEnd w:id="81"/>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82" w:name="_Toc15396623"/>
      <w:bookmarkStart w:id="83" w:name="_Toc2809"/>
      <w:r>
        <w:rPr>
          <w:rFonts w:hint="eastAsia" w:ascii="黑体" w:hAnsi="黑体" w:eastAsia="黑体" w:cs="黑体"/>
          <w:sz w:val="32"/>
          <w:szCs w:val="32"/>
        </w:rPr>
        <w:t>五、财政拨款支出决算明细表</w:t>
      </w:r>
      <w:bookmarkEnd w:id="82"/>
      <w:bookmarkEnd w:id="83"/>
      <w:bookmarkStart w:id="84" w:name="_Toc15396624"/>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85" w:name="_Toc6038"/>
      <w:r>
        <w:rPr>
          <w:rFonts w:hint="eastAsia" w:ascii="黑体" w:hAnsi="黑体" w:eastAsia="黑体" w:cs="黑体"/>
          <w:sz w:val="32"/>
          <w:szCs w:val="32"/>
        </w:rPr>
        <w:t>六、一般公共预算财政拨款支出决算表</w:t>
      </w:r>
      <w:bookmarkEnd w:id="84"/>
      <w:bookmarkEnd w:id="85"/>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86" w:name="_Toc4518"/>
      <w:bookmarkStart w:id="87" w:name="_Toc15396625"/>
      <w:r>
        <w:rPr>
          <w:rFonts w:hint="eastAsia" w:ascii="黑体" w:hAnsi="黑体" w:eastAsia="黑体" w:cs="黑体"/>
          <w:sz w:val="32"/>
          <w:szCs w:val="32"/>
        </w:rPr>
        <w:t>七、一般公共预算财政拨款支出决算明细表</w:t>
      </w:r>
      <w:bookmarkEnd w:id="86"/>
      <w:bookmarkEnd w:id="87"/>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88" w:name="_Toc8813"/>
      <w:bookmarkStart w:id="89" w:name="_Toc15396626"/>
      <w:r>
        <w:rPr>
          <w:rFonts w:hint="eastAsia" w:ascii="黑体" w:hAnsi="黑体" w:eastAsia="黑体" w:cs="黑体"/>
          <w:sz w:val="32"/>
          <w:szCs w:val="32"/>
        </w:rPr>
        <w:t>八、一般公共预算财政拨款基本支出决算表</w:t>
      </w:r>
      <w:bookmarkEnd w:id="88"/>
      <w:bookmarkEnd w:id="89"/>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90" w:name="_Toc5920"/>
      <w:bookmarkStart w:id="91" w:name="_Toc15396627"/>
      <w:r>
        <w:rPr>
          <w:rFonts w:hint="eastAsia" w:ascii="黑体" w:hAnsi="黑体" w:eastAsia="黑体" w:cs="黑体"/>
          <w:sz w:val="32"/>
          <w:szCs w:val="32"/>
        </w:rPr>
        <w:t>九、一般公共预算财政拨款项目支出决算表</w:t>
      </w:r>
      <w:bookmarkEnd w:id="90"/>
      <w:bookmarkEnd w:id="91"/>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92" w:name="_Toc15396628"/>
      <w:bookmarkStart w:id="93" w:name="_Toc6176"/>
      <w:r>
        <w:rPr>
          <w:rFonts w:hint="eastAsia" w:ascii="黑体" w:hAnsi="黑体" w:eastAsia="黑体" w:cs="黑体"/>
          <w:sz w:val="32"/>
          <w:szCs w:val="32"/>
        </w:rPr>
        <w:t>十、</w:t>
      </w:r>
      <w:bookmarkEnd w:id="92"/>
      <w:r>
        <w:rPr>
          <w:rFonts w:hint="eastAsia" w:ascii="黑体" w:hAnsi="黑体" w:eastAsia="黑体" w:cs="黑体"/>
          <w:sz w:val="32"/>
          <w:szCs w:val="32"/>
        </w:rPr>
        <w:t>政府性基金预算财政拨款收入支出决算表</w:t>
      </w:r>
      <w:bookmarkEnd w:id="93"/>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94" w:name="_Toc15396629"/>
      <w:bookmarkStart w:id="95" w:name="_Toc15170"/>
      <w:r>
        <w:rPr>
          <w:rFonts w:hint="eastAsia" w:ascii="黑体" w:hAnsi="黑体" w:eastAsia="黑体" w:cs="黑体"/>
          <w:sz w:val="32"/>
          <w:szCs w:val="32"/>
        </w:rPr>
        <w:t>十一、</w:t>
      </w:r>
      <w:bookmarkEnd w:id="94"/>
      <w:r>
        <w:rPr>
          <w:rFonts w:hint="eastAsia" w:ascii="黑体" w:hAnsi="黑体" w:eastAsia="黑体" w:cs="黑体"/>
          <w:sz w:val="32"/>
          <w:szCs w:val="32"/>
        </w:rPr>
        <w:t>国有资本经营预算财政拨款收入支出决算表</w:t>
      </w:r>
      <w:bookmarkEnd w:id="95"/>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96" w:name="_Toc15396630"/>
      <w:bookmarkStart w:id="97" w:name="_Toc21799"/>
      <w:r>
        <w:rPr>
          <w:rFonts w:hint="eastAsia" w:ascii="黑体" w:hAnsi="黑体" w:eastAsia="黑体" w:cs="黑体"/>
          <w:sz w:val="32"/>
          <w:szCs w:val="32"/>
        </w:rPr>
        <w:t>十二、</w:t>
      </w:r>
      <w:bookmarkEnd w:id="96"/>
      <w:r>
        <w:rPr>
          <w:rFonts w:hint="eastAsia" w:ascii="黑体" w:hAnsi="黑体" w:eastAsia="黑体" w:cs="黑体"/>
          <w:sz w:val="32"/>
          <w:szCs w:val="32"/>
        </w:rPr>
        <w:t>国有资本经营预算财政拨款支出决算表</w:t>
      </w:r>
      <w:bookmarkEnd w:id="97"/>
    </w:p>
    <w:p>
      <w:pPr>
        <w:pStyle w:val="14"/>
        <w:adjustRightInd w:val="0"/>
        <w:snapToGrid w:val="0"/>
        <w:spacing w:line="560" w:lineRule="exact"/>
        <w:ind w:firstLine="640" w:firstLineChars="200"/>
        <w:jc w:val="left"/>
        <w:outlineLvl w:val="1"/>
        <w:rPr>
          <w:rFonts w:hint="eastAsia" w:ascii="黑体" w:hAnsi="黑体" w:eastAsia="黑体" w:cs="黑体"/>
          <w:sz w:val="32"/>
          <w:szCs w:val="32"/>
        </w:rPr>
      </w:pPr>
      <w:bookmarkStart w:id="98" w:name="_Toc15396631"/>
      <w:bookmarkStart w:id="99" w:name="_Toc23687"/>
      <w:r>
        <w:rPr>
          <w:rFonts w:hint="eastAsia" w:ascii="黑体" w:hAnsi="黑体" w:eastAsia="黑体" w:cs="黑体"/>
          <w:sz w:val="32"/>
          <w:szCs w:val="32"/>
        </w:rPr>
        <w:t>十三、</w:t>
      </w:r>
      <w:bookmarkEnd w:id="98"/>
      <w:r>
        <w:rPr>
          <w:rFonts w:hint="eastAsia" w:ascii="黑体" w:hAnsi="黑体" w:eastAsia="黑体" w:cs="黑体"/>
          <w:sz w:val="32"/>
          <w:szCs w:val="32"/>
        </w:rPr>
        <w:t>财政拨款“三公”经费支出决算表</w:t>
      </w:r>
      <w:bookmarkEnd w:id="99"/>
    </w:p>
    <w:p/>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AAE4A0-9CEC-4B9B-9D8A-221AA8B35C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39A2124-A089-48C4-BC92-D61DB7FCF86D}"/>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82D9CF2-8313-47B3-99A2-0BBEC6048542}"/>
  </w:font>
  <w:font w:name="仿宋">
    <w:panose1 w:val="02010609060101010101"/>
    <w:charset w:val="86"/>
    <w:family w:val="modern"/>
    <w:pitch w:val="default"/>
    <w:sig w:usb0="800002BF" w:usb1="38CF7CFA" w:usb2="00000016" w:usb3="00000000" w:csb0="00040001" w:csb1="00000000"/>
    <w:embedRegular r:id="rId4" w:fontKey="{1AD1F5D1-1A27-4EAA-93D6-2B7D8B521B3A}"/>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embedRegular r:id="rId5" w:fontKey="{AF0F0AFF-1684-402A-8996-72F3F2F5D9E4}"/>
  </w:font>
  <w:font w:name="楷体_GB2312">
    <w:panose1 w:val="02010609030101010101"/>
    <w:charset w:val="86"/>
    <w:family w:val="modern"/>
    <w:pitch w:val="default"/>
    <w:sig w:usb0="00000001" w:usb1="080E0000" w:usb2="00000000" w:usb3="00000000" w:csb0="00040000" w:csb1="00000000"/>
    <w:embedRegular r:id="rId6" w:fontKey="{F4844202-BD1A-4A77-B3E3-CE690D27EA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E96EC"/>
    <w:multiLevelType w:val="singleLevel"/>
    <w:tmpl w:val="B8BE96EC"/>
    <w:lvl w:ilvl="0" w:tentative="0">
      <w:start w:val="1"/>
      <w:numFmt w:val="decimalEnclosedCircleChinese"/>
      <w:suff w:val="nothing"/>
      <w:lvlText w:val="%1　"/>
      <w:lvlJc w:val="left"/>
      <w:pPr>
        <w:ind w:left="0" w:firstLine="400"/>
      </w:pPr>
      <w:rPr>
        <w:rFonts w:hint="eastAsia"/>
        <w:sz w:val="32"/>
        <w:szCs w:val="32"/>
      </w:rPr>
    </w:lvl>
  </w:abstractNum>
  <w:abstractNum w:abstractNumId="1">
    <w:nsid w:val="39B7F33D"/>
    <w:multiLevelType w:val="singleLevel"/>
    <w:tmpl w:val="39B7F33D"/>
    <w:lvl w:ilvl="0" w:tentative="0">
      <w:start w:val="1"/>
      <w:numFmt w:val="decimal"/>
      <w:suff w:val="nothing"/>
      <w:lvlText w:val="%1．"/>
      <w:lvlJc w:val="left"/>
      <w:pPr>
        <w:ind w:left="0" w:firstLine="400"/>
      </w:pPr>
      <w:rPr>
        <w:rFonts w:hint="default"/>
      </w:rPr>
    </w:lvl>
  </w:abstractNum>
  <w:abstractNum w:abstractNumId="2">
    <w:nsid w:val="3F48DA53"/>
    <w:multiLevelType w:val="singleLevel"/>
    <w:tmpl w:val="3F48DA53"/>
    <w:lvl w:ilvl="0" w:tentative="0">
      <w:start w:val="1"/>
      <w:numFmt w:val="decimal"/>
      <w:suff w:val="nothing"/>
      <w:lvlText w:val="%1．"/>
      <w:lvlJc w:val="left"/>
      <w:pPr>
        <w:ind w:left="0" w:firstLine="400"/>
      </w:pPr>
      <w:rPr>
        <w:rFonts w:hint="default"/>
        <w:b w:val="0"/>
        <w:bCs w:val="0"/>
        <w:sz w:val="32"/>
        <w:szCs w:val="32"/>
        <w:highlight w:val="none"/>
      </w:r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C5FD3"/>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477D"/>
    <w:rsid w:val="007416B6"/>
    <w:rsid w:val="00746F48"/>
    <w:rsid w:val="0075404D"/>
    <w:rsid w:val="0076182A"/>
    <w:rsid w:val="00767B7E"/>
    <w:rsid w:val="007770C3"/>
    <w:rsid w:val="00784D24"/>
    <w:rsid w:val="00785FBA"/>
    <w:rsid w:val="00786E4A"/>
    <w:rsid w:val="007875EB"/>
    <w:rsid w:val="0079426B"/>
    <w:rsid w:val="007D1682"/>
    <w:rsid w:val="007D22B7"/>
    <w:rsid w:val="007D312A"/>
    <w:rsid w:val="007D3F19"/>
    <w:rsid w:val="007D56B5"/>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2543"/>
    <w:rsid w:val="008C2FBF"/>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2ED7"/>
    <w:rsid w:val="00954C49"/>
    <w:rsid w:val="00955E37"/>
    <w:rsid w:val="0097099F"/>
    <w:rsid w:val="00971997"/>
    <w:rsid w:val="00971FFC"/>
    <w:rsid w:val="0098660A"/>
    <w:rsid w:val="009931C3"/>
    <w:rsid w:val="009B2C43"/>
    <w:rsid w:val="009B4EAE"/>
    <w:rsid w:val="009B7573"/>
    <w:rsid w:val="009C22F4"/>
    <w:rsid w:val="009C2A4B"/>
    <w:rsid w:val="009C2E98"/>
    <w:rsid w:val="009D3171"/>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6081"/>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3F85"/>
    <w:rsid w:val="00BB4DF0"/>
    <w:rsid w:val="00BC289F"/>
    <w:rsid w:val="00BC2D50"/>
    <w:rsid w:val="00BC5361"/>
    <w:rsid w:val="00BC5460"/>
    <w:rsid w:val="00BC6B50"/>
    <w:rsid w:val="00BD0E25"/>
    <w:rsid w:val="00BF5BD6"/>
    <w:rsid w:val="00C03E31"/>
    <w:rsid w:val="00C11E70"/>
    <w:rsid w:val="00C33E72"/>
    <w:rsid w:val="00C354B2"/>
    <w:rsid w:val="00C35554"/>
    <w:rsid w:val="00C42709"/>
    <w:rsid w:val="00C533CC"/>
    <w:rsid w:val="00C5751C"/>
    <w:rsid w:val="00C61BFC"/>
    <w:rsid w:val="00C62B85"/>
    <w:rsid w:val="00C65438"/>
    <w:rsid w:val="00C84CD6"/>
    <w:rsid w:val="00C87FD8"/>
    <w:rsid w:val="00C91381"/>
    <w:rsid w:val="00C91CBB"/>
    <w:rsid w:val="00C92FEF"/>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5853"/>
    <w:rsid w:val="00EF77C6"/>
    <w:rsid w:val="00F05438"/>
    <w:rsid w:val="00F1361C"/>
    <w:rsid w:val="00F156F0"/>
    <w:rsid w:val="00F160C7"/>
    <w:rsid w:val="00F2408F"/>
    <w:rsid w:val="00F240E9"/>
    <w:rsid w:val="00F312F0"/>
    <w:rsid w:val="00F36D8F"/>
    <w:rsid w:val="00F417B1"/>
    <w:rsid w:val="00F45853"/>
    <w:rsid w:val="00F602DF"/>
    <w:rsid w:val="00F754A1"/>
    <w:rsid w:val="00F81FD9"/>
    <w:rsid w:val="00F841AA"/>
    <w:rsid w:val="00F84A94"/>
    <w:rsid w:val="00F87E96"/>
    <w:rsid w:val="00FA23E8"/>
    <w:rsid w:val="00FD3CC1"/>
    <w:rsid w:val="00FF1E02"/>
    <w:rsid w:val="00FF30B4"/>
    <w:rsid w:val="01161381"/>
    <w:rsid w:val="012A5EC2"/>
    <w:rsid w:val="015975B8"/>
    <w:rsid w:val="01F8010F"/>
    <w:rsid w:val="021358C1"/>
    <w:rsid w:val="02704AC1"/>
    <w:rsid w:val="02FEBE30"/>
    <w:rsid w:val="04916F1E"/>
    <w:rsid w:val="04B05649"/>
    <w:rsid w:val="04C47112"/>
    <w:rsid w:val="061E35DE"/>
    <w:rsid w:val="06257970"/>
    <w:rsid w:val="06562220"/>
    <w:rsid w:val="066E0107"/>
    <w:rsid w:val="077B0190"/>
    <w:rsid w:val="07996F6E"/>
    <w:rsid w:val="07DFD8BA"/>
    <w:rsid w:val="08314CF2"/>
    <w:rsid w:val="084542FA"/>
    <w:rsid w:val="0939146E"/>
    <w:rsid w:val="09867E8F"/>
    <w:rsid w:val="099459C5"/>
    <w:rsid w:val="0A2032A3"/>
    <w:rsid w:val="0AAF0151"/>
    <w:rsid w:val="0BC65752"/>
    <w:rsid w:val="0CA8290A"/>
    <w:rsid w:val="0CF0217F"/>
    <w:rsid w:val="0D35B1ED"/>
    <w:rsid w:val="0E254B6B"/>
    <w:rsid w:val="0F5A68DD"/>
    <w:rsid w:val="0F98263C"/>
    <w:rsid w:val="101860EC"/>
    <w:rsid w:val="101F47CC"/>
    <w:rsid w:val="104357D5"/>
    <w:rsid w:val="10C055FF"/>
    <w:rsid w:val="11694EBD"/>
    <w:rsid w:val="11772AA4"/>
    <w:rsid w:val="118107EC"/>
    <w:rsid w:val="11CD7E2D"/>
    <w:rsid w:val="12C16C73"/>
    <w:rsid w:val="12E24EE2"/>
    <w:rsid w:val="12F47048"/>
    <w:rsid w:val="13070B2A"/>
    <w:rsid w:val="13D50BC4"/>
    <w:rsid w:val="14B17F78"/>
    <w:rsid w:val="15E33EE6"/>
    <w:rsid w:val="165E0673"/>
    <w:rsid w:val="16810BF3"/>
    <w:rsid w:val="16B831D5"/>
    <w:rsid w:val="16BB723D"/>
    <w:rsid w:val="17712A16"/>
    <w:rsid w:val="17B15EB7"/>
    <w:rsid w:val="17E50567"/>
    <w:rsid w:val="186504BB"/>
    <w:rsid w:val="19A445FC"/>
    <w:rsid w:val="1A090898"/>
    <w:rsid w:val="1BE8440E"/>
    <w:rsid w:val="1C56042C"/>
    <w:rsid w:val="1D155CEE"/>
    <w:rsid w:val="1D1638FE"/>
    <w:rsid w:val="1E29229C"/>
    <w:rsid w:val="1E312DEB"/>
    <w:rsid w:val="1E740ACF"/>
    <w:rsid w:val="1ED508A9"/>
    <w:rsid w:val="1EE75CB3"/>
    <w:rsid w:val="1FB57C82"/>
    <w:rsid w:val="1FCD6C57"/>
    <w:rsid w:val="1FF35744"/>
    <w:rsid w:val="1FF6BC77"/>
    <w:rsid w:val="2186353C"/>
    <w:rsid w:val="22DA6B30"/>
    <w:rsid w:val="23860B96"/>
    <w:rsid w:val="23E17175"/>
    <w:rsid w:val="240371BF"/>
    <w:rsid w:val="244F3473"/>
    <w:rsid w:val="24C97D99"/>
    <w:rsid w:val="25A718F0"/>
    <w:rsid w:val="25BB59F6"/>
    <w:rsid w:val="260F557C"/>
    <w:rsid w:val="26970054"/>
    <w:rsid w:val="27193048"/>
    <w:rsid w:val="27C61896"/>
    <w:rsid w:val="281408E2"/>
    <w:rsid w:val="28A075FF"/>
    <w:rsid w:val="292C0E92"/>
    <w:rsid w:val="29DC5D19"/>
    <w:rsid w:val="29EE6148"/>
    <w:rsid w:val="29FD04D3"/>
    <w:rsid w:val="2BE97B86"/>
    <w:rsid w:val="2BFF7BC6"/>
    <w:rsid w:val="2C0C4FAB"/>
    <w:rsid w:val="2C165923"/>
    <w:rsid w:val="2C3D6F12"/>
    <w:rsid w:val="2C8A61B5"/>
    <w:rsid w:val="2DC773DC"/>
    <w:rsid w:val="2DF04E50"/>
    <w:rsid w:val="2E586DFA"/>
    <w:rsid w:val="2E8D23D3"/>
    <w:rsid w:val="2F040D46"/>
    <w:rsid w:val="2F6B035B"/>
    <w:rsid w:val="2FAE5751"/>
    <w:rsid w:val="2FB1A395"/>
    <w:rsid w:val="2FD9A7D8"/>
    <w:rsid w:val="2FDBF714"/>
    <w:rsid w:val="30AB6865"/>
    <w:rsid w:val="312608BD"/>
    <w:rsid w:val="31750675"/>
    <w:rsid w:val="319F7F4E"/>
    <w:rsid w:val="31F664E1"/>
    <w:rsid w:val="32BD1EF1"/>
    <w:rsid w:val="3304709D"/>
    <w:rsid w:val="33A773CB"/>
    <w:rsid w:val="34067C6F"/>
    <w:rsid w:val="349D6851"/>
    <w:rsid w:val="36AA5135"/>
    <w:rsid w:val="36B35215"/>
    <w:rsid w:val="36BE0DA7"/>
    <w:rsid w:val="36C72416"/>
    <w:rsid w:val="36D913FC"/>
    <w:rsid w:val="376B6AA6"/>
    <w:rsid w:val="376D39B2"/>
    <w:rsid w:val="37E16F03"/>
    <w:rsid w:val="37F53A3B"/>
    <w:rsid w:val="38545D10"/>
    <w:rsid w:val="389B6C89"/>
    <w:rsid w:val="38D469F0"/>
    <w:rsid w:val="39627CCD"/>
    <w:rsid w:val="397BAF1F"/>
    <w:rsid w:val="39AF5998"/>
    <w:rsid w:val="3A02255D"/>
    <w:rsid w:val="3A064F18"/>
    <w:rsid w:val="3A6C5593"/>
    <w:rsid w:val="3AB79AF3"/>
    <w:rsid w:val="3AC0768C"/>
    <w:rsid w:val="3AE834C0"/>
    <w:rsid w:val="3B7EF35A"/>
    <w:rsid w:val="3B9FDB6C"/>
    <w:rsid w:val="3BF5BC2F"/>
    <w:rsid w:val="3CEBA265"/>
    <w:rsid w:val="3D98207C"/>
    <w:rsid w:val="3DEE7CF3"/>
    <w:rsid w:val="3E740A63"/>
    <w:rsid w:val="3E78745D"/>
    <w:rsid w:val="3EE17838"/>
    <w:rsid w:val="3F55381A"/>
    <w:rsid w:val="3F6C0A59"/>
    <w:rsid w:val="3F7F7599"/>
    <w:rsid w:val="3FF4CAE0"/>
    <w:rsid w:val="3FF7B227"/>
    <w:rsid w:val="405A7C3B"/>
    <w:rsid w:val="40827567"/>
    <w:rsid w:val="40E409F4"/>
    <w:rsid w:val="41605725"/>
    <w:rsid w:val="41FB4F25"/>
    <w:rsid w:val="42254279"/>
    <w:rsid w:val="423B3A9C"/>
    <w:rsid w:val="43615785"/>
    <w:rsid w:val="4479108A"/>
    <w:rsid w:val="44E268DA"/>
    <w:rsid w:val="44FA7C3F"/>
    <w:rsid w:val="450D13D7"/>
    <w:rsid w:val="450D7417"/>
    <w:rsid w:val="45506656"/>
    <w:rsid w:val="46510FB5"/>
    <w:rsid w:val="471272CE"/>
    <w:rsid w:val="47217705"/>
    <w:rsid w:val="47793322"/>
    <w:rsid w:val="486A6C7A"/>
    <w:rsid w:val="48B14AB8"/>
    <w:rsid w:val="49956188"/>
    <w:rsid w:val="49BE56DF"/>
    <w:rsid w:val="4A627F82"/>
    <w:rsid w:val="4ADC65FD"/>
    <w:rsid w:val="4B0E749A"/>
    <w:rsid w:val="4B2477C4"/>
    <w:rsid w:val="4B2C3957"/>
    <w:rsid w:val="4B4F25DA"/>
    <w:rsid w:val="4B6B71A0"/>
    <w:rsid w:val="4BC026E2"/>
    <w:rsid w:val="4BE068DB"/>
    <w:rsid w:val="4BE3142D"/>
    <w:rsid w:val="4CCA6149"/>
    <w:rsid w:val="4CCF6C59"/>
    <w:rsid w:val="4D577224"/>
    <w:rsid w:val="4DBF1CEB"/>
    <w:rsid w:val="4DF0007C"/>
    <w:rsid w:val="4EAB630A"/>
    <w:rsid w:val="4ECE2238"/>
    <w:rsid w:val="4F833267"/>
    <w:rsid w:val="4FE9BD67"/>
    <w:rsid w:val="4FF82804"/>
    <w:rsid w:val="4FFB052F"/>
    <w:rsid w:val="50E33C7D"/>
    <w:rsid w:val="51142088"/>
    <w:rsid w:val="537E6D0A"/>
    <w:rsid w:val="53BE1359"/>
    <w:rsid w:val="53EE7D08"/>
    <w:rsid w:val="53F74C96"/>
    <w:rsid w:val="55170BA8"/>
    <w:rsid w:val="553218C9"/>
    <w:rsid w:val="56440D1A"/>
    <w:rsid w:val="566174E0"/>
    <w:rsid w:val="567E1AA5"/>
    <w:rsid w:val="56E47B74"/>
    <w:rsid w:val="57175D52"/>
    <w:rsid w:val="57BD3DD4"/>
    <w:rsid w:val="58BF6D7E"/>
    <w:rsid w:val="593B1E59"/>
    <w:rsid w:val="59833A67"/>
    <w:rsid w:val="5AF92295"/>
    <w:rsid w:val="5B250254"/>
    <w:rsid w:val="5B305D11"/>
    <w:rsid w:val="5BA34314"/>
    <w:rsid w:val="5BC14BBB"/>
    <w:rsid w:val="5BDD79E6"/>
    <w:rsid w:val="5BDF588E"/>
    <w:rsid w:val="5BF561CA"/>
    <w:rsid w:val="5BFF5DFC"/>
    <w:rsid w:val="5C946059"/>
    <w:rsid w:val="5CD71FC4"/>
    <w:rsid w:val="5D1F11B5"/>
    <w:rsid w:val="5D3D6229"/>
    <w:rsid w:val="5D695134"/>
    <w:rsid w:val="5D9E058D"/>
    <w:rsid w:val="5DAE1B18"/>
    <w:rsid w:val="5DE7D9E5"/>
    <w:rsid w:val="5E9B5B97"/>
    <w:rsid w:val="5E9F5687"/>
    <w:rsid w:val="5ECEC941"/>
    <w:rsid w:val="5F4973A1"/>
    <w:rsid w:val="5F8A317E"/>
    <w:rsid w:val="5FBE1B3D"/>
    <w:rsid w:val="5FBF9FF3"/>
    <w:rsid w:val="5FCD4E2C"/>
    <w:rsid w:val="5FEF394A"/>
    <w:rsid w:val="5FF67715"/>
    <w:rsid w:val="61446B4C"/>
    <w:rsid w:val="615800BD"/>
    <w:rsid w:val="61D27B22"/>
    <w:rsid w:val="622540F5"/>
    <w:rsid w:val="62BF3928"/>
    <w:rsid w:val="63B3701E"/>
    <w:rsid w:val="647F5392"/>
    <w:rsid w:val="64E831B8"/>
    <w:rsid w:val="65404DA2"/>
    <w:rsid w:val="656C203B"/>
    <w:rsid w:val="65E66580"/>
    <w:rsid w:val="664B1D71"/>
    <w:rsid w:val="664B4E8E"/>
    <w:rsid w:val="66707909"/>
    <w:rsid w:val="67277B67"/>
    <w:rsid w:val="67AA3209"/>
    <w:rsid w:val="67E1286C"/>
    <w:rsid w:val="685D0318"/>
    <w:rsid w:val="691C5FE2"/>
    <w:rsid w:val="698D0931"/>
    <w:rsid w:val="6A7FE5F3"/>
    <w:rsid w:val="6B053271"/>
    <w:rsid w:val="6BDD78B3"/>
    <w:rsid w:val="6C4A05C8"/>
    <w:rsid w:val="6C8742B8"/>
    <w:rsid w:val="6DBF5E93"/>
    <w:rsid w:val="6DFF077E"/>
    <w:rsid w:val="6E714EF0"/>
    <w:rsid w:val="6E7E3605"/>
    <w:rsid w:val="6E7FDCC7"/>
    <w:rsid w:val="6ED6A62E"/>
    <w:rsid w:val="6EE00B15"/>
    <w:rsid w:val="6F215C44"/>
    <w:rsid w:val="6F6FB3EB"/>
    <w:rsid w:val="6F8106FD"/>
    <w:rsid w:val="6F8731EA"/>
    <w:rsid w:val="6FCE6052"/>
    <w:rsid w:val="6FD57C00"/>
    <w:rsid w:val="6FEFFFD8"/>
    <w:rsid w:val="6FF5CC65"/>
    <w:rsid w:val="6FFB47EC"/>
    <w:rsid w:val="6FFF034A"/>
    <w:rsid w:val="701B08E6"/>
    <w:rsid w:val="70484440"/>
    <w:rsid w:val="705138DD"/>
    <w:rsid w:val="70F80C27"/>
    <w:rsid w:val="712A28F1"/>
    <w:rsid w:val="715C0E4B"/>
    <w:rsid w:val="71992E7C"/>
    <w:rsid w:val="71C72AD3"/>
    <w:rsid w:val="72233669"/>
    <w:rsid w:val="72734D90"/>
    <w:rsid w:val="73160E6D"/>
    <w:rsid w:val="7332FE48"/>
    <w:rsid w:val="73AB61DA"/>
    <w:rsid w:val="73AD73D5"/>
    <w:rsid w:val="73B6EB34"/>
    <w:rsid w:val="73FA497D"/>
    <w:rsid w:val="744731E5"/>
    <w:rsid w:val="7492031B"/>
    <w:rsid w:val="74BBD01D"/>
    <w:rsid w:val="74ED5379"/>
    <w:rsid w:val="753424FB"/>
    <w:rsid w:val="75DEEEC2"/>
    <w:rsid w:val="75E32345"/>
    <w:rsid w:val="76767E7A"/>
    <w:rsid w:val="76E3355F"/>
    <w:rsid w:val="76FF5125"/>
    <w:rsid w:val="77387FCF"/>
    <w:rsid w:val="776F6FFA"/>
    <w:rsid w:val="778769C8"/>
    <w:rsid w:val="77A75DCA"/>
    <w:rsid w:val="77DC22F5"/>
    <w:rsid w:val="78174088"/>
    <w:rsid w:val="783E271A"/>
    <w:rsid w:val="78616DE9"/>
    <w:rsid w:val="78E875D7"/>
    <w:rsid w:val="79086DAD"/>
    <w:rsid w:val="791D56CF"/>
    <w:rsid w:val="797F1EE5"/>
    <w:rsid w:val="79C87A4B"/>
    <w:rsid w:val="79D264B9"/>
    <w:rsid w:val="79D7FD79"/>
    <w:rsid w:val="79EE5BA4"/>
    <w:rsid w:val="7A1A144A"/>
    <w:rsid w:val="7A480258"/>
    <w:rsid w:val="7A65344B"/>
    <w:rsid w:val="7A894339"/>
    <w:rsid w:val="7A8F398F"/>
    <w:rsid w:val="7AA23514"/>
    <w:rsid w:val="7AD284E8"/>
    <w:rsid w:val="7AFF7572"/>
    <w:rsid w:val="7B6C7DFB"/>
    <w:rsid w:val="7BBFBED0"/>
    <w:rsid w:val="7BC3E394"/>
    <w:rsid w:val="7BC437F2"/>
    <w:rsid w:val="7BFB5810"/>
    <w:rsid w:val="7BFF1D15"/>
    <w:rsid w:val="7C1F3737"/>
    <w:rsid w:val="7CBFC87B"/>
    <w:rsid w:val="7CFE0F48"/>
    <w:rsid w:val="7D272ABC"/>
    <w:rsid w:val="7D7EC23E"/>
    <w:rsid w:val="7D8978C5"/>
    <w:rsid w:val="7D9D6DDE"/>
    <w:rsid w:val="7DE14F1D"/>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公1"/>
    <w:basedOn w:val="37"/>
    <w:next w:val="1"/>
    <w:qFormat/>
    <w:uiPriority w:val="0"/>
    <w:pPr>
      <w:ind w:firstLine="200" w:firstLineChars="200"/>
    </w:p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4&#24180;&#20915;&#31639;&#20844;&#24320;\&#24066;&#20013;&#21306;\&#20915;&#31639;&#20844;&#24320;&#38468;&#22270;(&#27169;&#26495;)&#20165;&#20379;&#21442;&#327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ltLang="zh-CN"/>
              <a:t>2024</a:t>
            </a:r>
            <a:r>
              <a:rPr altLang="en-US"/>
              <a:t>年</a:t>
            </a:r>
            <a:r>
              <a:rPr lang="zh-CN" altLang="en-US"/>
              <a:t>收、支决算总计变动情况图</a:t>
            </a:r>
            <a:endParaRPr lang="zh-CN" altLang="en-US"/>
          </a:p>
        </c:rich>
      </c:tx>
      <c:layout>
        <c:manualLayout>
          <c:xMode val="edge"/>
          <c:yMode val="edge"/>
          <c:x val="0.106940388249442"/>
          <c:y val="0.0181818181818182"/>
        </c:manualLayout>
      </c:layout>
      <c:overlay val="0"/>
    </c:title>
    <c:autoTitleDeleted val="0"/>
    <c:plotArea>
      <c:layout>
        <c:manualLayout>
          <c:layoutTarget val="inner"/>
          <c:xMode val="edge"/>
          <c:yMode val="edge"/>
          <c:x val="0.161484281051366"/>
          <c:y val="0.30030303030303"/>
          <c:w val="0.619996564164233"/>
          <c:h val="0.561515151515152"/>
        </c:manualLayout>
      </c:layout>
      <c:barChart>
        <c:barDir val="col"/>
        <c:grouping val="clustered"/>
        <c:varyColors val="0"/>
        <c:ser>
          <c:idx val="0"/>
          <c:order val="0"/>
          <c:tx>
            <c:strRef>
              <c:f>'[决算公开附图(模板)仅供参考.xlsx]收、支决算总计变动情况图1'!$C$4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dLbl>
              <c:idx val="0"/>
              <c:layout>
                <c:manualLayout>
                  <c:x val="0.00257687682528775"/>
                  <c:y val="0.1227272727272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181818181818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'[决算公开附图(模板)仅供参考.xlsx]收、支决算总计变动情况图1'!$B$5:$B$6</c:f>
              <c:strCache>
                <c:ptCount val="2"/>
                <c:pt idx="0">
                  <c:v>2023年</c:v>
                </c:pt>
                <c:pt idx="1">
                  <c:v>2024年</c:v>
                </c:pt>
              </c:strCache>
            </c:strRef>
          </c:cat>
          <c:val>
            <c:numRef>
              <c:f>'[决算公开附图(模板)仅供参考.xlsx]收、支决算总计变动情况图1'!$C$5:$C$6</c:f>
              <c:numCache>
                <c:formatCode>0.00_ </c:formatCode>
                <c:ptCount val="2"/>
                <c:pt idx="0">
                  <c:v>394.05</c:v>
                </c:pt>
                <c:pt idx="1">
                  <c:v>435.73</c:v>
                </c:pt>
              </c:numCache>
            </c:numRef>
          </c:val>
        </c:ser>
        <c:dLbls>
          <c:showLegendKey val="0"/>
          <c:showVal val="1"/>
          <c:showCatName val="0"/>
          <c:showSerName val="0"/>
          <c:showPercent val="0"/>
          <c:showBubbleSize val="0"/>
        </c:dLbls>
        <c:gapWidth val="150"/>
        <c:axId val="57603200"/>
        <c:axId val="57604736"/>
      </c:barChart>
      <c:catAx>
        <c:axId val="57603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4736"/>
        <c:crosses val="autoZero"/>
        <c:auto val="1"/>
        <c:lblAlgn val="ctr"/>
        <c:lblOffset val="100"/>
        <c:noMultiLvlLbl val="0"/>
      </c:catAx>
      <c:valAx>
        <c:axId val="5760473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3200"/>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t>2024</a:t>
            </a:r>
            <a:r>
              <a:rPr lang="zh-CN"/>
              <a:t>年收入决算结构图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'[决算公开附图(模板)仅供参考.xlsx]收入决算结构图2'!$B$6</c:f>
              <c:strCache>
                <c:ptCount val="1"/>
                <c:pt idx="0">
                  <c:v>占比</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extLst>
                <c:ext xmlns:c15="http://schemas.microsoft.com/office/drawing/2012/chart" uri="{02D57815-91ED-43cb-92C2-25804820EDAC}">
                  <c15:fullRef>
                    <c15:sqref>'[决算公开附图(模板)仅供参考.xlsx]收入决算结构图2'!$A$7:$A$9</c15:sqref>
                  </c15:fullRef>
                </c:ext>
              </c:extLst>
              <c:f>'[决算公开附图(模板)仅供参考.xlsx]收入决算结构图2'!$A$7</c:f>
              <c:strCache>
                <c:ptCount val="1"/>
                <c:pt idx="0">
                  <c:v>一般公共预算财政拨款收入435.73万元</c:v>
                </c:pt>
              </c:strCache>
            </c:strRef>
          </c:cat>
          <c:val>
            <c:numRef>
              <c:extLst>
                <c:ext xmlns:c15="http://schemas.microsoft.com/office/drawing/2012/chart" uri="{02D57815-91ED-43cb-92C2-25804820EDAC}">
                  <c15:fullRef>
                    <c15:sqref>收入决算结构图2!$B$7:$B$9</c15:sqref>
                  </c15:fullRef>
                </c:ext>
              </c:extLst>
              <c:f>'[决算公开附图(模板)仅供参考.xlsx]收入决算结构图2'!$B$7</c:f>
              <c:numCache>
                <c:formatCode>0.00%</c:formatCode>
                <c:ptCount val="1"/>
                <c:pt idx="0">
                  <c:v>1</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t>2024</a:t>
            </a:r>
            <a:r>
              <a:rPr lang="zh-CN"/>
              <a:t>年支出决算结构图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'[决算公开附图(模板)仅供参考.xlsx]支出决算结构图3'!$B$9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'[决算公开附图(模板)仅供参考.xlsx]支出决算结构图3'!$A$10:$A$11</c:f>
              <c:strCache>
                <c:ptCount val="2"/>
                <c:pt idx="0">
                  <c:v>基本支出324.43万元</c:v>
                </c:pt>
                <c:pt idx="1">
                  <c:v>项目支出111.29万元</c:v>
                </c:pt>
              </c:strCache>
            </c:strRef>
          </c:cat>
          <c:val>
            <c:numRef>
              <c:f>'[决算公开附图(模板)仅供参考.xlsx]支出决算结构图3'!$B$10:$B$11</c:f>
              <c:numCache>
                <c:formatCode>0.00%</c:formatCode>
                <c:ptCount val="2"/>
                <c:pt idx="0">
                  <c:v>0.744583677591114</c:v>
                </c:pt>
                <c:pt idx="1">
                  <c:v>0.255416322408886</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ltLang="zh-CN"/>
              <a:t>2024</a:t>
            </a:r>
            <a:r>
              <a:rPr altLang="en-US"/>
              <a:t>年</a:t>
            </a:r>
            <a:r>
              <a:rPr lang="zh-CN" altLang="en-US"/>
              <a:t>收、支决算总计变动情况图</a:t>
            </a:r>
            <a:endParaRPr lang="zh-CN" altLang="en-US"/>
          </a:p>
        </c:rich>
      </c:tx>
      <c:layout>
        <c:manualLayout>
          <c:xMode val="edge"/>
          <c:yMode val="edge"/>
          <c:x val="0.107977050261174"/>
          <c:y val="0.00892325996430696"/>
        </c:manualLayout>
      </c:layout>
      <c:overlay val="0"/>
    </c:title>
    <c:autoTitleDeleted val="0"/>
    <c:plotArea>
      <c:layout>
        <c:manualLayout>
          <c:layoutTarget val="inner"/>
          <c:xMode val="edge"/>
          <c:yMode val="edge"/>
          <c:x val="0.147532643717144"/>
          <c:y val="0.286436644854253"/>
          <c:w val="0.642021366796676"/>
          <c:h val="0.557108863771565"/>
        </c:manualLayout>
      </c:layout>
      <c:barChart>
        <c:barDir val="col"/>
        <c:grouping val="clustered"/>
        <c:varyColors val="0"/>
        <c:ser>
          <c:idx val="0"/>
          <c:order val="0"/>
          <c:tx>
            <c:strRef>
              <c:f>'[决算公开附图(模板)仅供参考.xlsx]财政拨款收、支决算总计变动情况图4'!$C$4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dLbl>
              <c:idx val="0"/>
              <c:layout>
                <c:manualLayout>
                  <c:x val="0"/>
                  <c:y val="0.11154074955383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54366627098525"/>
                  <c:y val="0.1204640095181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'[决算公开附图(模板)仅供参考.xlsx]财政拨款收、支决算总计变动情况图4'!$B$5:$B$6</c:f>
              <c:strCache>
                <c:ptCount val="2"/>
                <c:pt idx="0">
                  <c:v>2023年</c:v>
                </c:pt>
                <c:pt idx="1">
                  <c:v>2024年</c:v>
                </c:pt>
              </c:strCache>
            </c:strRef>
          </c:cat>
          <c:val>
            <c:numRef>
              <c:f>'[决算公开附图(模板)仅供参考.xlsx]财政拨款收、支决算总计变动情况图4'!$C$5:$C$6</c:f>
              <c:numCache>
                <c:formatCode>0.00_ </c:formatCode>
                <c:ptCount val="2"/>
                <c:pt idx="0">
                  <c:v>394.05</c:v>
                </c:pt>
                <c:pt idx="1">
                  <c:v>435.73</c:v>
                </c:pt>
              </c:numCache>
            </c:numRef>
          </c:val>
        </c:ser>
        <c:dLbls>
          <c:showLegendKey val="0"/>
          <c:showVal val="1"/>
          <c:showCatName val="0"/>
          <c:showSerName val="0"/>
          <c:showPercent val="0"/>
          <c:showBubbleSize val="0"/>
        </c:dLbls>
        <c:gapWidth val="150"/>
        <c:axId val="57603200"/>
        <c:axId val="57604736"/>
      </c:barChart>
      <c:catAx>
        <c:axId val="57603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4736"/>
        <c:crosses val="autoZero"/>
        <c:auto val="1"/>
        <c:lblAlgn val="ctr"/>
        <c:lblOffset val="100"/>
        <c:noMultiLvlLbl val="0"/>
      </c:catAx>
      <c:valAx>
        <c:axId val="5760473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3200"/>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ltLang="zh-CN"/>
              <a:t>2024</a:t>
            </a:r>
            <a:r>
              <a:rPr altLang="en-US"/>
              <a:t>年一般公共预算</a:t>
            </a:r>
            <a:r>
              <a:rPr lang="zh-CN" altLang="en-US"/>
              <a:t>收、支决算总计变动情况图</a:t>
            </a:r>
            <a:endParaRPr lang="zh-CN" altLang="en-US"/>
          </a:p>
        </c:rich>
      </c:tx>
      <c:layout>
        <c:manualLayout>
          <c:xMode val="edge"/>
          <c:yMode val="edge"/>
          <c:x val="0.136409650750801"/>
          <c:y val="0.0175489909330214"/>
        </c:manualLayout>
      </c:layout>
      <c:overlay val="0"/>
    </c:title>
    <c:autoTitleDeleted val="0"/>
    <c:plotArea>
      <c:layout>
        <c:manualLayout>
          <c:layoutTarget val="inner"/>
          <c:xMode val="edge"/>
          <c:yMode val="edge"/>
          <c:x val="0.146785895056521"/>
          <c:y val="0.315881836794384"/>
          <c:w val="0.64383330521343"/>
          <c:h val="0.530272009359462"/>
        </c:manualLayout>
      </c:layout>
      <c:barChart>
        <c:barDir val="col"/>
        <c:grouping val="clustered"/>
        <c:varyColors val="0"/>
        <c:ser>
          <c:idx val="0"/>
          <c:order val="0"/>
          <c:tx>
            <c:strRef>
              <c:f>'[决算公开附图(模板)仅供参考.xlsx]一般公共预算财政拨款收、支决算总计变动情况图5'!$C$4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dLbl>
              <c:idx val="0"/>
              <c:layout>
                <c:manualLayout>
                  <c:x val="0.00253079129407791"/>
                  <c:y val="0.15794091839719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3885608233508"/>
                      <c:h val="0.149458906112898"/>
                    </c:manualLayout>
                  </c15:layout>
                </c:ext>
              </c:extLst>
            </c:dLbl>
            <c:dLbl>
              <c:idx val="1"/>
              <c:layout>
                <c:manualLayout>
                  <c:x val="0"/>
                  <c:y val="0.1140684410646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'[决算公开附图(模板)仅供参考.xlsx]一般公共预算财政拨款收、支决算总计变动情况图5'!$B$5:$B$6</c:f>
              <c:strCache>
                <c:ptCount val="2"/>
                <c:pt idx="0">
                  <c:v>2023年</c:v>
                </c:pt>
                <c:pt idx="1">
                  <c:v>2024年</c:v>
                </c:pt>
              </c:strCache>
            </c:strRef>
          </c:cat>
          <c:val>
            <c:numRef>
              <c:f>'[决算公开附图(模板)仅供参考.xlsx]一般公共预算财政拨款收、支决算总计变动情况图5'!$C$5:$C$6</c:f>
              <c:numCache>
                <c:formatCode>0.00_ </c:formatCode>
                <c:ptCount val="2"/>
                <c:pt idx="0">
                  <c:v>394.05</c:v>
                </c:pt>
                <c:pt idx="1">
                  <c:v>435.73</c:v>
                </c:pt>
              </c:numCache>
            </c:numRef>
          </c:val>
        </c:ser>
        <c:dLbls>
          <c:showLegendKey val="0"/>
          <c:showVal val="1"/>
          <c:showCatName val="0"/>
          <c:showSerName val="0"/>
          <c:showPercent val="0"/>
          <c:showBubbleSize val="0"/>
        </c:dLbls>
        <c:gapWidth val="150"/>
        <c:axId val="57603200"/>
        <c:axId val="57604736"/>
      </c:barChart>
      <c:catAx>
        <c:axId val="57603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4736"/>
        <c:crosses val="autoZero"/>
        <c:auto val="1"/>
        <c:lblAlgn val="ctr"/>
        <c:lblOffset val="100"/>
        <c:noMultiLvlLbl val="0"/>
      </c:catAx>
      <c:valAx>
        <c:axId val="57604736"/>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7603200"/>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t>2024</a:t>
            </a:r>
            <a:r>
              <a:rPr lang="zh-CN"/>
              <a:t>年一般公共预算</a:t>
            </a:r>
            <a:r>
              <a:rPr lang="zh-CN" altLang="en-US"/>
              <a:t>财政拨款支出决算</a:t>
            </a:r>
            <a:r>
              <a:rPr lang="zh-CN"/>
              <a:t>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Lbls>
            <c:dLbl>
              <c:idx val="0"/>
              <c:layout>
                <c:manualLayout>
                  <c:x val="0.0453400503778338"/>
                  <c:y val="0.05064456721915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31234256926952"/>
                  <c:y val="0.04604051565377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5793450881612"/>
                  <c:y val="0.032228360957642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27455919395466"/>
                  <c:y val="-0.07366482504604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extLst>
                <c:ext xmlns:c15="http://schemas.microsoft.com/office/drawing/2012/chart" uri="{02D57815-91ED-43cb-92C2-25804820EDAC}">
                  <c15:fullRef>
                    <c15:sqref>'[决算公开附图(模板)仅供参考.xlsx]一般公共预算财政拨款支出决算结构图6'!$A$7:$A$12</c15:sqref>
                  </c15:fullRef>
                </c:ext>
              </c:extLst>
              <c:f>('[决算公开附图(模板)仅供参考.xlsx]一般公共预算财政拨款支出决算结构图6'!$A$7,'[决算公开附图(模板)仅供参考.xlsx]一般公共预算财政拨款支出决算结构图6'!$A$9:$A$10,'[决算公开附图(模板)仅供参考.xlsx]一般公共预算财政拨款支出决算结构图6'!$A$12)</c:f>
              <c:strCache>
                <c:ptCount val="4"/>
                <c:pt idx="0">
                  <c:v>一般公共服务支出354.87万元</c:v>
                </c:pt>
                <c:pt idx="1">
                  <c:v>社会保障和就业支出49.04万元</c:v>
                </c:pt>
                <c:pt idx="2">
                  <c:v>卫生健康支出9.82万元</c:v>
                </c:pt>
                <c:pt idx="3">
                  <c:v>住房保障支出21.99万元</c:v>
                </c:pt>
              </c:strCache>
            </c:strRef>
          </c:cat>
          <c:val>
            <c:numRef>
              <c:extLst>
                <c:ext xmlns:c15="http://schemas.microsoft.com/office/drawing/2012/chart" uri="{02D57815-91ED-43cb-92C2-25804820EDAC}">
                  <c15:fullRef>
                    <c15:sqref>一般公共预算财政拨款支出决算结构图6!$B$7:$B$12</c15:sqref>
                  </c15:fullRef>
                </c:ext>
              </c:extLst>
              <c:f>('[决算公开附图(模板)仅供参考.xlsx]一般公共预算财政拨款支出决算结构图6'!$B$7,'[决算公开附图(模板)仅供参考.xlsx]一般公共预算财政拨款支出决算结构图6'!$B$9:$B$10,'[决算公开附图(模板)仅供参考.xlsx]一般公共预算财政拨款支出决算结构图6'!$B$12)</c:f>
              <c:numCache>
                <c:formatCode>0.00%</c:formatCode>
                <c:ptCount val="4"/>
                <c:pt idx="0">
                  <c:v>0.814445056458276</c:v>
                </c:pt>
                <c:pt idx="1">
                  <c:v>0.112549343615166</c:v>
                </c:pt>
                <c:pt idx="2">
                  <c:v>0.0225374093454512</c:v>
                </c:pt>
                <c:pt idx="3">
                  <c:v>0.0504681905811071</c:v>
                </c:pt>
              </c:numCache>
            </c:numRef>
          </c:val>
        </c:ser>
        <c:dLbls>
          <c:showLegendKey val="0"/>
          <c:showVal val="1"/>
          <c:showCatName val="0"/>
          <c:showSerName val="0"/>
          <c:showPercent val="0"/>
          <c:showBubbleSize val="0"/>
        </c:dLbls>
      </c:pie3DChart>
    </c:plotArea>
    <c:legend>
      <c:legendPos val="r"/>
      <c:layout>
        <c:manualLayout>
          <c:xMode val="edge"/>
          <c:yMode val="edge"/>
          <c:x val="0.647019311502939"/>
          <c:y val="0.332412523020258"/>
          <c:w val="0.332829554995802"/>
          <c:h val="0.640270104358502"/>
        </c:manualLayout>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ltLang="zh-CN"/>
              <a:t>2024</a:t>
            </a:r>
            <a:r>
              <a:rPr altLang="en-US"/>
              <a:t>年</a:t>
            </a:r>
            <a:r>
              <a:rPr lang="zh-CN"/>
              <a:t>“三公”经费财政拨款支出结构图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'[决算公开附图(模板)仅供参考.xlsx]“三公”经费财政拨款支出结构图7'!$B$6</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extLst>
                <c:ext xmlns:c15="http://schemas.microsoft.com/office/drawing/2012/chart" uri="{02D57815-91ED-43cb-92C2-25804820EDAC}">
                  <c15:fullRef>
                    <c15:sqref>'[决算公开附图(模板)仅供参考.xlsx]“三公”经费财政拨款支出结构图7'!$A$7:$A$11</c15:sqref>
                  </c15:fullRef>
                </c:ext>
              </c:extLst>
              <c:f>'[决算公开附图(模板)仅供参考.xlsx]“三公”经费财政拨款支出结构图7'!$A$7:$A$9</c:f>
              <c:strCache>
                <c:ptCount val="3"/>
                <c:pt idx="0">
                  <c:v>因公出国（境）费支出决算0万元</c:v>
                </c:pt>
                <c:pt idx="1">
                  <c:v>公务用车购置及运行维护费支出决算0万元</c:v>
                </c:pt>
                <c:pt idx="2">
                  <c:v>公务接待费支出决算1.02万元</c:v>
                </c:pt>
              </c:strCache>
            </c:strRef>
          </c:cat>
          <c:val>
            <c:numRef>
              <c:extLst>
                <c:ext xmlns:c15="http://schemas.microsoft.com/office/drawing/2012/chart" uri="{02D57815-91ED-43cb-92C2-25804820EDAC}">
                  <c15:fullRef>
                    <c15:sqref>“三公”经费财政拨款支出结构图7!$B$7:$B$11</c15:sqref>
                  </c15:fullRef>
                </c:ext>
              </c:extLst>
              <c:f>'[决算公开附图(模板)仅供参考.xlsx]“三公”经费财政拨款支出结构图7'!$B$7:$B$9</c:f>
              <c:numCache>
                <c:formatCode>0.00%</c:formatCode>
                <c:ptCount val="3"/>
                <c:pt idx="0">
                  <c:v>0</c:v>
                </c:pt>
                <c:pt idx="1">
                  <c:v>0</c:v>
                </c:pt>
                <c:pt idx="2">
                  <c:v>1</c:v>
                </c:pt>
              </c:numCache>
            </c:numRef>
          </c:val>
        </c:ser>
        <c:dLbls>
          <c:showLegendKey val="0"/>
          <c:showVal val="1"/>
          <c:showCatName val="0"/>
          <c:showSerName val="0"/>
          <c:showPercent val="0"/>
          <c:showBubbleSize val="0"/>
        </c:dLbls>
      </c:pie3DChart>
    </c:plotArea>
    <c:legend>
      <c:legendPos val="r"/>
      <c:layout>
        <c:manualLayout>
          <c:xMode val="edge"/>
          <c:yMode val="edge"/>
          <c:x val="0.655218855218855"/>
          <c:y val="0.310717502251576"/>
          <c:w val="0.324579124579125"/>
          <c:h val="0.652957069948964"/>
        </c:manualLayout>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2686</Words>
  <Characters>2989</Characters>
  <Lines>73</Lines>
  <Paragraphs>20</Paragraphs>
  <TotalTime>0</TotalTime>
  <ScaleCrop>false</ScaleCrop>
  <LinksUpToDate>false</LinksUpToDate>
  <CharactersWithSpaces>3160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脸上带红</cp:lastModifiedBy>
  <cp:lastPrinted>2025-08-06T17:34:00Z</cp:lastPrinted>
  <dcterms:modified xsi:type="dcterms:W3CDTF">2025-10-23T09:17:57Z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7D7DC6DB45C7450B9956169B097F724C_13</vt:lpwstr>
  </property>
  <property fmtid="{D5CDD505-2E9C-101B-9397-08002B2CF9AE}" pid="4" name="KSOTemplateDocerSaveRecord">
    <vt:lpwstr>eyJoZGlkIjoiNjE3NjdjZmJjYzMwZDY1ODYxY2FmNWFiODMwOGNhNzUiLCJ1c2VySWQiOiIyODg5NzY3MjEifQ==</vt:lpwstr>
  </property>
</Properties>
</file>