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7193"/>
      <w:bookmarkStart w:id="1" w:name="_Toc15378441"/>
      <w:bookmarkStart w:id="2" w:name="_Toc15377425"/>
      <w:bookmarkStart w:id="3" w:name="_Toc15396475"/>
      <w:bookmarkStart w:id="4" w:name="_Toc15396597"/>
      <w:bookmarkStart w:id="5" w:name="_Toc15306267"/>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8442"/>
      <w:bookmarkStart w:id="8" w:name="_Toc15396598"/>
      <w:bookmarkStart w:id="9" w:name="_Toc15377194"/>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w:t>
      </w:r>
    </w:p>
    <w:bookmarkEnd w:id="5"/>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11" w:name="_Toc15306268"/>
      <w:r>
        <w:rPr>
          <w:rFonts w:hint="eastAsia" w:ascii="Times New Roman" w:eastAsia="方正小标宋简体" w:cs="Times New Roman"/>
          <w:color w:val="auto"/>
          <w:kern w:val="2"/>
          <w:sz w:val="44"/>
          <w:szCs w:val="44"/>
          <w:highlight w:val="none"/>
          <w:lang w:val="en-US" w:eastAsia="zh-CN" w:bidi="ar-SA"/>
        </w:rPr>
        <w:t>乐山市市中区委政法委员会</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bookmarkStart w:id="69" w:name="_GoBack"/>
      <w:bookmarkEnd w:id="69"/>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bookmarkStart w:id="12" w:name="_Toc15396599"/>
      <w:bookmarkStart w:id="13" w:name="_Toc15377196"/>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一、主要职责………………………………………………</w:t>
      </w:r>
      <w:r>
        <w:rPr>
          <w:rFonts w:hint="eastAsia" w:eastAsia="仿宋_GB2312" w:cs="仿宋_GB2312"/>
          <w:color w:val="auto"/>
          <w:kern w:val="2"/>
          <w:sz w:val="32"/>
          <w:szCs w:val="32"/>
          <w:highlight w:val="none"/>
          <w:lang w:val="en-US" w:eastAsia="zh-CN" w:bidi="ar-SA"/>
        </w:rPr>
        <w:t>4</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二、机构设置………………………………………………</w:t>
      </w:r>
      <w:r>
        <w:rPr>
          <w:rFonts w:hint="eastAsia" w:eastAsia="仿宋_GB2312" w:cs="仿宋_GB2312"/>
          <w:color w:val="auto"/>
          <w:kern w:val="2"/>
          <w:sz w:val="32"/>
          <w:szCs w:val="32"/>
          <w:highlight w:val="none"/>
          <w:lang w:val="en-US" w:eastAsia="zh-CN" w:bidi="ar-SA"/>
        </w:rPr>
        <w:t>4</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一、收入支出决算总体情况说明…………………………</w:t>
      </w:r>
      <w:r>
        <w:rPr>
          <w:rFonts w:hint="eastAsia" w:eastAsia="仿宋_GB2312" w:cs="仿宋_GB2312"/>
          <w:color w:val="auto"/>
          <w:kern w:val="2"/>
          <w:sz w:val="32"/>
          <w:szCs w:val="32"/>
          <w:highlight w:val="none"/>
          <w:lang w:val="en-US" w:eastAsia="zh-CN" w:bidi="ar-SA"/>
        </w:rPr>
        <w:t>4</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二、收入决算情况说明……………………………………</w:t>
      </w:r>
      <w:r>
        <w:rPr>
          <w:rFonts w:hint="eastAsia" w:eastAsia="仿宋_GB2312" w:cs="仿宋_GB2312"/>
          <w:color w:val="auto"/>
          <w:kern w:val="2"/>
          <w:sz w:val="32"/>
          <w:szCs w:val="32"/>
          <w:highlight w:val="none"/>
          <w:lang w:val="en-US" w:eastAsia="zh-CN" w:bidi="ar-SA"/>
        </w:rPr>
        <w:t>5</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三、支出决算情况说明……………………………………</w:t>
      </w:r>
      <w:r>
        <w:rPr>
          <w:rFonts w:hint="eastAsia" w:eastAsia="仿宋_GB2312" w:cs="仿宋_GB2312"/>
          <w:color w:val="auto"/>
          <w:kern w:val="2"/>
          <w:sz w:val="32"/>
          <w:szCs w:val="32"/>
          <w:highlight w:val="none"/>
          <w:lang w:val="en-US" w:eastAsia="zh-CN" w:bidi="ar-SA"/>
        </w:rPr>
        <w:t>5</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四、财政拨款收入支出决算总体情况说明………………</w:t>
      </w:r>
      <w:r>
        <w:rPr>
          <w:rFonts w:hint="eastAsia" w:eastAsia="仿宋_GB2312" w:cs="仿宋_GB2312"/>
          <w:color w:val="auto"/>
          <w:kern w:val="2"/>
          <w:sz w:val="32"/>
          <w:szCs w:val="32"/>
          <w:highlight w:val="none"/>
          <w:lang w:val="en-US" w:eastAsia="zh-CN" w:bidi="ar-SA"/>
        </w:rPr>
        <w:t>6</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五、一般公共预算财政拨款支出决算情况说明…………</w:t>
      </w:r>
      <w:r>
        <w:rPr>
          <w:rFonts w:hint="eastAsia" w:eastAsia="仿宋_GB2312" w:cs="仿宋_GB2312"/>
          <w:color w:val="auto"/>
          <w:kern w:val="2"/>
          <w:sz w:val="32"/>
          <w:szCs w:val="32"/>
          <w:highlight w:val="none"/>
          <w:lang w:val="en-US" w:eastAsia="zh-CN" w:bidi="ar-SA"/>
        </w:rPr>
        <w:t>7</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一般公共预算财政拨款支出决算总体情况………</w:t>
      </w:r>
      <w:r>
        <w:rPr>
          <w:rFonts w:hint="eastAsia" w:eastAsia="仿宋_GB2312" w:cs="仿宋_GB2312"/>
          <w:color w:val="auto"/>
          <w:kern w:val="2"/>
          <w:sz w:val="32"/>
          <w:szCs w:val="32"/>
          <w:highlight w:val="none"/>
          <w:lang w:val="en-US" w:eastAsia="zh-CN" w:bidi="ar-SA"/>
        </w:rPr>
        <w:t>7</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二</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一般公共预算财政拨款支出决算结构情况………</w:t>
      </w:r>
      <w:r>
        <w:rPr>
          <w:rFonts w:hint="eastAsia" w:eastAsia="仿宋_GB2312" w:cs="仿宋_GB2312"/>
          <w:color w:val="auto"/>
          <w:kern w:val="2"/>
          <w:sz w:val="32"/>
          <w:szCs w:val="32"/>
          <w:highlight w:val="none"/>
          <w:lang w:val="en-US" w:eastAsia="zh-CN" w:bidi="ar-SA"/>
        </w:rPr>
        <w:t>8</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（三）</w:t>
      </w:r>
      <w:r>
        <w:rPr>
          <w:rFonts w:hint="eastAsia" w:ascii="Times New Roman" w:hAnsi="Times New Roman" w:eastAsia="仿宋_GB2312" w:cs="仿宋_GB2312"/>
          <w:color w:val="auto"/>
          <w:kern w:val="2"/>
          <w:sz w:val="32"/>
          <w:szCs w:val="32"/>
          <w:highlight w:val="none"/>
          <w:lang w:val="en-US" w:eastAsia="zh-CN" w:bidi="ar-SA"/>
        </w:rPr>
        <w:t>一般公共预算财政拨款支出决算具体情况………</w:t>
      </w:r>
      <w:r>
        <w:rPr>
          <w:rFonts w:hint="eastAsia" w:eastAsia="仿宋_GB2312" w:cs="仿宋_GB2312"/>
          <w:color w:val="auto"/>
          <w:kern w:val="2"/>
          <w:sz w:val="32"/>
          <w:szCs w:val="32"/>
          <w:highlight w:val="none"/>
          <w:lang w:val="en-US" w:eastAsia="zh-CN" w:bidi="ar-SA"/>
        </w:rPr>
        <w:t>8</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六、一般公共预算财政拨款基本支出决算情况说明……</w:t>
      </w:r>
      <w:r>
        <w:rPr>
          <w:rFonts w:hint="eastAsia" w:eastAsia="仿宋_GB2312" w:cs="仿宋_GB2312"/>
          <w:color w:val="auto"/>
          <w:kern w:val="2"/>
          <w:sz w:val="32"/>
          <w:szCs w:val="32"/>
          <w:highlight w:val="none"/>
          <w:lang w:val="en-US" w:eastAsia="zh-CN" w:bidi="ar-SA"/>
        </w:rPr>
        <w:t>10</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七、财政拨款“三公”经费支出决算情况说明…………</w:t>
      </w:r>
      <w:r>
        <w:rPr>
          <w:rFonts w:hint="eastAsia" w:eastAsia="仿宋_GB2312" w:cs="仿宋_GB2312"/>
          <w:color w:val="auto"/>
          <w:kern w:val="2"/>
          <w:sz w:val="32"/>
          <w:szCs w:val="32"/>
          <w:highlight w:val="none"/>
          <w:lang w:val="en-US" w:eastAsia="zh-CN" w:bidi="ar-SA"/>
        </w:rPr>
        <w:t>10</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“三公”经费财政拨款支出决算总体情况说明…</w:t>
      </w:r>
      <w:r>
        <w:rPr>
          <w:rFonts w:hint="eastAsia" w:eastAsia="仿宋_GB2312" w:cs="仿宋_GB2312"/>
          <w:color w:val="auto"/>
          <w:kern w:val="2"/>
          <w:sz w:val="32"/>
          <w:szCs w:val="32"/>
          <w:highlight w:val="none"/>
          <w:lang w:val="en-US" w:eastAsia="zh-CN" w:bidi="ar-SA"/>
        </w:rPr>
        <w:t>10</w:t>
      </w:r>
    </w:p>
    <w:p>
      <w:pPr>
        <w:pStyle w:val="14"/>
        <w:adjustRightInd w:val="0"/>
        <w:snapToGrid w:val="0"/>
        <w:spacing w:line="440" w:lineRule="exact"/>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二</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“三公”经费财政拨款支出决算具体情况说明…</w:t>
      </w:r>
      <w:r>
        <w:rPr>
          <w:rFonts w:hint="eastAsia" w:eastAsia="仿宋_GB2312" w:cs="仿宋_GB2312"/>
          <w:color w:val="auto"/>
          <w:kern w:val="2"/>
          <w:sz w:val="32"/>
          <w:szCs w:val="32"/>
          <w:highlight w:val="none"/>
          <w:lang w:val="en-US" w:eastAsia="zh-CN" w:bidi="ar-SA"/>
        </w:rPr>
        <w:t>11</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八、政府性基金预算支出决算情况说明…………………</w:t>
      </w:r>
      <w:r>
        <w:rPr>
          <w:rFonts w:hint="eastAsia" w:eastAsia="仿宋_GB2312" w:cs="仿宋_GB2312"/>
          <w:color w:val="auto"/>
          <w:kern w:val="2"/>
          <w:sz w:val="32"/>
          <w:szCs w:val="32"/>
          <w:highlight w:val="none"/>
          <w:lang w:val="en-US" w:eastAsia="zh-CN" w:bidi="ar-SA"/>
        </w:rPr>
        <w:t>12</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九、国有资本经营预算支出决算情况说明………………</w:t>
      </w:r>
      <w:r>
        <w:rPr>
          <w:rFonts w:hint="eastAsia" w:eastAsia="仿宋_GB2312" w:cs="仿宋_GB2312"/>
          <w:color w:val="auto"/>
          <w:kern w:val="2"/>
          <w:sz w:val="32"/>
          <w:szCs w:val="32"/>
          <w:highlight w:val="none"/>
          <w:lang w:val="en-US" w:eastAsia="zh-CN" w:bidi="ar-SA"/>
        </w:rPr>
        <w:t>12</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十、其他重要事项的情况说明……………………………</w:t>
      </w:r>
      <w:r>
        <w:rPr>
          <w:rFonts w:hint="eastAsia" w:eastAsia="仿宋_GB2312" w:cs="仿宋_GB2312"/>
          <w:color w:val="auto"/>
          <w:kern w:val="2"/>
          <w:sz w:val="32"/>
          <w:szCs w:val="32"/>
          <w:highlight w:val="none"/>
          <w:lang w:val="en-US" w:eastAsia="zh-CN" w:bidi="ar-SA"/>
        </w:rPr>
        <w:t>12</w:t>
      </w:r>
    </w:p>
    <w:p>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（一）机关运行经费支出情况…………………………1</w:t>
      </w:r>
      <w:r>
        <w:rPr>
          <w:rFonts w:hint="eastAsia" w:eastAsia="仿宋_GB2312" w:cs="仿宋_GB2312"/>
          <w:color w:val="auto"/>
          <w:kern w:val="2"/>
          <w:sz w:val="32"/>
          <w:szCs w:val="32"/>
          <w:highlight w:val="none"/>
          <w:lang w:val="en-US" w:eastAsia="zh-CN" w:bidi="ar-SA"/>
        </w:rPr>
        <w:t>2</w:t>
      </w:r>
    </w:p>
    <w:p>
      <w:pPr>
        <w:autoSpaceDE w:val="0"/>
        <w:autoSpaceDN w:val="0"/>
        <w:adjustRightInd w:val="0"/>
        <w:spacing w:line="600" w:lineRule="exact"/>
        <w:ind w:firstLine="640" w:firstLineChars="200"/>
        <w:jc w:val="left"/>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（二）政府采购支出情况………………………………1</w:t>
      </w:r>
      <w:r>
        <w:rPr>
          <w:rFonts w:hint="eastAsia" w:eastAsia="仿宋_GB2312" w:cs="仿宋_GB2312"/>
          <w:color w:val="auto"/>
          <w:kern w:val="2"/>
          <w:sz w:val="32"/>
          <w:szCs w:val="32"/>
          <w:highlight w:val="none"/>
          <w:lang w:val="en-US" w:eastAsia="zh-CN" w:bidi="ar-SA"/>
        </w:rPr>
        <w:t>2</w:t>
      </w:r>
    </w:p>
    <w:p>
      <w:pPr>
        <w:autoSpaceDE w:val="0"/>
        <w:autoSpaceDN w:val="0"/>
        <w:adjustRightInd w:val="0"/>
        <w:spacing w:line="600" w:lineRule="exact"/>
        <w:ind w:firstLine="640" w:firstLineChars="200"/>
        <w:jc w:val="left"/>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（三）国有资产占有使用情况…………………………1</w:t>
      </w:r>
      <w:r>
        <w:rPr>
          <w:rFonts w:hint="eastAsia" w:eastAsia="仿宋_GB2312" w:cs="仿宋_GB2312"/>
          <w:color w:val="auto"/>
          <w:kern w:val="2"/>
          <w:sz w:val="32"/>
          <w:szCs w:val="32"/>
          <w:highlight w:val="none"/>
          <w:lang w:val="en-US" w:eastAsia="zh-CN" w:bidi="ar-SA"/>
        </w:rPr>
        <w:t>3</w:t>
      </w:r>
    </w:p>
    <w:p>
      <w:pPr>
        <w:autoSpaceDE w:val="0"/>
        <w:autoSpaceDN w:val="0"/>
        <w:adjustRightInd w:val="0"/>
        <w:spacing w:line="600" w:lineRule="exact"/>
        <w:ind w:firstLine="640" w:firstLineChars="200"/>
        <w:jc w:val="left"/>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（四）预算绩效管理情况………………………………</w:t>
      </w:r>
      <w:r>
        <w:rPr>
          <w:rFonts w:hint="eastAsia" w:eastAsia="仿宋_GB2312" w:cs="仿宋_GB2312"/>
          <w:color w:val="auto"/>
          <w:kern w:val="2"/>
          <w:sz w:val="32"/>
          <w:szCs w:val="32"/>
          <w:highlight w:val="none"/>
          <w:lang w:val="en-US" w:eastAsia="zh-CN" w:bidi="ar-SA"/>
        </w:rPr>
        <w:t>13</w:t>
      </w:r>
    </w:p>
    <w:p>
      <w:pPr>
        <w:pStyle w:val="14"/>
        <w:adjustRightInd w:val="0"/>
        <w:snapToGrid w:val="0"/>
        <w:spacing w:line="440" w:lineRule="exact"/>
        <w:jc w:val="left"/>
        <w:rPr>
          <w:rFonts w:hint="eastAsia" w:ascii="Times New Roman" w:hAnsi="Times New Roman" w:eastAsia="黑体" w:cs="黑体"/>
          <w:color w:val="auto"/>
          <w:sz w:val="32"/>
          <w:szCs w:val="32"/>
          <w:highlight w:val="none"/>
        </w:rPr>
      </w:pP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第三部分 名词解释………………………………………14</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第四部分 附件……………………………………………18</w:t>
      </w:r>
    </w:p>
    <w:p>
      <w:pPr>
        <w:pStyle w:val="14"/>
        <w:adjustRightInd w:val="0"/>
        <w:snapToGrid w:val="0"/>
        <w:spacing w:line="440" w:lineRule="exact"/>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第五部分 附表……………………………………………</w:t>
      </w:r>
      <w:r>
        <w:rPr>
          <w:rFonts w:hint="eastAsia" w:eastAsia="仿宋_GB2312" w:cs="仿宋_GB2312"/>
          <w:color w:val="auto"/>
          <w:kern w:val="2"/>
          <w:sz w:val="32"/>
          <w:szCs w:val="32"/>
          <w:highlight w:val="none"/>
          <w:lang w:val="en-US" w:eastAsia="zh-CN" w:bidi="ar-SA"/>
        </w:rPr>
        <w:t>35</w:t>
      </w:r>
    </w:p>
    <w:p>
      <w:pPr>
        <w:pStyle w:val="14"/>
        <w:adjustRightInd w:val="0"/>
        <w:snapToGrid w:val="0"/>
        <w:spacing w:line="440" w:lineRule="exact"/>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pPr>
        <w:widowControl/>
        <w:jc w:val="left"/>
        <w:rPr>
          <w:rFonts w:ascii="Times New Roman" w:hAnsi="Times New Roman" w:eastAsia="黑体"/>
          <w:color w:val="auto"/>
          <w:sz w:val="32"/>
          <w:szCs w:val="32"/>
          <w:highlight w:val="none"/>
        </w:rPr>
      </w:pPr>
    </w:p>
    <w:p>
      <w:pPr>
        <w:pStyle w:val="4"/>
        <w:rPr>
          <w:rStyle w:val="29"/>
          <w:rFonts w:hint="eastAsia" w:ascii="Times New Roman" w:hAnsi="Times New Roman" w:eastAsia="黑体"/>
          <w:b w:val="0"/>
          <w:bCs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pPr>
        <w:pStyle w:val="4"/>
        <w:rPr>
          <w:rFonts w:hint="default" w:ascii="仿宋_GB2312" w:hAnsi="仿宋_GB2312" w:eastAsia="仿宋_GB2312" w:cs="仿宋_GB2312"/>
          <w:b w:val="0"/>
          <w:bCs w:val="0"/>
          <w:color w:val="auto"/>
          <w:kern w:val="2"/>
          <w:sz w:val="32"/>
          <w:szCs w:val="32"/>
          <w:highlight w:val="none"/>
          <w:lang w:val="en-US" w:eastAsia="zh-CN" w:bidi="ar-SA"/>
        </w:rPr>
      </w:pPr>
      <w:bookmarkStart w:id="16" w:name="_Toc15396601"/>
      <w:bookmarkStart w:id="17" w:name="_Toc15377200"/>
      <w:r>
        <w:rPr>
          <w:rFonts w:hint="eastAsia" w:ascii="仿宋_GB2312" w:hAnsi="仿宋_GB2312" w:eastAsia="仿宋_GB2312" w:cs="仿宋_GB2312"/>
          <w:b w:val="0"/>
          <w:bCs w:val="0"/>
          <w:color w:val="auto"/>
          <w:kern w:val="2"/>
          <w:sz w:val="32"/>
          <w:szCs w:val="32"/>
          <w:highlight w:val="none"/>
          <w:lang w:val="en-US" w:eastAsia="zh-CN" w:bidi="ar-SA"/>
        </w:rPr>
        <w:t>中共乐山市市中区委政法委员会因机构改革后，我委工作职能涉密，故不做公开。</w:t>
      </w:r>
    </w:p>
    <w:p>
      <w:pPr>
        <w:pStyle w:val="4"/>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p>
    <w:p>
      <w:pPr>
        <w:numPr>
          <w:ilvl w:val="0"/>
          <w:numId w:val="0"/>
        </w:numPr>
        <w:snapToGrid w:val="0"/>
        <w:spacing w:line="520" w:lineRule="exact"/>
        <w:ind w:firstLine="640" w:firstLineChars="200"/>
        <w:rPr>
          <w:rFonts w:hint="eastAsia" w:ascii="仿宋_GB2312" w:hAnsi="仿宋" w:eastAsia="仿宋_GB2312" w:cs="Times New Roman"/>
          <w:color w:val="000000"/>
          <w:kern w:val="2"/>
          <w:sz w:val="32"/>
          <w:szCs w:val="32"/>
          <w:lang w:val="en-US" w:eastAsia="zh-CN" w:bidi="ar-SA"/>
        </w:rPr>
      </w:pPr>
      <w:r>
        <w:rPr>
          <w:rFonts w:hint="eastAsia" w:ascii="仿宋_GB2312" w:hAnsi="仿宋_GB2312" w:eastAsia="仿宋_GB2312" w:cs="仿宋_GB2312"/>
          <w:color w:val="auto"/>
          <w:sz w:val="32"/>
          <w:szCs w:val="32"/>
          <w:highlight w:val="none"/>
        </w:rPr>
        <w:t>中共乐山市市中区委政法委员会</w:t>
      </w:r>
      <w:r>
        <w:rPr>
          <w:rFonts w:hint="eastAsia" w:ascii="仿宋_GB2312" w:hAnsi="仿宋" w:eastAsia="仿宋_GB2312" w:cs="Times New Roman"/>
          <w:color w:val="000000"/>
          <w:kern w:val="2"/>
          <w:sz w:val="32"/>
          <w:szCs w:val="32"/>
          <w:lang w:val="en-US" w:eastAsia="zh-CN" w:bidi="ar-SA"/>
        </w:rPr>
        <w:t>年末机构数为2个，其中行政机构1个，事业机构1个, 为乐山市市中区社会治安综合治理中心，全年无增减变动。</w:t>
      </w:r>
    </w:p>
    <w:p>
      <w:pPr>
        <w:widowControl/>
        <w:ind w:firstLine="640" w:firstLineChars="200"/>
        <w:jc w:val="left"/>
        <w:rPr>
          <w:rFonts w:ascii="Times New Roman" w:hAnsi="Times New Roman" w:eastAsia="仿宋"/>
          <w:color w:val="auto"/>
          <w:kern w:val="0"/>
          <w:sz w:val="32"/>
          <w:szCs w:val="32"/>
          <w:highlight w:val="none"/>
        </w:rPr>
      </w:pPr>
      <w:r>
        <w:rPr>
          <w:rFonts w:hint="eastAsia" w:ascii="仿宋_GB2312" w:hAnsi="仿宋" w:eastAsia="仿宋_GB2312" w:cs="Times New Roman"/>
          <w:color w:val="000000"/>
          <w:kern w:val="2"/>
          <w:sz w:val="32"/>
          <w:szCs w:val="32"/>
          <w:lang w:val="en-US" w:eastAsia="zh-CN" w:bidi="ar-SA"/>
        </w:rPr>
        <w:t>年末人数为20人，其中公务员12人，机关工勤2人，非参公事业人员6人。变动情况为：公务员调入2人，调出4人；机关工勤退休1人。</w:t>
      </w:r>
    </w:p>
    <w:p>
      <w:pPr>
        <w:pStyle w:val="3"/>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793.33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val="en-US" w:eastAsia="zh-CN"/>
        </w:rPr>
        <w:t>1089.7万元</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296.37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27.2</w:t>
      </w:r>
      <w:r>
        <w:rPr>
          <w:rFonts w:hint="eastAsia" w:ascii="Times New Roman" w:hAnsi="Times New Roman" w:eastAsia="仿宋_GB2312" w:cs="仿宋_GB2312"/>
          <w:color w:val="auto"/>
          <w:sz w:val="32"/>
          <w:szCs w:val="32"/>
          <w:highlight w:val="none"/>
        </w:rPr>
        <w:t>%。主要变动原因是</w:t>
      </w:r>
      <w:r>
        <w:rPr>
          <w:rFonts w:hint="eastAsia" w:ascii="仿宋_GB2312" w:eastAsia="仿宋_GB2312"/>
          <w:sz w:val="32"/>
          <w:szCs w:val="32"/>
        </w:rPr>
        <w:t>2024年比2023年减少雪亮工程、关爱中心建设等</w:t>
      </w:r>
      <w:r>
        <w:rPr>
          <w:rFonts w:hint="eastAsia" w:ascii="仿宋_GB2312" w:eastAsia="仿宋_GB2312"/>
          <w:sz w:val="32"/>
          <w:szCs w:val="32"/>
          <w:lang w:val="en-US" w:eastAsia="zh-CN"/>
        </w:rPr>
        <w:t>项目经费</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728845" cy="2308860"/>
            <wp:effectExtent l="38735" t="18415" r="52070" b="730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765.05万元，其中：一般公共预算财政拨款收入765.05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615180" cy="2414905"/>
            <wp:effectExtent l="38735" t="18415" r="51435" b="6223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96605"/>
      <w:bookmarkStart w:id="25" w:name="_Toc1537720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472.49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59.55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320.83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82465" cy="2319655"/>
            <wp:effectExtent l="38735" t="18415" r="50800" b="622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6"/>
      <w:bookmarkEnd w:id="2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793.33</w:t>
      </w:r>
      <w:r>
        <w:rPr>
          <w:rFonts w:hint="eastAsia" w:ascii="Times New Roman" w:hAnsi="Times New Roman" w:eastAsia="仿宋_GB2312" w:cs="仿宋_GB2312"/>
          <w:color w:val="auto"/>
          <w:kern w:val="2"/>
          <w:sz w:val="32"/>
          <w:szCs w:val="32"/>
          <w:highlight w:val="none"/>
          <w:lang w:val="en-US" w:eastAsia="zh-CN" w:bidi="ar-SA"/>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val="en-US" w:eastAsia="zh-CN"/>
        </w:rPr>
        <w:t>1089.7万元</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296.37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27.2</w:t>
      </w:r>
      <w:r>
        <w:rPr>
          <w:rFonts w:hint="eastAsia" w:ascii="Times New Roman" w:hAnsi="Times New Roman" w:eastAsia="仿宋_GB2312" w:cs="仿宋_GB2312"/>
          <w:color w:val="auto"/>
          <w:sz w:val="32"/>
          <w:szCs w:val="32"/>
          <w:highlight w:val="none"/>
        </w:rPr>
        <w:t>%。主要变动原因是</w:t>
      </w:r>
      <w:r>
        <w:rPr>
          <w:rFonts w:hint="eastAsia" w:ascii="仿宋_GB2312" w:eastAsia="仿宋_GB2312"/>
          <w:sz w:val="32"/>
          <w:szCs w:val="32"/>
        </w:rPr>
        <w:t>2024年比2023年减少雪亮工程、关爱中心建设等</w:t>
      </w:r>
      <w:r>
        <w:rPr>
          <w:rFonts w:hint="eastAsia" w:ascii="仿宋_GB2312" w:eastAsia="仿宋_GB2312"/>
          <w:sz w:val="32"/>
          <w:szCs w:val="32"/>
          <w:lang w:val="en-US" w:eastAsia="zh-CN"/>
        </w:rPr>
        <w:t>项目经费</w:t>
      </w:r>
      <w:r>
        <w:rPr>
          <w:rFonts w:hint="eastAsia" w:ascii="仿宋_GB2312" w:eastAsia="仿宋_GB2312"/>
          <w:sz w:val="32"/>
          <w:szCs w:val="32"/>
          <w:lang w:eastAsia="zh-CN"/>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445135</wp:posOffset>
            </wp:positionH>
            <wp:positionV relativeFrom="paragraph">
              <wp:posOffset>389890</wp:posOffset>
            </wp:positionV>
            <wp:extent cx="4395470" cy="2393950"/>
            <wp:effectExtent l="38735" t="18415" r="42545" b="6413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outlineLvl w:val="1"/>
        <w:rPr>
          <w:rStyle w:val="29"/>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296.37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27.2</w:t>
      </w:r>
      <w:r>
        <w:rPr>
          <w:rFonts w:hint="eastAsia" w:ascii="Times New Roman" w:hAnsi="Times New Roman" w:eastAsia="仿宋_GB2312" w:cs="仿宋_GB2312"/>
          <w:color w:val="auto"/>
          <w:sz w:val="32"/>
          <w:szCs w:val="32"/>
          <w:highlight w:val="none"/>
        </w:rPr>
        <w:t>%。主要变动原因是</w:t>
      </w:r>
      <w:r>
        <w:rPr>
          <w:rFonts w:hint="eastAsia" w:ascii="仿宋_GB2312" w:eastAsia="仿宋_GB2312"/>
          <w:sz w:val="32"/>
          <w:szCs w:val="32"/>
        </w:rPr>
        <w:t>2024年比2023年减少雪亮工程、关爱中心建设等</w:t>
      </w:r>
      <w:r>
        <w:rPr>
          <w:rFonts w:hint="eastAsia" w:ascii="仿宋_GB2312" w:eastAsia="仿宋_GB2312"/>
          <w:sz w:val="32"/>
          <w:szCs w:val="32"/>
          <w:lang w:val="en-US" w:eastAsia="zh-CN"/>
        </w:rPr>
        <w:t>项目经费</w:t>
      </w:r>
      <w:r>
        <w:rPr>
          <w:rFonts w:hint="eastAsia" w:ascii="仿宋_GB2312" w:eastAsia="仿宋_GB2312"/>
          <w:sz w:val="32"/>
          <w:szCs w:val="32"/>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330835</wp:posOffset>
            </wp:positionH>
            <wp:positionV relativeFrom="paragraph">
              <wp:posOffset>970915</wp:posOffset>
            </wp:positionV>
            <wp:extent cx="4347210" cy="2470150"/>
            <wp:effectExtent l="38735" t="18415" r="52705" b="64135"/>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596.06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75.13</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8.46万元，占1.07%；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71.22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8.98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84.77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10.68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32.82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w:t>
      </w:r>
      <w:r>
        <w:drawing>
          <wp:anchor distT="0" distB="0" distL="114300" distR="114300" simplePos="0" relativeHeight="251661312" behindDoc="0" locked="0" layoutInCell="1" allowOverlap="1">
            <wp:simplePos x="0" y="0"/>
            <wp:positionH relativeFrom="column">
              <wp:posOffset>473710</wp:posOffset>
            </wp:positionH>
            <wp:positionV relativeFrom="paragraph">
              <wp:posOffset>504190</wp:posOffset>
            </wp:positionV>
            <wp:extent cx="4394200" cy="2498090"/>
            <wp:effectExtent l="38735" t="18415" r="43815" b="74295"/>
            <wp:wrapTopAndBottom/>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8460"/>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793.33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一般公共服务（类）其他共产党事务支出（款）行政运行（项）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286.92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一般公共服务（类）其他共产党事务支出（款）一般行政管理事务（项）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支出决算为227.71万元，完成预算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3.一般公共服务（类）其他共产党事务支出（款）事业运行（项）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支出决算为67.42万元，完成预算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4.一般公共服务（类）信访事务（款）一般行政管理事务（项）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5.公共安全支出（类）公安（款）其他公安支出（项）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支出决算为8.46万元，完成预算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6.社会保障和就业（类）行政事业部门养老支出（款）机关事业部门基本养老保险缴费支出（项）: 支出决算为38.4万元，完成预算100%。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7.社会保障和就业（类）行政事业部门养老支出（款）机关事业部门职业年金缴费支出（项）: 支出决算为21.58万元，完成预算100%。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8.社会保障和就业（类）行政事业部门养老支出（款）其他行政事业部门养老支出（项）: 支出决算为7.95万元，完成预算100%。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9.社会保障和就业（类）其他社会保障和就业支出（款）其他社会保障和就业支出（项）: 支出决算为3.28万元，完成预算100%。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10.卫生健康支出（类）公共卫生（款）其他公共卫生支出（项）:支出决算为70.66万元，完成预算100%。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11.卫生健康（类）行政事业单位医疗（款）行政单位医疗（项）:支出决算为8.86万元，完成预算100%。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12.卫生健康（类）行政事业单位医疗（款）事业单位医疗（项）:支出决算为2.1万元，完成预算100%。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13.卫生健康（类）行政事业单位医疗（款）公务员医疗补助（项）:支出决算为3.15万元，完成预算100%。</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14.住房保障支出（类）住房改革支出（款）住房公积金（项）:支出决算为32.82万元，完成预算100%。</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6"/>
      <w:bookmarkEnd w:id="37"/>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472.49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428.76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43.74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元，主要包括：办公费、印刷费、水费、电费、邮电费、差旅费、维修（护）费、培训费、公务接待费、劳务费、工会经费、福利费、其他交通费、其他商品和服务支出、房屋建筑物购建、专用设备购置等。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37.04</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416560</wp:posOffset>
            </wp:positionH>
            <wp:positionV relativeFrom="paragraph">
              <wp:posOffset>342265</wp:posOffset>
            </wp:positionV>
            <wp:extent cx="4403725" cy="2552065"/>
            <wp:effectExtent l="38735" t="18415" r="53340" b="58420"/>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0.34万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37.04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 w:eastAsia="仿宋_GB2312" w:cs="仿宋"/>
          <w:color w:val="000000"/>
          <w:sz w:val="32"/>
          <w:szCs w:val="32"/>
          <w:lang w:val="en-US" w:eastAsia="zh-CN"/>
        </w:rPr>
        <w:t>2024年来访单位公务接待减少</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31</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万元，具体内容包括：南充调研督导、省市下沉督导、天府新区调研。</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218"/>
      <w:bookmarkStart w:id="43"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一致。</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4" w:name="_Toc15377219"/>
      <w:bookmarkStart w:id="45"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一致。</w:t>
      </w:r>
    </w:p>
    <w:p>
      <w:pPr>
        <w:pStyle w:val="2"/>
        <w:rPr>
          <w:rFonts w:hint="eastAsia"/>
          <w:lang w:val="en-US" w:eastAsia="zh-CN"/>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6" w:name="_Toc15377221"/>
      <w:bookmarkStart w:id="47"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中共乐山市市中区委政法委员会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43.74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2.88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2024年人员减少，办公开支减少。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中共乐山市市中区委政法委员会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lang w:val="en-US" w:eastAsia="zh-CN"/>
        </w:rPr>
        <w:t>20.28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5.28</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15</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hAnsi="仿宋" w:eastAsia="仿宋_GB2312" w:cs="仿宋"/>
          <w:bCs/>
          <w:color w:val="000000"/>
          <w:sz w:val="32"/>
          <w:szCs w:val="32"/>
          <w:lang w:val="en-US" w:eastAsia="zh-CN"/>
        </w:rPr>
        <w:t>2024年采购综治视联网建设设备、关爱中心建设</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中共乐山市市中区委政法委员会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乐山市市中区委政法委员会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在2024年度预算编制阶段，组织对区综治中心日常工作运转</w:t>
      </w:r>
      <w:r>
        <w:rPr>
          <w:rFonts w:hint="eastAsia" w:eastAsia="仿宋_GB2312" w:cs="仿宋_GB2312"/>
          <w:color w:val="auto"/>
          <w:kern w:val="2"/>
          <w:sz w:val="32"/>
          <w:szCs w:val="32"/>
          <w:highlight w:val="none"/>
          <w:lang w:val="en-US" w:eastAsia="zh-CN" w:bidi="ar-SA"/>
        </w:rPr>
        <w:t>、市中区镇（街道）综治中心综治视联网系统建设项目、改造区关爱中心多功能活动室和反邪教警示教育基地（2024）、乐山市市中区网格化服务管理信息系统采购、禁毒奖励工作经费、见义勇为专项资金、农村网格员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乐山市市中区委政法委员会</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区委政法委</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99.6</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宋体" w:eastAsia="仿宋_GB2312" w:cs="宋体"/>
          <w:color w:val="000000"/>
          <w:kern w:val="0"/>
          <w:sz w:val="32"/>
          <w:szCs w:val="32"/>
          <w:shd w:val="clear" w:color="auto" w:fill="FFFFFF"/>
          <w:lang w:val="en-US" w:eastAsia="zh-CN"/>
        </w:rPr>
        <w:t>202</w:t>
      </w:r>
      <w:r>
        <w:rPr>
          <w:rFonts w:hint="eastAsia" w:ascii="仿宋_GB2312" w:hAnsi="宋体"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en-US" w:eastAsia="zh-CN"/>
        </w:rPr>
        <w:t>年预算科学合理，项目经费使用规范，</w:t>
      </w:r>
      <w:r>
        <w:rPr>
          <w:rFonts w:hint="eastAsia" w:ascii="仿宋_GB2312" w:hAnsi="宋体" w:eastAsia="仿宋_GB2312" w:cs="宋体"/>
          <w:color w:val="000000"/>
          <w:kern w:val="0"/>
          <w:sz w:val="32"/>
          <w:szCs w:val="32"/>
          <w:shd w:val="clear" w:color="auto" w:fill="FFFFFF"/>
          <w:lang w:val="zh-CN"/>
        </w:rPr>
        <w:t>支出绩效总体良好，各项目标</w:t>
      </w:r>
      <w:r>
        <w:rPr>
          <w:rFonts w:hint="eastAsia" w:ascii="仿宋_GB2312" w:hAnsi="宋体" w:eastAsia="仿宋_GB2312" w:cs="宋体"/>
          <w:color w:val="000000"/>
          <w:kern w:val="0"/>
          <w:sz w:val="32"/>
          <w:szCs w:val="32"/>
          <w:shd w:val="clear" w:color="auto" w:fill="FFFFFF"/>
          <w:lang w:val="en-US" w:eastAsia="zh-CN"/>
        </w:rPr>
        <w:t>均按预算计划</w:t>
      </w:r>
      <w:r>
        <w:rPr>
          <w:rFonts w:hint="eastAsia" w:ascii="仿宋_GB2312" w:hAnsi="宋体" w:eastAsia="仿宋_GB2312" w:cs="宋体"/>
          <w:color w:val="000000"/>
          <w:kern w:val="0"/>
          <w:sz w:val="32"/>
          <w:szCs w:val="32"/>
          <w:shd w:val="clear" w:color="auto" w:fill="FFFFFF"/>
          <w:lang w:val="zh-CN"/>
        </w:rPr>
        <w:t>执行，</w:t>
      </w:r>
      <w:r>
        <w:rPr>
          <w:rFonts w:hint="eastAsia" w:ascii="仿宋_GB2312" w:hAnsi="宋体" w:eastAsia="仿宋_GB2312" w:cs="宋体"/>
          <w:color w:val="000000"/>
          <w:kern w:val="0"/>
          <w:sz w:val="32"/>
          <w:szCs w:val="32"/>
          <w:shd w:val="clear" w:color="auto" w:fill="FFFFFF"/>
          <w:lang w:val="en-US" w:eastAsia="zh-CN"/>
        </w:rPr>
        <w:t>较好地保障了机关职能运转，收到了</w:t>
      </w:r>
      <w:r>
        <w:rPr>
          <w:rFonts w:hint="eastAsia" w:ascii="仿宋_GB2312" w:hAnsi="宋体" w:eastAsia="仿宋_GB2312" w:cs="宋体"/>
          <w:color w:val="000000"/>
          <w:kern w:val="0"/>
          <w:sz w:val="32"/>
          <w:szCs w:val="32"/>
          <w:shd w:val="clear" w:color="auto" w:fill="FFFFFF"/>
          <w:lang w:val="zh-CN"/>
        </w:rPr>
        <w:t>良好的</w:t>
      </w:r>
      <w:r>
        <w:rPr>
          <w:rFonts w:hint="eastAsia" w:ascii="仿宋_GB2312" w:hAnsi="宋体" w:eastAsia="仿宋_GB2312" w:cs="宋体"/>
          <w:color w:val="000000"/>
          <w:kern w:val="0"/>
          <w:sz w:val="32"/>
          <w:szCs w:val="32"/>
          <w:shd w:val="clear" w:color="auto" w:fill="FFFFFF"/>
          <w:lang w:val="en-US" w:eastAsia="zh-CN"/>
        </w:rPr>
        <w:t>社会效果</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ascii="仿宋_GB2312" w:hAnsi="Calibri" w:eastAsia="仿宋_GB2312" w:cs="仿宋"/>
          <w:color w:val="000000" w:themeColor="text1"/>
          <w:sz w:val="32"/>
          <w:szCs w:val="32"/>
          <w14:textFill>
            <w14:solidFill>
              <w14:schemeClr w14:val="tx1"/>
            </w14:solidFill>
          </w14:textFill>
        </w:rPr>
      </w:pPr>
      <w:r>
        <w:rPr>
          <w:rFonts w:ascii="仿宋_GB2312" w:hAnsi="Calibri" w:eastAsia="仿宋_GB2312" w:cs="仿宋"/>
          <w:color w:val="000000" w:themeColor="text1"/>
          <w:sz w:val="32"/>
          <w:szCs w:val="32"/>
          <w14:textFill>
            <w14:solidFill>
              <w14:schemeClr w14:val="tx1"/>
            </w14:solidFill>
          </w14:textFill>
        </w:rPr>
        <w:t>9.</w:t>
      </w:r>
      <w:r>
        <w:rPr>
          <w:rFonts w:hint="eastAsia" w:ascii="仿宋_GB2312" w:hAnsi="Calibri" w:eastAsia="仿宋_GB2312" w:cs="仿宋"/>
          <w:color w:val="000000" w:themeColor="text1"/>
          <w:sz w:val="32"/>
          <w:szCs w:val="32"/>
          <w14:textFill>
            <w14:solidFill>
              <w14:schemeClr w14:val="tx1"/>
            </w14:solidFill>
          </w14:textFill>
        </w:rPr>
        <w:t>一般公共服务(类）其他共产党事务支出（款）行政运行（项）：指行政单位（包括实行公务员管理的事业单位）的基本支出。</w:t>
      </w:r>
    </w:p>
    <w:p>
      <w:pPr>
        <w:spacing w:line="600" w:lineRule="exact"/>
        <w:ind w:firstLine="640"/>
        <w:rPr>
          <w:rFonts w:ascii="仿宋_GB2312" w:hAnsi="Calibri" w:eastAsia="仿宋_GB2312" w:cs="仿宋"/>
          <w:color w:val="FF0000"/>
          <w:sz w:val="32"/>
          <w:szCs w:val="32"/>
        </w:rPr>
      </w:pPr>
      <w:r>
        <w:rPr>
          <w:rFonts w:ascii="仿宋_GB2312" w:hAnsi="Calibri" w:eastAsia="仿宋_GB2312" w:cs="仿宋"/>
          <w:color w:val="000000" w:themeColor="text1"/>
          <w:sz w:val="32"/>
          <w:szCs w:val="32"/>
          <w14:textFill>
            <w14:solidFill>
              <w14:schemeClr w14:val="tx1"/>
            </w14:solidFill>
          </w14:textFill>
        </w:rPr>
        <w:t>10.</w:t>
      </w:r>
      <w:r>
        <w:rPr>
          <w:rFonts w:hint="eastAsia" w:ascii="仿宋_GB2312" w:hAnsi="Calibri" w:eastAsia="仿宋_GB2312" w:cs="仿宋"/>
          <w:color w:val="000000" w:themeColor="text1"/>
          <w:sz w:val="32"/>
          <w:szCs w:val="32"/>
          <w14:textFill>
            <w14:solidFill>
              <w14:schemeClr w14:val="tx1"/>
            </w14:solidFill>
          </w14:textFill>
        </w:rPr>
        <w:t>一般公共服务（类）其他共产党事务支出（款）一般行政管理事务（项）：指行政单位（包括实行公务员管理的事业单位）的项目支出。</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.一般公共服务（类）</w:t>
      </w:r>
      <w:r>
        <w:rPr>
          <w:rFonts w:hint="eastAsia" w:ascii="仿宋_GB2312" w:hAnsi="Calibri" w:eastAsia="仿宋_GB2312" w:cs="仿宋"/>
          <w:color w:val="000000" w:themeColor="text1"/>
          <w:sz w:val="32"/>
          <w:szCs w:val="32"/>
          <w14:textFill>
            <w14:solidFill>
              <w14:schemeClr w14:val="tx1"/>
            </w14:solidFill>
          </w14:textFill>
        </w:rPr>
        <w:t>其他共产党事务支出</w:t>
      </w:r>
      <w:r>
        <w:rPr>
          <w:rFonts w:hint="eastAsia" w:ascii="仿宋_GB2312" w:hAnsi="Calibri" w:eastAsia="仿宋_GB2312" w:cs="仿宋"/>
          <w:kern w:val="0"/>
          <w:sz w:val="32"/>
          <w:szCs w:val="32"/>
        </w:rPr>
        <w:t>（款）事业运行（项）: 反映事业单位的基本支出。</w:t>
      </w:r>
    </w:p>
    <w:p>
      <w:pPr>
        <w:spacing w:line="600" w:lineRule="exact"/>
        <w:ind w:firstLine="64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.一般公共服务（类）</w:t>
      </w:r>
      <w:r>
        <w:rPr>
          <w:rFonts w:hint="eastAsia" w:ascii="仿宋_GB2312" w:hAnsi="Calibri" w:eastAsia="仿宋_GB2312" w:cs="仿宋"/>
          <w:color w:val="000000" w:themeColor="text1"/>
          <w:sz w:val="32"/>
          <w:szCs w:val="32"/>
          <w14:textFill>
            <w14:solidFill>
              <w14:schemeClr w14:val="tx1"/>
            </w14:solidFill>
          </w14:textFill>
        </w:rPr>
        <w:t>信访事务</w:t>
      </w:r>
      <w:r>
        <w:rPr>
          <w:rFonts w:hint="eastAsia" w:ascii="仿宋_GB2312" w:hAnsi="Calibri" w:eastAsia="仿宋_GB2312" w:cs="仿宋"/>
          <w:kern w:val="0"/>
          <w:sz w:val="32"/>
          <w:szCs w:val="32"/>
        </w:rPr>
        <w:t>（款）一般行政管理事务（项）: 反映</w:t>
      </w:r>
      <w:r>
        <w:rPr>
          <w:rFonts w:hint="eastAsia" w:ascii="仿宋_GB2312" w:hAnsi="Calibri" w:eastAsia="仿宋_GB2312" w:cs="仿宋"/>
          <w:kern w:val="0"/>
          <w:sz w:val="32"/>
          <w:szCs w:val="32"/>
          <w:lang w:val="en-US" w:eastAsia="zh-CN"/>
        </w:rPr>
        <w:t>信访事务</w:t>
      </w:r>
      <w:r>
        <w:rPr>
          <w:rFonts w:hint="eastAsia" w:ascii="仿宋_GB2312" w:hAnsi="Calibri" w:eastAsia="仿宋_GB2312" w:cs="仿宋"/>
          <w:color w:val="000000" w:themeColor="text1"/>
          <w:sz w:val="32"/>
          <w:szCs w:val="32"/>
          <w14:textFill>
            <w14:solidFill>
              <w14:schemeClr w14:val="tx1"/>
            </w14:solidFill>
          </w14:textFill>
        </w:rPr>
        <w:t>行政单位（包括实行公务员管理的事业单位）</w:t>
      </w:r>
      <w:r>
        <w:rPr>
          <w:rFonts w:hint="eastAsia" w:ascii="仿宋_GB2312" w:hAnsi="Calibri" w:eastAsia="仿宋_GB2312" w:cs="仿宋"/>
          <w:color w:val="000000" w:themeColor="text1"/>
          <w:sz w:val="32"/>
          <w:szCs w:val="32"/>
          <w:lang w:val="en-US" w:eastAsia="zh-CN"/>
          <w14:textFill>
            <w14:solidFill>
              <w14:schemeClr w14:val="tx1"/>
            </w14:solidFill>
          </w14:textFill>
        </w:rPr>
        <w:t>未单独设置项级科目其他</w:t>
      </w:r>
      <w:r>
        <w:rPr>
          <w:rFonts w:hint="eastAsia" w:ascii="仿宋_GB2312" w:hAnsi="Calibri" w:eastAsia="仿宋_GB2312" w:cs="仿宋"/>
          <w:color w:val="000000" w:themeColor="text1"/>
          <w:sz w:val="32"/>
          <w:szCs w:val="32"/>
          <w14:textFill>
            <w14:solidFill>
              <w14:schemeClr w14:val="tx1"/>
            </w14:solidFill>
          </w14:textFill>
        </w:rPr>
        <w:t>的项目支出</w:t>
      </w:r>
      <w:r>
        <w:rPr>
          <w:rFonts w:hint="eastAsia" w:ascii="仿宋_GB2312" w:hAnsi="Calibri" w:eastAsia="仿宋_GB2312" w:cs="仿宋"/>
          <w:kern w:val="0"/>
          <w:sz w:val="32"/>
          <w:szCs w:val="32"/>
        </w:rPr>
        <w:t>。</w:t>
      </w:r>
    </w:p>
    <w:p>
      <w:pPr>
        <w:spacing w:line="600" w:lineRule="exact"/>
        <w:ind w:firstLine="64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.公共安全支出（类）</w:t>
      </w:r>
      <w:r>
        <w:rPr>
          <w:rFonts w:hint="eastAsia" w:ascii="仿宋_GB2312" w:hAnsi="Calibri" w:eastAsia="仿宋_GB2312" w:cs="仿宋"/>
          <w:color w:val="000000" w:themeColor="text1"/>
          <w:sz w:val="32"/>
          <w:szCs w:val="32"/>
          <w:lang w:val="en-US" w:eastAsia="zh-CN"/>
          <w14:textFill>
            <w14:solidFill>
              <w14:schemeClr w14:val="tx1"/>
            </w14:solidFill>
          </w14:textFill>
        </w:rPr>
        <w:t>公安</w:t>
      </w:r>
      <w:r>
        <w:rPr>
          <w:rFonts w:hint="eastAsia" w:ascii="仿宋_GB2312" w:hAnsi="Calibri" w:eastAsia="仿宋_GB2312" w:cs="仿宋"/>
          <w:kern w:val="0"/>
          <w:sz w:val="32"/>
          <w:szCs w:val="32"/>
        </w:rPr>
        <w:t>（款）其他公安支出（项）: 反映</w:t>
      </w:r>
      <w:r>
        <w:rPr>
          <w:rFonts w:hint="eastAsia" w:ascii="仿宋_GB2312" w:hAnsi="Calibri" w:eastAsia="仿宋_GB2312" w:cs="仿宋"/>
          <w:kern w:val="0"/>
          <w:sz w:val="32"/>
          <w:szCs w:val="32"/>
          <w:lang w:val="en-US" w:eastAsia="zh-CN"/>
        </w:rPr>
        <w:t>其他用于公安事务</w:t>
      </w:r>
      <w:r>
        <w:rPr>
          <w:rFonts w:hint="eastAsia" w:ascii="仿宋_GB2312" w:hAnsi="Calibri" w:eastAsia="仿宋_GB2312" w:cs="仿宋"/>
          <w:color w:val="000000" w:themeColor="text1"/>
          <w:sz w:val="32"/>
          <w:szCs w:val="32"/>
          <w:lang w:val="en-US" w:eastAsia="zh-CN"/>
          <w14:textFill>
            <w14:solidFill>
              <w14:schemeClr w14:val="tx1"/>
            </w14:solidFill>
          </w14:textFill>
        </w:rPr>
        <w:t>方面的</w:t>
      </w:r>
      <w:r>
        <w:rPr>
          <w:rFonts w:hint="eastAsia" w:ascii="仿宋_GB2312" w:hAnsi="Calibri" w:eastAsia="仿宋_GB2312" w:cs="仿宋"/>
          <w:color w:val="000000" w:themeColor="text1"/>
          <w:sz w:val="32"/>
          <w:szCs w:val="32"/>
          <w14:textFill>
            <w14:solidFill>
              <w14:schemeClr w14:val="tx1"/>
            </w14:solidFill>
          </w14:textFill>
        </w:rPr>
        <w:t>支出</w:t>
      </w:r>
      <w:r>
        <w:rPr>
          <w:rFonts w:hint="eastAsia" w:ascii="仿宋_GB2312" w:hAnsi="Calibri" w:eastAsia="仿宋_GB2312" w:cs="仿宋"/>
          <w:kern w:val="0"/>
          <w:sz w:val="32"/>
          <w:szCs w:val="32"/>
        </w:rPr>
        <w:t>。</w:t>
      </w:r>
    </w:p>
    <w:p>
      <w:pPr>
        <w:spacing w:line="600" w:lineRule="exact"/>
        <w:ind w:firstLine="640"/>
        <w:rPr>
          <w:rFonts w:ascii="仿宋_GB2312" w:hAnsi="Calibri" w:eastAsia="仿宋_GB2312" w:cs="仿宋"/>
          <w:color w:val="000000" w:themeColor="text1"/>
          <w:sz w:val="32"/>
          <w:szCs w:val="32"/>
          <w14:textFill>
            <w14:solidFill>
              <w14:schemeClr w14:val="tx1"/>
            </w14:solidFill>
          </w14:textFill>
        </w:rPr>
      </w:pPr>
      <w:r>
        <w:rPr>
          <w:rFonts w:ascii="仿宋_GB2312" w:hAnsi="Calibri" w:eastAsia="仿宋_GB2312" w:cs="仿宋"/>
          <w:color w:val="000000" w:themeColor="text1"/>
          <w:sz w:val="32"/>
          <w:szCs w:val="32"/>
          <w14:textFill>
            <w14:solidFill>
              <w14:schemeClr w14:val="tx1"/>
            </w14:solidFill>
          </w14:textFill>
        </w:rPr>
        <w:t>1</w:t>
      </w:r>
      <w:r>
        <w:rPr>
          <w:rFonts w:hint="eastAsia" w:ascii="仿宋_GB2312" w:hAnsi="Calibri" w:eastAsia="仿宋_GB2312" w:cs="仿宋"/>
          <w:color w:val="000000" w:themeColor="text1"/>
          <w:sz w:val="32"/>
          <w:szCs w:val="32"/>
          <w:lang w:val="en-US" w:eastAsia="zh-CN"/>
          <w14:textFill>
            <w14:solidFill>
              <w14:schemeClr w14:val="tx1"/>
            </w14:solidFill>
          </w14:textFill>
        </w:rPr>
        <w:t>4</w:t>
      </w:r>
      <w:r>
        <w:rPr>
          <w:rFonts w:ascii="仿宋_GB2312" w:hAnsi="Calibri" w:eastAsia="仿宋_GB2312" w:cs="仿宋"/>
          <w:color w:val="000000" w:themeColor="text1"/>
          <w:sz w:val="32"/>
          <w:szCs w:val="32"/>
          <w14:textFill>
            <w14:solidFill>
              <w14:schemeClr w14:val="tx1"/>
            </w14:solidFill>
          </w14:textFill>
        </w:rPr>
        <w:t>.</w:t>
      </w:r>
      <w:r>
        <w:rPr>
          <w:rFonts w:hint="eastAsia" w:ascii="仿宋_GB2312" w:hAnsi="Calibri" w:eastAsia="仿宋_GB2312" w:cs="仿宋"/>
          <w:color w:val="000000" w:themeColor="text1"/>
          <w:sz w:val="32"/>
          <w:szCs w:val="32"/>
          <w14:textFill>
            <w14:solidFill>
              <w14:schemeClr w14:val="tx1"/>
            </w14:solidFill>
          </w14:textFill>
        </w:rPr>
        <w:t>社会保障和就业支出（类）行政事业单位养老支出（款）</w:t>
      </w:r>
      <w:r>
        <w:rPr>
          <w:rFonts w:ascii="仿宋_GB2312" w:hAnsi="Calibri" w:eastAsia="仿宋_GB2312" w:cs="仿宋"/>
          <w:color w:val="000000" w:themeColor="text1"/>
          <w:sz w:val="32"/>
          <w:szCs w:val="32"/>
          <w14:textFill>
            <w14:solidFill>
              <w14:schemeClr w14:val="tx1"/>
            </w14:solidFill>
          </w14:textFill>
        </w:rPr>
        <w:t xml:space="preserve"> </w:t>
      </w:r>
      <w:r>
        <w:rPr>
          <w:rFonts w:hint="eastAsia" w:ascii="仿宋_GB2312" w:hAnsi="Calibri" w:eastAsia="仿宋_GB2312" w:cs="仿宋"/>
          <w:color w:val="000000" w:themeColor="text1"/>
          <w:sz w:val="32"/>
          <w:szCs w:val="32"/>
          <w14:textFill>
            <w14:solidFill>
              <w14:schemeClr w14:val="tx1"/>
            </w14:solidFill>
          </w14:textFill>
        </w:rPr>
        <w:t>机关事业单位基本养老保险缴费支出（项）指机关事业单位实施养老保险制度由单位缴纳的基本养老保险费支出。</w:t>
      </w:r>
    </w:p>
    <w:p>
      <w:pPr>
        <w:spacing w:line="600" w:lineRule="exact"/>
        <w:ind w:firstLine="640"/>
        <w:rPr>
          <w:rFonts w:ascii="仿宋_GB2312" w:hAnsi="Calibri" w:eastAsia="仿宋_GB2312" w:cs="仿宋"/>
          <w:sz w:val="32"/>
          <w:szCs w:val="32"/>
        </w:rPr>
      </w:pPr>
      <w:r>
        <w:rPr>
          <w:rFonts w:ascii="仿宋_GB2312" w:hAnsi="Calibri" w:eastAsia="仿宋_GB2312" w:cs="仿宋"/>
          <w:color w:val="000000" w:themeColor="text1"/>
          <w:sz w:val="32"/>
          <w:szCs w:val="32"/>
          <w14:textFill>
            <w14:solidFill>
              <w14:schemeClr w14:val="tx1"/>
            </w14:solidFill>
          </w14:textFill>
        </w:rPr>
        <w:t>1</w:t>
      </w:r>
      <w:r>
        <w:rPr>
          <w:rFonts w:hint="eastAsia" w:ascii="仿宋_GB2312" w:hAnsi="Calibri" w:eastAsia="仿宋_GB2312" w:cs="仿宋"/>
          <w:color w:val="000000" w:themeColor="text1"/>
          <w:sz w:val="32"/>
          <w:szCs w:val="32"/>
          <w:lang w:val="en-US" w:eastAsia="zh-CN"/>
          <w14:textFill>
            <w14:solidFill>
              <w14:schemeClr w14:val="tx1"/>
            </w14:solidFill>
          </w14:textFill>
        </w:rPr>
        <w:t>5</w:t>
      </w:r>
      <w:r>
        <w:rPr>
          <w:rFonts w:ascii="仿宋_GB2312" w:hAnsi="Calibri" w:eastAsia="仿宋_GB2312" w:cs="仿宋"/>
          <w:color w:val="000000" w:themeColor="text1"/>
          <w:sz w:val="32"/>
          <w:szCs w:val="32"/>
          <w14:textFill>
            <w14:solidFill>
              <w14:schemeClr w14:val="tx1"/>
            </w14:solidFill>
          </w14:textFill>
        </w:rPr>
        <w:t>.</w:t>
      </w:r>
      <w:r>
        <w:rPr>
          <w:rFonts w:hint="eastAsia" w:ascii="仿宋_GB2312" w:hAnsi="Calibri" w:eastAsia="仿宋_GB2312" w:cs="仿宋"/>
          <w:color w:val="000000" w:themeColor="text1"/>
          <w:sz w:val="32"/>
          <w:szCs w:val="32"/>
          <w14:textFill>
            <w14:solidFill>
              <w14:schemeClr w14:val="tx1"/>
            </w14:solidFill>
          </w14:textFill>
        </w:rPr>
        <w:t>社会保障和就业支出（类）行政事业单位养老支出（款）机关事业单位职业年金缴费支出</w:t>
      </w:r>
      <w:r>
        <w:rPr>
          <w:rFonts w:hint="eastAsia" w:ascii="仿宋_GB2312" w:hAnsi="Calibri" w:eastAsia="仿宋_GB2312" w:cs="仿宋"/>
          <w:sz w:val="32"/>
          <w:szCs w:val="32"/>
        </w:rPr>
        <w:t>（项）指</w:t>
      </w:r>
      <w:r>
        <w:rPr>
          <w:rFonts w:ascii="仿宋_GB2312" w:hAnsi="Calibri" w:eastAsia="仿宋_GB2312" w:cs="仿宋"/>
          <w:sz w:val="32"/>
          <w:szCs w:val="32"/>
        </w:rPr>
        <w:t>:</w:t>
      </w:r>
      <w:r>
        <w:rPr>
          <w:rFonts w:hint="eastAsia" w:ascii="仿宋_GB2312" w:hAnsi="Calibri" w:eastAsia="仿宋_GB2312" w:cs="仿宋"/>
          <w:sz w:val="32"/>
          <w:szCs w:val="32"/>
        </w:rPr>
        <w:t>机关事业单位实施养老保险制度由单位实际缴纳的职业年金支出。</w:t>
      </w:r>
    </w:p>
    <w:p>
      <w:pPr>
        <w:spacing w:line="600" w:lineRule="exact"/>
        <w:ind w:firstLine="640"/>
        <w:rPr>
          <w:rFonts w:ascii="仿宋_GB2312" w:hAnsi="Calibri" w:eastAsia="仿宋_GB2312" w:cs="仿宋"/>
          <w:sz w:val="32"/>
          <w:szCs w:val="32"/>
        </w:rPr>
      </w:pPr>
      <w:r>
        <w:rPr>
          <w:rFonts w:ascii="仿宋_GB2312" w:hAnsi="Calibri" w:eastAsia="仿宋_GB2312" w:cs="仿宋"/>
          <w:sz w:val="32"/>
          <w:szCs w:val="32"/>
        </w:rPr>
        <w:t>1</w:t>
      </w:r>
      <w:r>
        <w:rPr>
          <w:rFonts w:hint="eastAsia" w:ascii="仿宋_GB2312" w:hAnsi="Calibri" w:eastAsia="仿宋_GB2312" w:cs="仿宋"/>
          <w:sz w:val="32"/>
          <w:szCs w:val="32"/>
          <w:lang w:val="en-US" w:eastAsia="zh-CN"/>
        </w:rPr>
        <w:t>6</w:t>
      </w:r>
      <w:r>
        <w:rPr>
          <w:rFonts w:ascii="仿宋_GB2312" w:hAnsi="Calibri" w:eastAsia="仿宋_GB2312" w:cs="仿宋"/>
          <w:sz w:val="32"/>
          <w:szCs w:val="32"/>
        </w:rPr>
        <w:t>.</w:t>
      </w:r>
      <w:r>
        <w:rPr>
          <w:rFonts w:hint="eastAsia" w:ascii="仿宋_GB2312" w:hAnsi="Calibri" w:eastAsia="仿宋_GB2312" w:cs="仿宋"/>
          <w:kern w:val="0"/>
          <w:sz w:val="32"/>
          <w:szCs w:val="32"/>
        </w:rPr>
        <w:t>社会保障和就业（类）行政事业单位养老支出（款）其他行政事业单位养老支出（项）: 反映其他用于行政事业单位养老方面的支出</w:t>
      </w:r>
      <w:r>
        <w:rPr>
          <w:rFonts w:hint="eastAsia" w:ascii="仿宋_GB2312" w:hAnsi="Calibri" w:eastAsia="仿宋_GB2312" w:cs="仿宋"/>
          <w:sz w:val="32"/>
          <w:szCs w:val="32"/>
        </w:rPr>
        <w:t>。</w:t>
      </w:r>
    </w:p>
    <w:p>
      <w:pPr>
        <w:spacing w:line="600" w:lineRule="exact"/>
        <w:ind w:firstLine="64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.社会保障和就业（类）其他社会保障和就业支出（款）其他社会保障和就业支出（项）: 反映其他用于社会保障和就业方面的支出。</w:t>
      </w:r>
    </w:p>
    <w:p>
      <w:pPr>
        <w:spacing w:line="600" w:lineRule="exact"/>
        <w:ind w:firstLine="640"/>
        <w:rPr>
          <w:rFonts w:ascii="仿宋_GB2312" w:hAnsi="Calibri" w:eastAsia="仿宋_GB2312" w:cs="仿宋"/>
          <w:sz w:val="32"/>
          <w:szCs w:val="32"/>
        </w:rPr>
      </w:pPr>
      <w:r>
        <w:rPr>
          <w:rFonts w:ascii="仿宋_GB2312" w:hAnsi="Calibri" w:eastAsia="仿宋_GB2312" w:cs="仿宋"/>
          <w:sz w:val="32"/>
          <w:szCs w:val="32"/>
        </w:rPr>
        <w:t>1</w:t>
      </w:r>
      <w:r>
        <w:rPr>
          <w:rFonts w:hint="eastAsia" w:ascii="仿宋_GB2312" w:hAnsi="Calibri" w:eastAsia="仿宋_GB2312" w:cs="仿宋"/>
          <w:sz w:val="32"/>
          <w:szCs w:val="32"/>
          <w:lang w:val="en-US" w:eastAsia="zh-CN"/>
        </w:rPr>
        <w:t>8</w:t>
      </w:r>
      <w:r>
        <w:rPr>
          <w:rFonts w:ascii="仿宋_GB2312" w:hAnsi="Calibri" w:eastAsia="仿宋_GB2312" w:cs="仿宋"/>
          <w:sz w:val="32"/>
          <w:szCs w:val="32"/>
        </w:rPr>
        <w:t xml:space="preserve">. </w:t>
      </w:r>
      <w:r>
        <w:rPr>
          <w:rFonts w:hint="eastAsia" w:ascii="仿宋_GB2312" w:hAnsi="Calibri" w:eastAsia="仿宋_GB2312" w:cs="仿宋"/>
          <w:sz w:val="32"/>
          <w:szCs w:val="32"/>
        </w:rPr>
        <w:t>卫生健康支出（类）公共卫生（款）其他公共卫生支出（项）</w:t>
      </w:r>
      <w:r>
        <w:rPr>
          <w:rFonts w:hint="eastAsia" w:ascii="仿宋_GB2312" w:hAnsi="Calibri" w:eastAsia="仿宋_GB2312" w:cs="仿宋"/>
          <w:sz w:val="32"/>
          <w:szCs w:val="32"/>
          <w:lang w:val="en-US" w:eastAsia="zh-CN"/>
        </w:rPr>
        <w:t>反映</w:t>
      </w:r>
      <w:r>
        <w:rPr>
          <w:rFonts w:hint="eastAsia" w:ascii="仿宋_GB2312" w:hAnsi="Calibri" w:eastAsia="仿宋_GB2312" w:cs="仿宋"/>
          <w:sz w:val="32"/>
          <w:szCs w:val="32"/>
        </w:rPr>
        <w:t>其他用于公共卫生方面的支出。</w:t>
      </w:r>
    </w:p>
    <w:p>
      <w:pPr>
        <w:pStyle w:val="2"/>
        <w:spacing w:before="108"/>
        <w:ind w:firstLine="640" w:firstLineChars="200"/>
        <w:rPr>
          <w:rFonts w:hAnsi="Calibri" w:cs="仿宋"/>
          <w:sz w:val="32"/>
          <w:szCs w:val="32"/>
        </w:rPr>
      </w:pPr>
      <w:r>
        <w:rPr>
          <w:rFonts w:hAnsi="Calibri" w:cs="仿宋"/>
          <w:sz w:val="32"/>
          <w:szCs w:val="32"/>
        </w:rPr>
        <w:t>1</w:t>
      </w:r>
      <w:r>
        <w:rPr>
          <w:rFonts w:hint="eastAsia" w:hAnsi="Calibri" w:cs="仿宋"/>
          <w:sz w:val="32"/>
          <w:szCs w:val="32"/>
          <w:lang w:val="en-US" w:eastAsia="zh-CN"/>
        </w:rPr>
        <w:t>9</w:t>
      </w:r>
      <w:r>
        <w:rPr>
          <w:rFonts w:hAnsi="Calibri" w:cs="仿宋"/>
          <w:sz w:val="32"/>
          <w:szCs w:val="32"/>
        </w:rPr>
        <w:t>.</w:t>
      </w:r>
      <w:r>
        <w:rPr>
          <w:rFonts w:hint="eastAsia" w:hAnsi="Calibri" w:cs="仿宋"/>
          <w:sz w:val="32"/>
          <w:szCs w:val="32"/>
        </w:rPr>
        <w:t>卫生健康支出（类）行政事业单位医疗（款）行政单位医疗（项）指财政部门安排的行政单位(包括实行公务员管理的事业单位)基本医疗保险缴费。</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卫生健康（类）行政事业单位医疗（款）事业单位医疗（项）:反映财政部门安排的事业单位基本医疗保险缴费经费，未参加医疗保险的行政单位的公费医疗经费，按国家规定享受离退休人员、红军老战士待遇人员的医疗经费。</w:t>
      </w:r>
    </w:p>
    <w:p>
      <w:pPr>
        <w:pStyle w:val="2"/>
        <w:spacing w:before="108"/>
        <w:ind w:firstLine="640" w:firstLineChars="200"/>
        <w:rPr>
          <w:rFonts w:hAnsi="Calibri" w:cs="仿宋"/>
          <w:sz w:val="32"/>
          <w:szCs w:val="32"/>
        </w:rPr>
      </w:pPr>
      <w:r>
        <w:rPr>
          <w:rFonts w:hint="eastAsia" w:ascii="仿宋_GB2312" w:hAnsi="Calibri" w:eastAsia="仿宋_GB2312" w:cs="仿宋"/>
          <w:kern w:val="0"/>
          <w:sz w:val="32"/>
          <w:szCs w:val="32"/>
        </w:rPr>
        <w:t>2</w:t>
      </w:r>
      <w:r>
        <w:rPr>
          <w:rFonts w:hint="eastAsia" w:hAnsi="Calibri" w:cs="仿宋"/>
          <w:kern w:val="0"/>
          <w:sz w:val="32"/>
          <w:szCs w:val="32"/>
          <w:lang w:val="en-US" w:eastAsia="zh-CN"/>
        </w:rPr>
        <w:t>1</w:t>
      </w:r>
      <w:r>
        <w:rPr>
          <w:rFonts w:hint="eastAsia" w:ascii="仿宋_GB2312" w:hAnsi="Calibri" w:eastAsia="仿宋_GB2312" w:cs="仿宋"/>
          <w:kern w:val="0"/>
          <w:sz w:val="32"/>
          <w:szCs w:val="32"/>
        </w:rPr>
        <w:t>.卫生健康（类）行政事业单位医疗（款）公务员医疗补助（项）:反映财政部门安排的公务员医疗补助经费</w:t>
      </w:r>
      <w:r>
        <w:rPr>
          <w:rFonts w:hint="eastAsia" w:hAnsi="Calibri" w:cs="仿宋"/>
          <w:sz w:val="32"/>
          <w:szCs w:val="32"/>
        </w:rPr>
        <w:t>。</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住房保障支出（类）住房改革支出（款）住房公积金（项）指行政事业单位按人力资源和社会保障部、财政部规定的基本工资和津贴补贴以及按规定比例为职工缴纳的住房公积金。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tbl>
      <w:tblPr>
        <w:tblStyle w:val="15"/>
        <w:tblW w:w="52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6"/>
        <w:gridCol w:w="919"/>
        <w:gridCol w:w="1649"/>
        <w:gridCol w:w="1256"/>
        <w:gridCol w:w="390"/>
        <w:gridCol w:w="644"/>
        <w:gridCol w:w="421"/>
        <w:gridCol w:w="839"/>
        <w:gridCol w:w="495"/>
        <w:gridCol w:w="55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21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区综治中心日常工作运转2024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47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47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47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7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7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深入贯彻中央、省、市、区决策部署，保障区综治中心日常工作正常运转。</w:t>
            </w:r>
          </w:p>
        </w:tc>
        <w:tc>
          <w:tcPr>
            <w:tcW w:w="17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2024年以来，区综治中心有序推动各项工作,完成了各项工作任务。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21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2024年以来，区综治中心有序推动各项工作,完成了各项工作任务。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9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21</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31.39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31.39</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根据工作实际产生费用。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21</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31.39</w:t>
            </w: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31.39</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9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网格长、专兼职网格员培训</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专职网格员公开招聘</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中心办公保障率</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网格宣传及时率</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网格管理制度健全率</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优良中差</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提升基层治理效能</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全科网格制度建设情况</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优良中差</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服务群众满意度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9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中心日常工作运转费用</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352144</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项目自评分为100分，网格任务指标完成率已连续多月均为100%，“雪亮工程”在线率、出图率、经纬度准确率在全市排名靠前。3月、7月向社会公开招聘社区专职网格员，两次招聘涉及辖区4个街道15个岗位，共计206名应聘人员在指定现场提交了报名材料。网格员全覆盖走访服务群众3次，办理网格事件7.15万件，办理民生实事2.1万件，核查心连心服务热线群众诉求0.28万件，关心关爱独居老人、留守儿童、残障人士、特困人员等特殊群体0.8万人次，各类安全隐患、矛盾纠纷、民生事项、群众关切及时得到处理、化解和回应，群众获得感、幸福感、安全感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3"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暂未发现问题，暂无意见或建议。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65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项目负责人：陈财富</w:t>
            </w:r>
          </w:p>
        </w:tc>
        <w:tc>
          <w:tcPr>
            <w:tcW w:w="234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tbl>
      <w:tblPr>
        <w:tblStyle w:val="15"/>
        <w:tblW w:w="52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7"/>
        <w:gridCol w:w="982"/>
        <w:gridCol w:w="930"/>
        <w:gridCol w:w="1981"/>
        <w:gridCol w:w="651"/>
        <w:gridCol w:w="615"/>
        <w:gridCol w:w="523"/>
        <w:gridCol w:w="585"/>
        <w:gridCol w:w="569"/>
        <w:gridCol w:w="49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21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市中区镇（街道）综治中心综治视联网系统建设项目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66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332"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66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54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6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综治视联网系统是综治中心实现指挥调度、风险研判、矛盾化解等功能的重要基础支撑。根据中央、省委、市委政法工作会议精神，现需在16个镇（街道）综治中心开展综治视联网系统建设，确保顺利通过四川省党务目标考评。市中区16个镇（街道）综治中心综治视联网系统共需高清视频通信终端16套，最高支持1080P30分辨率，支持录制、直播、一键入会（包括：1.会见高清一体化终端产品1台（锐势3C Pro);2.遥控器1个；3.线材若干）单价13200.00元，合计211200.00元。</w:t>
            </w:r>
          </w:p>
        </w:tc>
        <w:tc>
          <w:tcPr>
            <w:tcW w:w="154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市中区16个镇（街道）综治中已安装完成高清视频通信终端16套，实现指挥调度、风险研判、矛盾化解等功能。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21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市中区16个镇（街道）综治中已安装完成高清视频通信终端16套，实现指挥调度、风险研判、矛盾化解等功能，取得预期效果。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21</w:t>
            </w:r>
            <w:r>
              <w:rPr>
                <w:rFonts w:hint="eastAsia" w:ascii="宋体" w:hAnsi="宋体" w:eastAsia="宋体" w:cs="宋体"/>
                <w:i w:val="0"/>
                <w:color w:val="000000"/>
                <w:kern w:val="0"/>
                <w:sz w:val="18"/>
                <w:szCs w:val="18"/>
                <w:u w:val="none"/>
                <w:lang w:val="en-US" w:eastAsia="zh-CN" w:bidi="ar"/>
              </w:rPr>
              <w:t>.12</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.28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5.28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调整预算支付时间。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21</w:t>
            </w:r>
            <w:r>
              <w:rPr>
                <w:rFonts w:hint="eastAsia" w:ascii="宋体" w:hAnsi="宋体" w:eastAsia="宋体" w:cs="宋体"/>
                <w:i w:val="0"/>
                <w:color w:val="000000"/>
                <w:kern w:val="0"/>
                <w:sz w:val="18"/>
                <w:szCs w:val="18"/>
                <w:u w:val="none"/>
                <w:lang w:val="en-US" w:eastAsia="zh-CN" w:bidi="ar"/>
              </w:rPr>
              <w:t>.12</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.28</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5.28</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安装及时率</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系统运转正常率</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16个镇（街道）高清视频通信终端数量</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推动各级综治中心规范实战运行</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实现指挥调度、风险研判、矛盾化解等功能</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1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采购经费控制</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211200</w:t>
            </w:r>
          </w:p>
        </w:tc>
        <w:tc>
          <w:tcPr>
            <w:tcW w:w="2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79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6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自评得分100分，市中区16个镇（街道）综治中已安装完成高清视频通信终端16套，有效实现了指挥调度、风险研判、矛盾化解等功能，为区委、区政府提供了重要基础支撑。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6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6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暂未发现问题，暂无意见或建议。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281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项目负责人：陈财富</w:t>
            </w:r>
          </w:p>
        </w:tc>
        <w:tc>
          <w:tcPr>
            <w:tcW w:w="2187"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5"/>
        <w:tblW w:w="52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2"/>
        <w:gridCol w:w="1162"/>
        <w:gridCol w:w="961"/>
        <w:gridCol w:w="1555"/>
        <w:gridCol w:w="782"/>
        <w:gridCol w:w="625"/>
        <w:gridCol w:w="850"/>
        <w:gridCol w:w="408"/>
        <w:gridCol w:w="611"/>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05"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编外人员经费（2024年2名关爱中心聘用人员）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2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481"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2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7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2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      根据《乐山市市中区财政局关于区委政法委聘用人员的意见》（乐中财政行〔2022〕7号）和《乐山市市中区人力资源和社会保障局关于〈中共乐山市市中区委政法委员会关于聘用人员加强区关爱中心日常工作的申请报告〉的回复》，区委政法委聘用2名关爱中心劳务派遣人员，所需人员经费纳入预算。具体情况如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1.人员工资：1970元/月/人；</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2.劳务派遣管理费：50元/月/人；</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3.社会保险单位部分：1108元/月/人。</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共计：75072元。</w:t>
            </w:r>
          </w:p>
        </w:tc>
        <w:tc>
          <w:tcPr>
            <w:tcW w:w="187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通过招聘2名安保人员，完成关爱中心安保、维护关爱中心基础设施，确保办公区域安全稳定。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05"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严格招聘程序，2名安保人员认真完成本职工作，确保了关爱中心平稳运行。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.51</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.44</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4.44</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原定招聘人员为未退休人员，后因工作原因所招聘人员属于退休人员，不产生社会保险部分。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.51</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4.44</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4.44</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聘用劳务派遣人员保险保障人数</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聘用劳务派遣人员工资发放准确率</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保险缴纳及时率</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聘用劳务派遣人员工资发放人数</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聘用劳务派遣人员保险缴纳准确率</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保障关爱中心财产安全和运转安全</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确保国家政治安全稳定</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干部职工与教转人员满意度</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聘用劳务派遣人员经费保障</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75072</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604"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65"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经结合自评，说明项目自评总100分，2名安保人员认真完成本职工作，确保了关爱中心平稳运行。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65"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经结合自评，暂未发现问题。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65"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经项目自评，暂未发现问题，暂无意见或建议。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76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项目负责人：邹艳辉</w:t>
            </w:r>
          </w:p>
        </w:tc>
        <w:tc>
          <w:tcPr>
            <w:tcW w:w="223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lang w:val="zh-CN"/>
        </w:rPr>
      </w:pPr>
    </w:p>
    <w:tbl>
      <w:tblPr>
        <w:tblStyle w:val="15"/>
        <w:tblpPr w:leftFromText="180" w:rightFromText="180" w:vertAnchor="text" w:horzAnchor="page" w:tblpX="1667" w:tblpY="-168"/>
        <w:tblOverlap w:val="never"/>
        <w:tblW w:w="53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3"/>
        <w:gridCol w:w="865"/>
        <w:gridCol w:w="1173"/>
        <w:gridCol w:w="2035"/>
        <w:gridCol w:w="436"/>
        <w:gridCol w:w="713"/>
        <w:gridCol w:w="609"/>
        <w:gridCol w:w="802"/>
        <w:gridCol w:w="391"/>
        <w:gridCol w:w="452"/>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9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改造区关爱中心多功能活动室和反邪教警示教育基地（2024）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80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453"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80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0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将原法制教育基地门卫室和旱厕改造为区关爱中心多功能活动室和反邪教警示教育基地，以满足反邪教警示教育、教育转化、会议培训等多项功能，根据项目建设测算共需1300000元（其中，市财政拨款500000元，区财政拨款800000元），其中，工程建设施工等投入资金900000元，物资采购等投入资金400000元，提升全区反邪教工作水平。</w:t>
            </w:r>
          </w:p>
        </w:tc>
        <w:tc>
          <w:tcPr>
            <w:tcW w:w="138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已对照年初预算确定的目标任务，完成工程建设部分，兑现工程款150000元。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9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建设关爱中心多功能室和反邪教警示教育基地，发挥警示教育、干部培训、教育转化等职能。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w:t>
            </w:r>
            <w:r>
              <w:rPr>
                <w:rFonts w:hint="eastAsia" w:ascii="宋体" w:hAnsi="宋体" w:eastAsia="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万元）</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1"/>
                <w:szCs w:val="11"/>
                <w:u w:val="none"/>
              </w:rPr>
            </w:pPr>
            <w:r>
              <w:rPr>
                <w:rFonts w:ascii="宋体" w:hAnsi="宋体" w:eastAsia="宋体" w:cs="宋体"/>
                <w:i w:val="0"/>
                <w:color w:val="000000"/>
                <w:kern w:val="0"/>
                <w:sz w:val="11"/>
                <w:szCs w:val="11"/>
                <w:u w:val="none"/>
                <w:lang w:val="en-US" w:eastAsia="zh-CN" w:bidi="ar"/>
              </w:rPr>
              <w:t>其中：财政资金</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1"/>
                <w:szCs w:val="11"/>
                <w:u w:val="none"/>
              </w:rPr>
            </w:pPr>
            <w:r>
              <w:rPr>
                <w:rFonts w:ascii="宋体" w:hAnsi="宋体" w:eastAsia="宋体" w:cs="宋体"/>
                <w:i w:val="0"/>
                <w:color w:val="000000"/>
                <w:kern w:val="0"/>
                <w:sz w:val="15"/>
                <w:szCs w:val="15"/>
                <w:u w:val="none"/>
                <w:lang w:val="en-US" w:eastAsia="zh-CN" w:bidi="ar"/>
              </w:rPr>
              <w:t>财政专户管理资金</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建成会议室和学员室个数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改造工程完成及时率</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完成全年市下教转任务</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培训合格率</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满足反邪教警示教育宣传</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可持续发展指标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保障关爱中心正常运转</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可持续发展指标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持续推进平安市中区建设</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确保国家政治安全稳定</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帮助邪教人员回归社会</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帮助</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1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改造工程费用控制数</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07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经结合自评，说明项目自评总分100分。项目实施后，组织开展了教转干部培训和反邪教警示教育宣传，取得了预期效果。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经结合自评，暂无问题。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68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经综合自评，暂无问题，暂无改进意见或建议。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86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项目负责人：邹艳辉</w:t>
            </w:r>
          </w:p>
        </w:tc>
        <w:tc>
          <w:tcPr>
            <w:tcW w:w="213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tbl>
      <w:tblPr>
        <w:tblStyle w:val="15"/>
        <w:tblpPr w:leftFromText="180" w:rightFromText="180" w:vertAnchor="text" w:horzAnchor="page" w:tblpX="1676" w:tblpY="1164"/>
        <w:tblOverlap w:val="never"/>
        <w:tblW w:w="53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6"/>
        <w:gridCol w:w="930"/>
        <w:gridCol w:w="1219"/>
        <w:gridCol w:w="2093"/>
        <w:gridCol w:w="666"/>
        <w:gridCol w:w="664"/>
        <w:gridCol w:w="748"/>
        <w:gridCol w:w="588"/>
        <w:gridCol w:w="518"/>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乐山市市中区网格化服务管理信息系统采购（2022.09-2023.11）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6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区委政法委员会</w:t>
            </w:r>
          </w:p>
        </w:tc>
        <w:tc>
          <w:tcPr>
            <w:tcW w:w="421"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13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6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5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根据《关于全面推进以信息化为支撑的网格化服务管理工作的实施方案》（乐中社综〔2017〕3号）要求，保证网格服务管理工作规范化建设和网格化服务管理中心基本运行。具体情况如下：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1.网格员手持终端机网络服务费用分为2022年9月到2023年11月：</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其中，2022年9月为683个手持终端机络服务费和账号费用×99元/月×1个月=67617元；2022年10月至2023年11月为477个手持终端机络服务费和账号费用×99元/月×14个月=661122元；</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2.各镇(街)村(社区）PC端网络服务费和账号费用：72个端口账号×149月/月×15月=160920元。</w:t>
            </w:r>
          </w:p>
        </w:tc>
        <w:tc>
          <w:tcPr>
            <w:tcW w:w="15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保障了网格服务管理工作规范化建设和网格化服务管理工作正常运行。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保障了网格服务管理工作规范化建设和网格化服务管理工作正常运行。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88</w:t>
            </w:r>
            <w:r>
              <w:rPr>
                <w:rFonts w:hint="eastAsia" w:ascii="宋体" w:hAnsi="宋体" w:eastAsia="宋体" w:cs="宋体"/>
                <w:i w:val="0"/>
                <w:color w:val="000000"/>
                <w:kern w:val="0"/>
                <w:sz w:val="18"/>
                <w:szCs w:val="18"/>
                <w:u w:val="none"/>
                <w:lang w:val="en-US" w:eastAsia="zh-CN" w:bidi="ar"/>
              </w:rPr>
              <w:t>.97</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i w:val="0"/>
                <w:color w:val="000000"/>
                <w:sz w:val="18"/>
                <w:szCs w:val="18"/>
                <w:u w:val="none"/>
                <w:lang w:val="en-US" w:eastAsia="zh-CN"/>
              </w:rPr>
            </w:pP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88.97</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88.97</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18"/>
                <w:szCs w:val="18"/>
                <w:u w:val="none"/>
                <w:lang w:val="en-US" w:eastAsia="zh-CN"/>
              </w:rPr>
            </w:pP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88.97</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PC端专网线路供给线路数</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专网通信保障手机数量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网格化服务通信、服务费支付及时率</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网格化服务PC端帐号管护达标率</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网格手持终端机正常运转</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网格化服务专网使用保障率</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网格化服务管理机制健全性</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优良中差低</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推进平安市中区建设</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网格化服务管理工作正常开展保障率</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网格服务对象满意度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市中区网格化服务管理信息系统成本</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889659</w:t>
            </w:r>
          </w:p>
        </w:tc>
        <w:tc>
          <w:tcPr>
            <w:tcW w:w="4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861"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698"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自评分100分，网格任务指标完成率已连续多月均为100%。网格员全覆盖走访服务群众3次，办理网格事件7.15万件，办理民生实事2.1万件，核查心连心服务热线群众诉求0.28万件，关心关爱独居老人、留守儿童、残障人士、特困人员等特殊群体0.8万人次，各类安全隐患、矛盾纠纷、民生事项、群众关切及时得到处理、化解和回应，群众获得感、幸福感、安全感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698"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经结合自评，暂无问题。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698"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经综合自评，暂无问题，暂无改进意见或建议。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6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项目负责人：陈财富</w:t>
            </w:r>
          </w:p>
        </w:tc>
        <w:tc>
          <w:tcPr>
            <w:tcW w:w="193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rPr>
          <w:rFonts w:hint="eastAsia"/>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p>
    <w:tbl>
      <w:tblPr>
        <w:tblStyle w:val="15"/>
        <w:tblW w:w="5352" w:type="pct"/>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8"/>
        <w:gridCol w:w="1123"/>
        <w:gridCol w:w="1140"/>
        <w:gridCol w:w="2034"/>
        <w:gridCol w:w="575"/>
        <w:gridCol w:w="609"/>
        <w:gridCol w:w="755"/>
        <w:gridCol w:w="550"/>
        <w:gridCol w:w="450"/>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68"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禁毒奖励工作经费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4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423"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2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24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4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建立禁毒奖励举报制度，设立禁毒奖励专项资金，按规定兑现举报毒品违法犯罪行为奖励金，为进一步提高全社会力量参与禁毒人民战争的积极性作出努力。</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FF0000"/>
                <w:sz w:val="18"/>
                <w:szCs w:val="18"/>
                <w:u w:val="none"/>
              </w:rPr>
            </w:pPr>
            <w:r>
              <w:rPr>
                <w:rFonts w:hint="eastAsia" w:ascii="黑体" w:hAnsi="黑体" w:eastAsia="黑体" w:cs="黑体"/>
                <w:i w:val="0"/>
                <w:color w:val="auto"/>
                <w:kern w:val="0"/>
                <w:sz w:val="18"/>
                <w:szCs w:val="18"/>
                <w:u w:val="none"/>
                <w:lang w:val="en-US" w:eastAsia="zh-CN" w:bidi="ar"/>
              </w:rPr>
              <w:t>严格执行禁毒举报奖励制度，严格规范上报程序，把好了审核关，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4068"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严格执行禁毒举报奖励制度，严格规范上报程序，把好了审核关，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兑现67名举报人举报奖金</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举报人举报奖金兑现到位</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鼓励群众举报违法犯罪行为</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人民群众参与禁毒工作积极性高</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周围群众满意度指标提升</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11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用最小成本确保社会稳定</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796"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69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69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69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03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项目负责人：刘虎伟</w:t>
            </w:r>
          </w:p>
        </w:tc>
        <w:tc>
          <w:tcPr>
            <w:tcW w:w="196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pStyle w:val="2"/>
        <w:rPr>
          <w:rFonts w:hint="eastAsia"/>
          <w:lang w:val="zh-CN"/>
        </w:rPr>
      </w:pPr>
    </w:p>
    <w:tbl>
      <w:tblPr>
        <w:tblStyle w:val="15"/>
        <w:tblW w:w="5470" w:type="pct"/>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051"/>
        <w:gridCol w:w="874"/>
        <w:gridCol w:w="1279"/>
        <w:gridCol w:w="578"/>
        <w:gridCol w:w="575"/>
        <w:gridCol w:w="702"/>
        <w:gridCol w:w="992"/>
        <w:gridCol w:w="554"/>
        <w:gridCol w:w="582"/>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区委政法委员会部门预算项目支出绩效自评表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9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见义勇为专项资金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542"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19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为弘扬社会正气，鼓励见义勇为，设立见义勇为专项资金，兑现见义勇为公民奖励金。</w:t>
            </w:r>
          </w:p>
        </w:tc>
        <w:tc>
          <w:tcPr>
            <w:tcW w:w="189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根据见义勇为专项资金规定，严格按照兑现程序，100%落实资金兑付，弘扬正义。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9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结合建设更高水平的平安市中区工作要求，在春节和国庆重要时间节点，对受到中央和省市区表彰奖励的见义勇为人员进行慰问，进一步培育和践行社会主义核心价值观。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8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4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兑现5名公民奖励金</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及时兑现见义勇为公民奖金</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鼓励公民实施见义勇为</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营造良好社会氛围</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见义勇为公民得到充分肯定</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邮小成本弘扬社会正气</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643"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经综合自评，项目自评总分100分，通过兑现奖励金，进一步弦扬了社会主义核心价值观。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经自评，暂未发现问题。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673"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经自评，暂未发现问题，暂无下步完善的意见或建议。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3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项目负责人：刘虎伟</w:t>
            </w:r>
          </w:p>
        </w:tc>
        <w:tc>
          <w:tcPr>
            <w:tcW w:w="26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tbl>
      <w:tblPr>
        <w:tblStyle w:val="15"/>
        <w:tblpPr w:leftFromText="180" w:rightFromText="180" w:vertAnchor="text" w:horzAnchor="page" w:tblpX="896" w:tblpY="41"/>
        <w:tblOverlap w:val="never"/>
        <w:tblW w:w="6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854"/>
        <w:gridCol w:w="1039"/>
        <w:gridCol w:w="1169"/>
        <w:gridCol w:w="1755"/>
        <w:gridCol w:w="702"/>
        <w:gridCol w:w="802"/>
        <w:gridCol w:w="796"/>
        <w:gridCol w:w="554"/>
        <w:gridCol w:w="590"/>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37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农村网格员补助2024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73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中共乐山市市中区委政法委员会</w:t>
            </w:r>
          </w:p>
        </w:tc>
        <w:tc>
          <w:tcPr>
            <w:tcW w:w="395"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73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3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关于全面推进以信息化为支撑的网格化服务管理工作的实施方案》（乐中社综〔2017〕3号）要求，网格员实行定人、定格、定责，综合做好基础信息采集、社情民意收集、重大事件报告，协助做好民生事务代办、政策法规宣传、社会治安防范、矛盾纠纷调处、安全隐患排查等工作，保障网格日常工作顺利开展，核定农村网格员薪酬待遇如下：农村网格员补助：130人×300元/月×12月=468000元</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保障网格日常工作顺利开展，各类安全隐患、矛盾纠纷、民生事项、群众关切及时得到处理、化解和回应，群众获得感、幸福感、安全感不断提升。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372"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保障网格日常工作顺利开展，各类安全隐患、矛盾纠纷、民生事项、群众关切及时得到处理、化解和回应，群众获得感、幸福感、安全感不断提升。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46</w:t>
            </w:r>
            <w:r>
              <w:rPr>
                <w:rFonts w:hint="eastAsia" w:ascii="宋体" w:hAnsi="宋体" w:cs="宋体"/>
                <w:i w:val="0"/>
                <w:color w:val="000000"/>
                <w:kern w:val="0"/>
                <w:sz w:val="18"/>
                <w:szCs w:val="18"/>
                <w:u w:val="none"/>
                <w:lang w:val="en-US" w:eastAsia="zh-CN" w:bidi="ar"/>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46</w:t>
            </w:r>
            <w:r>
              <w:rPr>
                <w:rFonts w:hint="eastAsia" w:ascii="宋体" w:hAnsi="宋体" w:cs="宋体"/>
                <w:i w:val="0"/>
                <w:color w:val="000000"/>
                <w:kern w:val="0"/>
                <w:sz w:val="18"/>
                <w:szCs w:val="18"/>
                <w:u w:val="none"/>
                <w:lang w:val="en-US" w:eastAsia="zh-CN" w:bidi="ar"/>
              </w:rPr>
              <w:t>.78</w:t>
            </w:r>
          </w:p>
        </w:tc>
        <w:tc>
          <w:tcPr>
            <w:tcW w:w="16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46</w:t>
            </w:r>
            <w:r>
              <w:rPr>
                <w:rFonts w:hint="eastAsia" w:ascii="宋体" w:hAnsi="宋体" w:cs="宋体"/>
                <w:i w:val="0"/>
                <w:color w:val="000000"/>
                <w:kern w:val="0"/>
                <w:sz w:val="18"/>
                <w:szCs w:val="18"/>
                <w:u w:val="none"/>
                <w:lang w:val="en-US" w:eastAsia="zh-CN" w:bidi="ar"/>
              </w:rPr>
              <w:t>.75</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46</w:t>
            </w:r>
            <w:r>
              <w:rPr>
                <w:rFonts w:hint="eastAsia" w:ascii="宋体" w:hAnsi="宋体" w:cs="宋体"/>
                <w:i w:val="0"/>
                <w:color w:val="000000"/>
                <w:kern w:val="0"/>
                <w:sz w:val="18"/>
                <w:szCs w:val="18"/>
                <w:u w:val="none"/>
                <w:lang w:val="en-US" w:eastAsia="zh-CN" w:bidi="ar"/>
              </w:rPr>
              <w:t>.8</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46</w:t>
            </w:r>
            <w:r>
              <w:rPr>
                <w:rFonts w:hint="eastAsia" w:ascii="宋体" w:hAnsi="宋体" w:cs="宋体"/>
                <w:i w:val="0"/>
                <w:color w:val="000000"/>
                <w:kern w:val="0"/>
                <w:sz w:val="18"/>
                <w:szCs w:val="18"/>
                <w:u w:val="none"/>
                <w:lang w:val="en-US" w:eastAsia="zh-CN" w:bidi="ar"/>
              </w:rPr>
              <w:t>.75</w:t>
            </w:r>
          </w:p>
        </w:tc>
        <w:tc>
          <w:tcPr>
            <w:tcW w:w="16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46</w:t>
            </w:r>
            <w:r>
              <w:rPr>
                <w:rFonts w:hint="eastAsia" w:ascii="宋体" w:hAnsi="宋体" w:cs="宋体"/>
                <w:i w:val="0"/>
                <w:color w:val="000000"/>
                <w:kern w:val="0"/>
                <w:sz w:val="18"/>
                <w:szCs w:val="18"/>
                <w:u w:val="none"/>
                <w:lang w:val="en-US" w:eastAsia="zh-CN" w:bidi="ar"/>
              </w:rPr>
              <w:t>.75</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8"/>
                <w:szCs w:val="18"/>
                <w:u w:val="none"/>
                <w:lang w:val="en-US" w:eastAsia="zh-CN" w:bidi="ar"/>
              </w:rPr>
              <w:t>农村网格员补助发放准确率</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农村网格员工资发放人数</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农村网格员补助发放及时率</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网格化服务管理工作正常开展保障率</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网格服务对象满意度</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9"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经济成本指标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农村网格员补助预算成本</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756"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99"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自评分100分，保障网格日常工作顺利开展，各类安全隐患、矛盾纠纷、民生事项、群众关切及时得到处理、化解和回应，群众获得感、幸福感、安全感不断提升。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99"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99"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加强网格工作指导，使网格工作更上一个台阶。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60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项目负责人：陈财富</w:t>
            </w:r>
          </w:p>
        </w:tc>
        <w:tc>
          <w:tcPr>
            <w:tcW w:w="23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tbl>
      <w:tblPr>
        <w:tblStyle w:val="15"/>
        <w:tblpPr w:leftFromText="180" w:rightFromText="180" w:vertAnchor="text" w:horzAnchor="page" w:tblpX="752" w:tblpY="-110"/>
        <w:tblOverlap w:val="never"/>
        <w:tblW w:w="58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2"/>
        <w:gridCol w:w="993"/>
        <w:gridCol w:w="1314"/>
        <w:gridCol w:w="1843"/>
        <w:gridCol w:w="778"/>
        <w:gridCol w:w="776"/>
        <w:gridCol w:w="850"/>
        <w:gridCol w:w="776"/>
        <w:gridCol w:w="453"/>
        <w:gridCol w:w="507"/>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28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日常工作运转（2024年）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83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395"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05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83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44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3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深入贯彻中央、省、市、区决策部署，保障区委政法委日常工作正常运转。</w:t>
            </w:r>
          </w:p>
        </w:tc>
        <w:tc>
          <w:tcPr>
            <w:tcW w:w="144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根据工作职能和日常运转需要，科学编制预算，推动政法工作顺利开展。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28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深入贯彻中央、省、市、区决策部署，结合市中区委政法委工作实际，2024年区委政法委日常工作运转顺利。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25</w:t>
            </w:r>
            <w:r>
              <w:rPr>
                <w:rFonts w:hint="eastAsia" w:ascii="宋体" w:hAnsi="宋体" w:cs="宋体"/>
                <w:i w:val="0"/>
                <w:color w:val="000000"/>
                <w:kern w:val="0"/>
                <w:sz w:val="18"/>
                <w:szCs w:val="18"/>
                <w:u w:val="none"/>
                <w:lang w:val="en-US" w:eastAsia="zh-CN" w:bidi="ar"/>
              </w:rPr>
              <w:t>.5</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23</w:t>
            </w:r>
            <w:r>
              <w:rPr>
                <w:rFonts w:hint="eastAsia" w:ascii="宋体" w:hAnsi="宋体" w:cs="宋体"/>
                <w:i w:val="0"/>
                <w:color w:val="000000"/>
                <w:kern w:val="0"/>
                <w:sz w:val="18"/>
                <w:szCs w:val="18"/>
                <w:u w:val="none"/>
                <w:lang w:val="en-US" w:eastAsia="zh-CN" w:bidi="ar"/>
              </w:rPr>
              <w:t>.88</w:t>
            </w:r>
          </w:p>
        </w:tc>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23</w:t>
            </w:r>
            <w:r>
              <w:rPr>
                <w:rFonts w:hint="eastAsia" w:ascii="宋体" w:hAnsi="宋体" w:cs="宋体"/>
                <w:i w:val="0"/>
                <w:color w:val="000000"/>
                <w:kern w:val="0"/>
                <w:sz w:val="18"/>
                <w:szCs w:val="18"/>
                <w:u w:val="none"/>
                <w:lang w:val="en-US" w:eastAsia="zh-CN" w:bidi="ar"/>
              </w:rPr>
              <w:t>.88</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25</w:t>
            </w:r>
            <w:r>
              <w:rPr>
                <w:rFonts w:hint="eastAsia" w:ascii="宋体" w:hAnsi="宋体" w:cs="宋体"/>
                <w:i w:val="0"/>
                <w:color w:val="000000"/>
                <w:kern w:val="0"/>
                <w:sz w:val="18"/>
                <w:szCs w:val="18"/>
                <w:u w:val="none"/>
                <w:lang w:val="en-US" w:eastAsia="zh-CN" w:bidi="ar"/>
              </w:rPr>
              <w:t>.5</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23</w:t>
            </w:r>
            <w:r>
              <w:rPr>
                <w:rFonts w:hint="eastAsia" w:ascii="宋体" w:hAnsi="宋体" w:cs="宋体"/>
                <w:i w:val="0"/>
                <w:color w:val="000000"/>
                <w:kern w:val="0"/>
                <w:sz w:val="18"/>
                <w:szCs w:val="18"/>
                <w:u w:val="none"/>
                <w:lang w:val="en-US" w:eastAsia="zh-CN" w:bidi="ar"/>
              </w:rPr>
              <w:t>.88</w:t>
            </w:r>
          </w:p>
        </w:tc>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23</w:t>
            </w:r>
            <w:r>
              <w:rPr>
                <w:rFonts w:hint="eastAsia" w:ascii="宋体" w:hAnsi="宋体" w:cs="宋体"/>
                <w:i w:val="0"/>
                <w:color w:val="000000"/>
                <w:kern w:val="0"/>
                <w:sz w:val="18"/>
                <w:szCs w:val="18"/>
                <w:u w:val="none"/>
                <w:lang w:val="en-US" w:eastAsia="zh-CN" w:bidi="ar"/>
              </w:rPr>
              <w:t>.88</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2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政法委和关爱中心供水、供电及时率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办公区域供水、供电保障率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工作差旅人次</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工作差旅预算控制数</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元/年</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政法三级网络、通讯正常运转</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日常办公保障率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内控制度建设情况</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管理机制健全性</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网络通讯保障率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9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干部职工满意度</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946"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9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经综合自评，项目自评总分100分，项目实施顺利。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9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9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经综合自评，暂未发现问题，暂无意见或建议。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72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项目负责人：杨尚安</w:t>
            </w:r>
          </w:p>
        </w:tc>
        <w:tc>
          <w:tcPr>
            <w:tcW w:w="227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tbl>
      <w:tblPr>
        <w:tblStyle w:val="15"/>
        <w:tblpPr w:leftFromText="180" w:rightFromText="180" w:vertAnchor="text" w:horzAnchor="page" w:tblpX="851" w:tblpY="-356"/>
        <w:tblOverlap w:val="never"/>
        <w:tblW w:w="6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1"/>
        <w:gridCol w:w="1244"/>
        <w:gridCol w:w="1094"/>
        <w:gridCol w:w="1295"/>
        <w:gridCol w:w="785"/>
        <w:gridCol w:w="686"/>
        <w:gridCol w:w="793"/>
        <w:gridCol w:w="1204"/>
        <w:gridCol w:w="608"/>
        <w:gridCol w:w="55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17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2024信访维稳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1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599"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1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8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1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推动2024年重点时段、重要敏感事件信访维稳处置工作顺利开展</w:t>
            </w:r>
          </w:p>
        </w:tc>
        <w:tc>
          <w:tcPr>
            <w:tcW w:w="18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根据全年维稳工作需要，扎实开展重点时段、重要敏感事件维稳处突工作，确保了平安法治市中区建设。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17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按照全区重点工作安排，扎实开展重要时段和重要敏感事件的维稳处突工作，确保了全区社会面平安。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9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重点时段维稳及时率</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重点时段点位稳定率</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重要敏感事件维稳保障率</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群体事件控制率</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广大群众认可</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w:t>
            </w:r>
          </w:p>
        </w:tc>
        <w:tc>
          <w:tcPr>
            <w:tcW w:w="3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信访维稳事件下降</w:t>
            </w:r>
          </w:p>
        </w:tc>
        <w:tc>
          <w:tcPr>
            <w:tcW w:w="3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9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6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9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经综合自评，项目自评总分100分，信访维稳工作取得预期效果。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9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9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经综合自评，暂未发现问题，暂无意见或建议。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40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项目负责人：邹艳辉</w:t>
            </w:r>
          </w:p>
        </w:tc>
        <w:tc>
          <w:tcPr>
            <w:tcW w:w="259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5"/>
        <w:tblW w:w="5713" w:type="pct"/>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9"/>
        <w:gridCol w:w="1308"/>
        <w:gridCol w:w="1188"/>
        <w:gridCol w:w="1410"/>
        <w:gridCol w:w="440"/>
        <w:gridCol w:w="993"/>
        <w:gridCol w:w="431"/>
        <w:gridCol w:w="812"/>
        <w:gridCol w:w="522"/>
        <w:gridCol w:w="583"/>
        <w:gridCol w:w="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382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司法救助2023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4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42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4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41"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为进一步化解社会矛盾，开展司法救助，让人民群众在每一件司法案件中感受公平正义。</w:t>
            </w:r>
          </w:p>
        </w:tc>
        <w:tc>
          <w:tcPr>
            <w:tcW w:w="148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根据全区工作实际，结合政法系统工作开展情况，扎实开展司法救助，圆满完成了年度目标任务。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382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结合政法系统工作开展情况，根据司法救助工作规则，及时审核兑现司法救助金，让人民群众在每个司法案件中都能感受到公平正义。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.3</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.3</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42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司法救助案件数</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司法救助人数</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经费支出合规性</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合规</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司法救助案件办结率</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案件办理及时性</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每月15日前</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总成本控制</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对优化法治环境、维护司法公信力的影响程度</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程度明显</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对持续保障司法救助工作顺利开展的影响程度</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程度明显</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干警满意</w:t>
            </w:r>
          </w:p>
        </w:tc>
        <w:tc>
          <w:tcPr>
            <w:tcW w:w="2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943"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1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经综合自评，项目自评总分100分，人民群众在司法案件中感受到了公平正义。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1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11"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经综合自评，暂未发现问题，暂无意见或建议。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277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项目负责人：刘虎伟</w:t>
            </w:r>
          </w:p>
        </w:tc>
        <w:tc>
          <w:tcPr>
            <w:tcW w:w="222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5"/>
        <w:tblW w:w="6001" w:type="pct"/>
        <w:tblInd w:w="-9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3"/>
        <w:gridCol w:w="1351"/>
        <w:gridCol w:w="1291"/>
        <w:gridCol w:w="1739"/>
        <w:gridCol w:w="540"/>
        <w:gridCol w:w="626"/>
        <w:gridCol w:w="476"/>
        <w:gridCol w:w="686"/>
        <w:gridCol w:w="554"/>
        <w:gridCol w:w="606"/>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00" w:type="pct"/>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区委政法委部门预算项目支出绩效自评表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3823"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2022年下半年疫情防控应急处置工作经费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c>
          <w:tcPr>
            <w:tcW w:w="340"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 xml:space="preserve">实施单位 </w:t>
            </w:r>
          </w:p>
        </w:tc>
        <w:tc>
          <w:tcPr>
            <w:tcW w:w="11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3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为筑牢市中区常态化疫情防控工作，区委政法委牵头的大数据专班流转了全区各类数据，维稳处突专班处置了大量突发事件，持续巩固了疫情防控成效，维护了人民群众生命财产安全。</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根据疫情防控工作需要，大数据专班核查数据快速准确，及时维护了人民群众生命财产安全。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3823"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严格按照疫情防控工作要求，本着节约高效的原则，及时准确开展数据推送，确保了全区人民群众生命财产安全，得到社会预期效果。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   （万元）</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122</w:t>
            </w:r>
            <w:r>
              <w:rPr>
                <w:rFonts w:hint="eastAsia" w:ascii="宋体" w:hAnsi="宋体" w:eastAsia="宋体" w:cs="宋体"/>
                <w:i w:val="0"/>
                <w:color w:val="000000"/>
                <w:kern w:val="0"/>
                <w:sz w:val="18"/>
                <w:szCs w:val="18"/>
                <w:u w:val="none"/>
                <w:lang w:val="en-US" w:eastAsia="zh-CN" w:bidi="ar"/>
              </w:rPr>
              <w:t>.45</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.06</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.06</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6"/>
                <w:szCs w:val="16"/>
                <w:u w:val="none"/>
              </w:rPr>
            </w:pPr>
            <w:r>
              <w:rPr>
                <w:rFonts w:hint="eastAsia" w:ascii="黑体" w:hAnsi="黑体" w:eastAsia="黑体" w:cs="黑体"/>
                <w:i w:val="0"/>
                <w:color w:val="000000"/>
                <w:kern w:val="0"/>
                <w:sz w:val="16"/>
                <w:szCs w:val="16"/>
                <w:u w:val="none"/>
                <w:lang w:val="en-US" w:eastAsia="zh-CN" w:bidi="ar"/>
              </w:rPr>
              <w:t>根据疫情防控实际产生费用进行支付。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22.45</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7.06</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ascii="宋体" w:hAnsi="宋体" w:eastAsia="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.06</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6"/>
                <w:szCs w:val="16"/>
                <w:u w:val="none"/>
              </w:rPr>
            </w:pPr>
            <w:r>
              <w:rPr>
                <w:rFonts w:ascii="宋体" w:hAnsi="宋体" w:eastAsia="宋体" w:cs="宋体"/>
                <w:i w:val="0"/>
                <w:color w:val="000000"/>
                <w:kern w:val="0"/>
                <w:sz w:val="16"/>
                <w:szCs w:val="16"/>
                <w:u w:val="none"/>
                <w:lang w:val="en-US" w:eastAsia="zh-CN" w:bidi="ar"/>
              </w:rPr>
              <w:t>财政专户管理资金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4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3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7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满足专班人员工作需要物资</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23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保障专班人员处突需要物资</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23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人次</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第一时间保障处突和数据推送</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w:t>
            </w:r>
          </w:p>
        </w:tc>
        <w:tc>
          <w:tcPr>
            <w:tcW w:w="23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万人次</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降低密接者和次密者感染率</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3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人民群众对维稳处突满意</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3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最低成本降低感染率</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3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0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3853"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49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经综合自评，项目自评总分100分，社会效果良好。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49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49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经综合自评，暂未发现问题，暂无意见或建议。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96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项目负责人：杨尚安</w:t>
            </w:r>
          </w:p>
        </w:tc>
        <w:tc>
          <w:tcPr>
            <w:tcW w:w="203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财务负责人：兰琼</w:t>
            </w:r>
          </w:p>
        </w:tc>
      </w:tr>
    </w:tbl>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kern w:val="0"/>
          <w:sz w:val="32"/>
          <w:szCs w:val="32"/>
          <w:highlight w:val="none"/>
          <w:shd w:val="clear" w:color="auto" w:fill="FFFFFF"/>
          <w:lang w:val="zh-CN"/>
        </w:rPr>
      </w:pPr>
    </w:p>
    <w:p>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eastAsia" w:ascii="Times New Roman" w:hAnsi="Times New Roman" w:eastAsia="宋体"/>
          <w:color w:val="auto"/>
          <w:kern w:val="2"/>
          <w:sz w:val="32"/>
          <w:szCs w:val="32"/>
          <w:highlight w:val="none"/>
          <w:lang w:eastAsia="zh-CN"/>
        </w:rPr>
      </w:pPr>
      <w:r>
        <w:rPr>
          <w:rFonts w:hint="eastAsia" w:ascii="Times New Roman" w:hAnsi="Times New Roman"/>
          <w:color w:val="auto"/>
          <w:kern w:val="2"/>
          <w:sz w:val="32"/>
          <w:szCs w:val="32"/>
          <w:highlight w:val="none"/>
          <w:lang w:eastAsia="zh-CN"/>
        </w:rPr>
        <w:t>（</w:t>
      </w:r>
      <w:r>
        <w:rPr>
          <w:rFonts w:hint="eastAsia" w:ascii="Times New Roman" w:hAnsi="Times New Roman"/>
          <w:color w:val="auto"/>
          <w:kern w:val="2"/>
          <w:sz w:val="32"/>
          <w:szCs w:val="32"/>
          <w:highlight w:val="none"/>
          <w:lang w:val="en-US" w:eastAsia="zh-CN"/>
        </w:rPr>
        <w:t>本单位不涉及</w:t>
      </w:r>
      <w:r>
        <w:rPr>
          <w:rFonts w:hint="eastAsia" w:ascii="Times New Roman" w:hAnsi="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3"/>
      <w:bookmarkEnd w:id="55"/>
      <w:bookmarkStart w:id="56"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BA650E"/>
    <w:rsid w:val="061E35DE"/>
    <w:rsid w:val="066D1D45"/>
    <w:rsid w:val="066E0107"/>
    <w:rsid w:val="074E7E5A"/>
    <w:rsid w:val="07996F6E"/>
    <w:rsid w:val="07DFD8BA"/>
    <w:rsid w:val="09867E8F"/>
    <w:rsid w:val="0A2032A3"/>
    <w:rsid w:val="0CA8290A"/>
    <w:rsid w:val="0D35B1ED"/>
    <w:rsid w:val="0D475909"/>
    <w:rsid w:val="0E254B6B"/>
    <w:rsid w:val="0F98263C"/>
    <w:rsid w:val="101860EC"/>
    <w:rsid w:val="101F47CC"/>
    <w:rsid w:val="10C055FF"/>
    <w:rsid w:val="111F1772"/>
    <w:rsid w:val="1145076E"/>
    <w:rsid w:val="11694EBD"/>
    <w:rsid w:val="11772AA4"/>
    <w:rsid w:val="118107EC"/>
    <w:rsid w:val="12E24EE2"/>
    <w:rsid w:val="13D50BC4"/>
    <w:rsid w:val="14B17F78"/>
    <w:rsid w:val="165E0673"/>
    <w:rsid w:val="16B831D5"/>
    <w:rsid w:val="16BB723D"/>
    <w:rsid w:val="17146524"/>
    <w:rsid w:val="17C01C95"/>
    <w:rsid w:val="17E50567"/>
    <w:rsid w:val="186504BB"/>
    <w:rsid w:val="19A445FC"/>
    <w:rsid w:val="1A4F69FF"/>
    <w:rsid w:val="1BE8440E"/>
    <w:rsid w:val="1C3D1FD9"/>
    <w:rsid w:val="1D155CEE"/>
    <w:rsid w:val="1D1638FE"/>
    <w:rsid w:val="1E312DEB"/>
    <w:rsid w:val="1E740ACF"/>
    <w:rsid w:val="1F974248"/>
    <w:rsid w:val="1FF35744"/>
    <w:rsid w:val="1FF6BC77"/>
    <w:rsid w:val="2186353C"/>
    <w:rsid w:val="233C0CF3"/>
    <w:rsid w:val="23860B96"/>
    <w:rsid w:val="240371BF"/>
    <w:rsid w:val="244F3473"/>
    <w:rsid w:val="24C97D99"/>
    <w:rsid w:val="25896E84"/>
    <w:rsid w:val="25A718F0"/>
    <w:rsid w:val="25BB59F6"/>
    <w:rsid w:val="25EE3A5A"/>
    <w:rsid w:val="260F557C"/>
    <w:rsid w:val="26970054"/>
    <w:rsid w:val="272247E0"/>
    <w:rsid w:val="2773244C"/>
    <w:rsid w:val="27FD301E"/>
    <w:rsid w:val="281408E2"/>
    <w:rsid w:val="29FD04D3"/>
    <w:rsid w:val="2BE71D51"/>
    <w:rsid w:val="2BFF7BC6"/>
    <w:rsid w:val="2C8A61B5"/>
    <w:rsid w:val="2DF04E50"/>
    <w:rsid w:val="2E586DFA"/>
    <w:rsid w:val="2F040D46"/>
    <w:rsid w:val="2F6B035B"/>
    <w:rsid w:val="2FAE5751"/>
    <w:rsid w:val="2FB1A395"/>
    <w:rsid w:val="2FD9A7D8"/>
    <w:rsid w:val="2FDBF714"/>
    <w:rsid w:val="301C54E3"/>
    <w:rsid w:val="30AB6865"/>
    <w:rsid w:val="31815560"/>
    <w:rsid w:val="319F7F4E"/>
    <w:rsid w:val="32BD1EF1"/>
    <w:rsid w:val="3304709D"/>
    <w:rsid w:val="33A773CB"/>
    <w:rsid w:val="349D6851"/>
    <w:rsid w:val="36AA5135"/>
    <w:rsid w:val="36BE0DA7"/>
    <w:rsid w:val="376B6AA6"/>
    <w:rsid w:val="376D39B2"/>
    <w:rsid w:val="37E16F03"/>
    <w:rsid w:val="37F53A3B"/>
    <w:rsid w:val="389B6C89"/>
    <w:rsid w:val="38D469F0"/>
    <w:rsid w:val="38F00D26"/>
    <w:rsid w:val="39627CCD"/>
    <w:rsid w:val="397BAF1F"/>
    <w:rsid w:val="3AB79AF3"/>
    <w:rsid w:val="3AE834C0"/>
    <w:rsid w:val="3B235DF9"/>
    <w:rsid w:val="3B7EF35A"/>
    <w:rsid w:val="3B9FDB6C"/>
    <w:rsid w:val="3BF5BC2F"/>
    <w:rsid w:val="3CEBA265"/>
    <w:rsid w:val="3D98207C"/>
    <w:rsid w:val="3DEE7CF3"/>
    <w:rsid w:val="3E740A63"/>
    <w:rsid w:val="3E78745D"/>
    <w:rsid w:val="3EE17838"/>
    <w:rsid w:val="3F55381A"/>
    <w:rsid w:val="3F7F7599"/>
    <w:rsid w:val="3FDC30D7"/>
    <w:rsid w:val="3FF4CAE0"/>
    <w:rsid w:val="3FF7B227"/>
    <w:rsid w:val="41C14C06"/>
    <w:rsid w:val="425C5CEE"/>
    <w:rsid w:val="427E5617"/>
    <w:rsid w:val="44E268DA"/>
    <w:rsid w:val="450D13D7"/>
    <w:rsid w:val="45506656"/>
    <w:rsid w:val="486A6C7A"/>
    <w:rsid w:val="4A627F82"/>
    <w:rsid w:val="4AD844FF"/>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AD46AD"/>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535197"/>
    <w:rsid w:val="65E66580"/>
    <w:rsid w:val="664B1D71"/>
    <w:rsid w:val="664B4E8E"/>
    <w:rsid w:val="67277B67"/>
    <w:rsid w:val="67517CE5"/>
    <w:rsid w:val="67AA3209"/>
    <w:rsid w:val="69047C65"/>
    <w:rsid w:val="698D0931"/>
    <w:rsid w:val="6A7FE5F3"/>
    <w:rsid w:val="6B053271"/>
    <w:rsid w:val="6B3F31B2"/>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A962CD"/>
    <w:rsid w:val="72233669"/>
    <w:rsid w:val="72734D90"/>
    <w:rsid w:val="73160E6D"/>
    <w:rsid w:val="7332FE48"/>
    <w:rsid w:val="73AB61DA"/>
    <w:rsid w:val="73AD73D5"/>
    <w:rsid w:val="73B6EB34"/>
    <w:rsid w:val="73FA497D"/>
    <w:rsid w:val="744731E5"/>
    <w:rsid w:val="74B549C0"/>
    <w:rsid w:val="74BBD01D"/>
    <w:rsid w:val="74ED5379"/>
    <w:rsid w:val="75CB3966"/>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64C11"/>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9044;&#20915;&#31639;&#31561;\2022&#24180;&#39044;&#20915;&#31639;&#65292;&#36130;&#25253;&#31561;\&#25919;&#27861;&#22996;&#20915;&#31639;&#20844;&#24320;&#38468;&#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收入、支出决算总计变动情况图</a:t>
            </a:r>
            <a:endParaRPr lang="zh-CN"/>
          </a:p>
        </c:rich>
      </c:tx>
      <c:layout/>
      <c:overlay val="0"/>
    </c:title>
    <c:autoTitleDeleted val="0"/>
    <c:plotArea>
      <c:layout/>
      <c:barChart>
        <c:barDir val="col"/>
        <c:grouping val="clustered"/>
        <c:varyColors val="0"/>
        <c:ser>
          <c:idx val="0"/>
          <c:order val="0"/>
          <c:tx>
            <c:strRef>
              <c:f>'[政法委决算公开附图.xlsx]收、支决算总体变动情况图1 (2)'!$C$13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'[政法委决算公开附图.xlsx]收、支决算总体变动情况图1 (2)'!$B$14:$B$15</c:f>
              <c:strCache>
                <c:ptCount val="2"/>
                <c:pt idx="0">
                  <c:v>2023年</c:v>
                </c:pt>
                <c:pt idx="1">
                  <c:v>2024年</c:v>
                </c:pt>
              </c:strCache>
            </c:strRef>
          </c:cat>
          <c:val>
            <c:numRef>
              <c:f>'[政法委决算公开附图.xlsx]收、支决算总体变动情况图1 (2)'!$C$14:$C$15</c:f>
              <c:numCache>
                <c:formatCode>General</c:formatCode>
                <c:ptCount val="2"/>
                <c:pt idx="0">
                  <c:v>1089.7</c:v>
                </c:pt>
                <c:pt idx="1">
                  <c:v>793.33</c:v>
                </c:pt>
              </c:numCache>
            </c:numRef>
          </c:val>
        </c:ser>
        <c:dLbls>
          <c:showLegendKey val="0"/>
          <c:showVal val="1"/>
          <c:showCatName val="0"/>
          <c:showSerName val="0"/>
          <c:showPercent val="0"/>
          <c:showBubbleSize val="0"/>
        </c:dLbls>
        <c:gapWidth val="150"/>
        <c:axId val="104356864"/>
        <c:axId val="104379136"/>
      </c:barChart>
      <c:catAx>
        <c:axId val="104356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79136"/>
        <c:crosses val="autoZero"/>
        <c:auto val="1"/>
        <c:lblAlgn val="ctr"/>
        <c:lblOffset val="100"/>
        <c:noMultiLvlLbl val="0"/>
      </c:catAx>
      <c:valAx>
        <c:axId val="1043791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104356864"/>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收入构成情况</a:t>
            </a:r>
            <a:endParaRPr lang="zh-CN"/>
          </a:p>
        </c:rich>
      </c:tx>
      <c:layout/>
      <c:overlay val="0"/>
    </c:title>
    <c:autoTitleDeleted val="0"/>
    <c:plotArea>
      <c:layout/>
      <c:pieChart>
        <c:varyColors val="1"/>
        <c:ser>
          <c:idx val="0"/>
          <c:order val="0"/>
          <c:tx>
            <c:strRef>
              <c:f>[政法委决算公开附图.xlsx]收入决算结构图2!$B$6</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[政法委决算公开附图.xlsx]收入决算结构图2!$A$7:$A$9</c:f>
              <c:strCache>
                <c:ptCount val="3"/>
                <c:pt idx="0">
                  <c:v>一般公共预算财政拨款收入765.05万元</c:v>
                </c:pt>
                <c:pt idx="1">
                  <c:v>政府性基金预算财政拨款收入0万元</c:v>
                </c:pt>
                <c:pt idx="2">
                  <c:v>其他收入0万元</c:v>
                </c:pt>
              </c:strCache>
            </c:strRef>
          </c:cat>
          <c:val>
            <c:numRef>
              <c:f>[政法委决算公开附图.xlsx]收入决算结构图2!$B$7:$B$9</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支出决算结构图</a:t>
            </a:r>
            <a:endParaRPr lang="en-US" altLang="zh-CN"/>
          </a:p>
        </c:rich>
      </c:tx>
      <c:layout>
        <c:manualLayout>
          <c:xMode val="edge"/>
          <c:yMode val="edge"/>
          <c:x val="0.365488810365135"/>
          <c:y val="0.0263929618768328"/>
        </c:manualLayout>
      </c:layout>
      <c:overlay val="0"/>
    </c:title>
    <c:autoTitleDeleted val="0"/>
    <c:plotArea>
      <c:layout/>
      <c:pieChart>
        <c:varyColors val="1"/>
        <c:ser>
          <c:idx val="0"/>
          <c:order val="0"/>
          <c:tx>
            <c:strRef>
              <c:f>'[政法委决算公开附图.xlsx]支出决算结构图3 (2)'!$B$9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'[政法委决算公开附图.xlsx]支出决算结构图3 (2)'!$A$10:$A$11</c:f>
              <c:strCache>
                <c:ptCount val="2"/>
                <c:pt idx="0">
                  <c:v>基本支出472.49万元</c:v>
                </c:pt>
                <c:pt idx="1">
                  <c:v>项目支出320.83万元</c:v>
                </c:pt>
              </c:strCache>
            </c:strRef>
          </c:cat>
          <c:val>
            <c:numRef>
              <c:f>'[政法委决算公开附图.xlsx]支出决算结构图3 (2)'!$B$10:$B$11</c:f>
              <c:numCache>
                <c:formatCode>0.00%</c:formatCode>
                <c:ptCount val="2"/>
                <c:pt idx="0">
                  <c:v>0.5955</c:v>
                </c:pt>
                <c:pt idx="1">
                  <c:v>0.4045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财政拨款收、支决算总计变动情况</a:t>
            </a:r>
            <a:endParaRPr lang="zh-CN"/>
          </a:p>
        </c:rich>
      </c:tx>
      <c:layout>
        <c:manualLayout>
          <c:xMode val="edge"/>
          <c:yMode val="edge"/>
          <c:x val="0.123663681017047"/>
          <c:y val="0.0676392572944297"/>
        </c:manualLayout>
      </c:layout>
      <c:overlay val="0"/>
    </c:title>
    <c:autoTitleDeleted val="0"/>
    <c:plotArea>
      <c:layout/>
      <c:barChart>
        <c:barDir val="col"/>
        <c:grouping val="clustered"/>
        <c:varyColors val="0"/>
        <c:ser>
          <c:idx val="0"/>
          <c:order val="0"/>
          <c:tx>
            <c:strRef>
              <c:f>'[政法委决算公开附图.xlsx]收、支决算总体变动情况图1 (3)'!$C$13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'[政法委决算公开附图.xlsx]收、支决算总体变动情况图1 (3)'!$B$14:$B$15</c:f>
              <c:strCache>
                <c:ptCount val="2"/>
                <c:pt idx="0">
                  <c:v>2023年</c:v>
                </c:pt>
                <c:pt idx="1">
                  <c:v>2024年</c:v>
                </c:pt>
              </c:strCache>
            </c:strRef>
          </c:cat>
          <c:val>
            <c:numRef>
              <c:f>'[政法委决算公开附图.xlsx]收、支决算总体变动情况图1 (3)'!$C$14:$C$15</c:f>
              <c:numCache>
                <c:formatCode>General</c:formatCode>
                <c:ptCount val="2"/>
                <c:pt idx="0">
                  <c:v>1089.7</c:v>
                </c:pt>
                <c:pt idx="1">
                  <c:v>793.33</c:v>
                </c:pt>
              </c:numCache>
            </c:numRef>
          </c:val>
        </c:ser>
        <c:dLbls>
          <c:showLegendKey val="0"/>
          <c:showVal val="1"/>
          <c:showCatName val="0"/>
          <c:showSerName val="0"/>
          <c:showPercent val="0"/>
          <c:showBubbleSize val="0"/>
        </c:dLbls>
        <c:gapWidth val="150"/>
        <c:axId val="84907136"/>
        <c:axId val="84908672"/>
      </c:barChart>
      <c:catAx>
        <c:axId val="849071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8672"/>
        <c:crosses val="autoZero"/>
        <c:auto val="1"/>
        <c:lblAlgn val="ctr"/>
        <c:lblOffset val="100"/>
        <c:noMultiLvlLbl val="0"/>
      </c:catAx>
      <c:valAx>
        <c:axId val="84908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713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一般公共预算财政拨款支出决算变动情况</a:t>
            </a:r>
            <a:endParaRPr lang="zh-CN"/>
          </a:p>
        </c:rich>
      </c:tx>
      <c:layout/>
      <c:overlay val="0"/>
    </c:title>
    <c:autoTitleDeleted val="0"/>
    <c:plotArea>
      <c:layout/>
      <c:barChart>
        <c:barDir val="col"/>
        <c:grouping val="clustered"/>
        <c:varyColors val="0"/>
        <c:ser>
          <c:idx val="0"/>
          <c:order val="0"/>
          <c:tx>
            <c:strRef>
              <c:f>[政法委决算公开附图.xlsx]收、支决算总体变动情况图1!$C$13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[政法委决算公开附图.xlsx]收、支决算总体变动情况图1!$B$14:$B$15</c:f>
              <c:strCache>
                <c:ptCount val="2"/>
                <c:pt idx="0">
                  <c:v>2023年</c:v>
                </c:pt>
                <c:pt idx="1">
                  <c:v>2024年</c:v>
                </c:pt>
              </c:strCache>
            </c:strRef>
          </c:cat>
          <c:val>
            <c:numRef>
              <c:f>[政法委决算公开附图.xlsx]收、支决算总体变动情况图1!$C$14:$C$15</c:f>
              <c:numCache>
                <c:formatCode>General</c:formatCode>
                <c:ptCount val="2"/>
                <c:pt idx="0">
                  <c:v>1089.7</c:v>
                </c:pt>
                <c:pt idx="1">
                  <c:v>793.33</c:v>
                </c:pt>
              </c:numCache>
            </c:numRef>
          </c:val>
        </c:ser>
        <c:dLbls>
          <c:showLegendKey val="0"/>
          <c:showVal val="1"/>
          <c:showCatName val="0"/>
          <c:showSerName val="0"/>
          <c:showPercent val="0"/>
          <c:showBubbleSize val="0"/>
        </c:dLbls>
        <c:gapWidth val="150"/>
        <c:axId val="84907136"/>
        <c:axId val="84908672"/>
      </c:barChart>
      <c:catAx>
        <c:axId val="849071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8672"/>
        <c:crosses val="autoZero"/>
        <c:auto val="1"/>
        <c:lblAlgn val="ctr"/>
        <c:lblOffset val="100"/>
        <c:noMultiLvlLbl val="0"/>
      </c:catAx>
      <c:valAx>
        <c:axId val="84908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490713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ltLang="zh-CN"/>
              <a:t>             一般公共预算</a:t>
            </a:r>
            <a:r>
              <a:rPr altLang="en-US"/>
              <a:t>财政补款</a:t>
            </a:r>
            <a:r>
              <a:rPr lang="zh-CN" altLang="en-US"/>
              <a:t>支出决算结构情况图</a:t>
            </a:r>
            <a:endParaRPr lang="zh-CN" altLang="en-US"/>
          </a:p>
        </c:rich>
      </c:tx>
      <c:layout>
        <c:manualLayout>
          <c:xMode val="edge"/>
          <c:yMode val="edge"/>
          <c:x val="0.142028985507246"/>
          <c:y val="0.0159090909090909"/>
        </c:manualLayout>
      </c:layout>
      <c:overlay val="0"/>
    </c:title>
    <c:autoTitleDeleted val="0"/>
    <c:plotArea>
      <c:layout/>
      <c:pieChart>
        <c:varyColors val="1"/>
        <c:ser>
          <c:idx val="0"/>
          <c:order val="0"/>
          <c:tx>
            <c:strRef>
              <c:f>[政法委决算公开附图.xlsx]一般公共预算财政拨款支出决算结构图6!$C$16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Pt>
            <c:idx val="4"/>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[政法委决算公开附图.xlsx]一般公共预算财政拨款支出决算结构图6!$B$17:$B$21</c:f>
              <c:strCache>
                <c:ptCount val="5"/>
                <c:pt idx="0">
                  <c:v>一般公共服务支出596.06万元</c:v>
                </c:pt>
                <c:pt idx="1">
                  <c:v>公共安全支出8.46万元</c:v>
                </c:pt>
                <c:pt idx="2">
                  <c:v>社会保障和就业支出71.22万元</c:v>
                </c:pt>
                <c:pt idx="3">
                  <c:v>卫生健康支出84.77万元</c:v>
                </c:pt>
                <c:pt idx="4">
                  <c:v>住房保障支出32.82万元</c:v>
                </c:pt>
              </c:strCache>
            </c:strRef>
          </c:cat>
          <c:val>
            <c:numRef>
              <c:f>[政法委决算公开附图.xlsx]一般公共预算财政拨款支出决算结构图6!$C$17:$C$21</c:f>
              <c:numCache>
                <c:formatCode>0.00%</c:formatCode>
                <c:ptCount val="5"/>
                <c:pt idx="0">
                  <c:v>0.7513</c:v>
                </c:pt>
                <c:pt idx="1">
                  <c:v>0.0107</c:v>
                </c:pt>
                <c:pt idx="2">
                  <c:v>0.0898</c:v>
                </c:pt>
                <c:pt idx="3">
                  <c:v>0.1068</c:v>
                </c:pt>
                <c:pt idx="4">
                  <c:v>0.0414</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 </a:t>
            </a:r>
            <a:r>
              <a:rPr lang="en-US" altLang="zh-CN"/>
              <a:t>"</a:t>
            </a:r>
            <a:r>
              <a:rPr lang="zh-CN" altLang="en-US"/>
              <a:t>三公”经费财政拨款 支出结构图</a:t>
            </a:r>
            <a:endParaRPr lang="zh-CN" altLang="en-US"/>
          </a:p>
        </c:rich>
      </c:tx>
      <c:layout/>
      <c:overlay val="0"/>
    </c:title>
    <c:autoTitleDeleted val="0"/>
    <c:plotArea>
      <c:layout/>
      <c:pieChart>
        <c:varyColors val="1"/>
        <c:ser>
          <c:idx val="0"/>
          <c:order val="0"/>
          <c:tx>
            <c:strRef>
              <c:f>'[政法委决算公开附图.xlsx]“三公”经费财政拨款支出结构图7 '!$B$9</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'[政法委决算公开附图.xlsx]“三公”经费财政拨款支出结构图7 '!$A$10:$A$12</c:f>
              <c:strCache>
                <c:ptCount val="3"/>
                <c:pt idx="0">
                  <c:v>因公出国（境）费支出0万元</c:v>
                </c:pt>
                <c:pt idx="1">
                  <c:v>公务用车购置及运行维护费支出0万元</c:v>
                </c:pt>
                <c:pt idx="2">
                  <c:v>公务接待费支出0.34万元</c:v>
                </c:pt>
              </c:strCache>
            </c:strRef>
          </c:cat>
          <c:val>
            <c:numRef>
              <c:f>'[政法委决算公开附图.xlsx]“三公”经费财政拨款支出结构图7 '!$B$10:$B$12</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16</TotalTime>
  <ScaleCrop>false</ScaleCrop>
  <LinksUpToDate>false</LinksUpToDate>
  <CharactersWithSpaces>8692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2025-10-22T08:44:24Z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E9AE2FCF75F544838BA49AED61D1A84C</vt:lpwstr>
  </property>
</Properties>
</file>