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8441"/>
      <w:bookmarkStart w:id="1" w:name="_Toc15396475"/>
      <w:bookmarkStart w:id="2" w:name="_Toc15396597"/>
      <w:bookmarkStart w:id="3" w:name="_Toc15377425"/>
      <w:bookmarkStart w:id="4" w:name="_Toc15377193"/>
      <w:bookmarkStart w:id="5" w:name="_Toc15306267"/>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8442"/>
      <w:bookmarkStart w:id="8" w:name="_Toc15377426"/>
      <w:bookmarkStart w:id="9" w:name="_Toc15377194"/>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w:t>
      </w:r>
    </w:p>
    <w:bookmarkEnd w:id="5"/>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11" w:name="_Toc15306268"/>
      <w:r>
        <w:rPr>
          <w:rFonts w:hint="eastAsia" w:ascii="Times New Roman" w:eastAsia="方正小标宋简体" w:cs="Times New Roman"/>
          <w:color w:val="auto"/>
          <w:kern w:val="2"/>
          <w:sz w:val="44"/>
          <w:szCs w:val="44"/>
          <w:highlight w:val="none"/>
          <w:lang w:val="en-US" w:eastAsia="zh-CN" w:bidi="ar-SA"/>
        </w:rPr>
        <w:t>乐山市市中区委政法委员会</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bookmarkStart w:id="69" w:name="_GoBack"/>
      <w:bookmarkEnd w:id="69"/>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bookmarkStart w:id="12" w:name="_Toc15377196"/>
      <w:bookmarkStart w:id="13" w:name="_Toc15396599"/>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部门</w:t>
      </w:r>
      <w:r>
        <w:rPr>
          <w:rFonts w:hint="eastAsia" w:ascii="Times New Roman" w:hAnsi="Times New Roman" w:eastAsia="黑体" w:cs="黑体"/>
          <w:color w:val="auto"/>
          <w:sz w:val="32"/>
          <w:szCs w:val="32"/>
          <w:highlight w:val="none"/>
        </w:rPr>
        <w:t>概况</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一、主要职责………………………………………………</w:t>
      </w:r>
      <w:r>
        <w:rPr>
          <w:rFonts w:hint="eastAsia" w:eastAsia="仿宋_GB2312" w:cs="仿宋_GB2312"/>
          <w:color w:val="auto"/>
          <w:kern w:val="2"/>
          <w:sz w:val="32"/>
          <w:szCs w:val="32"/>
          <w:highlight w:val="none"/>
          <w:lang w:val="en-US" w:eastAsia="zh-CN" w:bidi="ar-SA"/>
        </w:rPr>
        <w:t>4</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二、机构设置………………………………………………</w:t>
      </w:r>
      <w:r>
        <w:rPr>
          <w:rFonts w:hint="eastAsia" w:eastAsia="仿宋_GB2312" w:cs="仿宋_GB2312"/>
          <w:color w:val="auto"/>
          <w:kern w:val="2"/>
          <w:sz w:val="32"/>
          <w:szCs w:val="32"/>
          <w:highlight w:val="none"/>
          <w:lang w:val="en-US" w:eastAsia="zh-CN" w:bidi="ar-SA"/>
        </w:rPr>
        <w:t>4</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2024年度部门</w:t>
      </w:r>
      <w:r>
        <w:rPr>
          <w:rFonts w:hint="eastAsia" w:ascii="Times New Roman" w:hAnsi="Times New Roman" w:eastAsia="黑体" w:cs="黑体"/>
          <w:color w:val="auto"/>
          <w:sz w:val="32"/>
          <w:szCs w:val="32"/>
          <w:highlight w:val="none"/>
        </w:rPr>
        <w:t>决算情况说明</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一、收入支出决算总体情况说明…………………………</w:t>
      </w:r>
      <w:r>
        <w:rPr>
          <w:rFonts w:hint="eastAsia" w:eastAsia="仿宋_GB2312" w:cs="仿宋_GB2312"/>
          <w:color w:val="auto"/>
          <w:kern w:val="2"/>
          <w:sz w:val="32"/>
          <w:szCs w:val="32"/>
          <w:highlight w:val="none"/>
          <w:lang w:val="en-US" w:eastAsia="zh-CN" w:bidi="ar-SA"/>
        </w:rPr>
        <w:t>4</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二、收入决算情况说明……………………………………</w:t>
      </w:r>
      <w:r>
        <w:rPr>
          <w:rFonts w:hint="eastAsia" w:eastAsia="仿宋_GB2312" w:cs="仿宋_GB2312"/>
          <w:color w:val="auto"/>
          <w:kern w:val="2"/>
          <w:sz w:val="32"/>
          <w:szCs w:val="32"/>
          <w:highlight w:val="none"/>
          <w:lang w:val="en-US" w:eastAsia="zh-CN" w:bidi="ar-SA"/>
        </w:rPr>
        <w:t>5</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三、支出决算情况说明……………………………………</w:t>
      </w:r>
      <w:r>
        <w:rPr>
          <w:rFonts w:hint="eastAsia" w:eastAsia="仿宋_GB2312" w:cs="仿宋_GB2312"/>
          <w:color w:val="auto"/>
          <w:kern w:val="2"/>
          <w:sz w:val="32"/>
          <w:szCs w:val="32"/>
          <w:highlight w:val="none"/>
          <w:lang w:val="en-US" w:eastAsia="zh-CN" w:bidi="ar-SA"/>
        </w:rPr>
        <w:t>5</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四、财政拨款收入支出决算总体情况说明………………</w:t>
      </w:r>
      <w:r>
        <w:rPr>
          <w:rFonts w:hint="eastAsia" w:eastAsia="仿宋_GB2312" w:cs="仿宋_GB2312"/>
          <w:color w:val="auto"/>
          <w:kern w:val="2"/>
          <w:sz w:val="32"/>
          <w:szCs w:val="32"/>
          <w:highlight w:val="none"/>
          <w:lang w:val="en-US" w:eastAsia="zh-CN" w:bidi="ar-SA"/>
        </w:rPr>
        <w:t>6</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五、一般公共预算财政拨款支出决算情况说明…………</w:t>
      </w:r>
      <w:r>
        <w:rPr>
          <w:rFonts w:hint="eastAsia" w:eastAsia="仿宋_GB2312" w:cs="仿宋_GB2312"/>
          <w:color w:val="auto"/>
          <w:kern w:val="2"/>
          <w:sz w:val="32"/>
          <w:szCs w:val="32"/>
          <w:highlight w:val="none"/>
          <w:lang w:val="en-US" w:eastAsia="zh-CN" w:bidi="ar-SA"/>
        </w:rPr>
        <w:t>7</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一般公共预算财政拨款支出决算总体情况………</w:t>
      </w:r>
      <w:r>
        <w:rPr>
          <w:rFonts w:hint="eastAsia" w:eastAsia="仿宋_GB2312" w:cs="仿宋_GB2312"/>
          <w:color w:val="auto"/>
          <w:kern w:val="2"/>
          <w:sz w:val="32"/>
          <w:szCs w:val="32"/>
          <w:highlight w:val="none"/>
          <w:lang w:val="en-US" w:eastAsia="zh-CN" w:bidi="ar-SA"/>
        </w:rPr>
        <w:t>7</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二</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一般公共预算财政拨款支出决算结构情况………</w:t>
      </w:r>
      <w:r>
        <w:rPr>
          <w:rFonts w:hint="eastAsia" w:eastAsia="仿宋_GB2312" w:cs="仿宋_GB2312"/>
          <w:color w:val="auto"/>
          <w:kern w:val="2"/>
          <w:sz w:val="32"/>
          <w:szCs w:val="32"/>
          <w:highlight w:val="none"/>
          <w:lang w:val="en-US" w:eastAsia="zh-CN" w:bidi="ar-SA"/>
        </w:rPr>
        <w:t>8</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（三）</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一般公共预算财政拨款支出决算具体情况………</w:t>
      </w:r>
      <w:r>
        <w:rPr>
          <w:rFonts w:hint="eastAsia" w:eastAsia="仿宋_GB2312" w:cs="仿宋_GB2312"/>
          <w:color w:val="auto"/>
          <w:kern w:val="2"/>
          <w:sz w:val="32"/>
          <w:szCs w:val="32"/>
          <w:highlight w:val="none"/>
          <w:lang w:val="en-US" w:eastAsia="zh-CN" w:bidi="ar-SA"/>
        </w:rPr>
        <w:t>8</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六、一般公共预算财政拨款基本支出决算情况说明……</w:t>
      </w:r>
      <w:r>
        <w:rPr>
          <w:rFonts w:hint="eastAsia" w:eastAsia="仿宋_GB2312" w:cs="仿宋_GB2312"/>
          <w:color w:val="auto"/>
          <w:kern w:val="2"/>
          <w:sz w:val="32"/>
          <w:szCs w:val="32"/>
          <w:highlight w:val="none"/>
          <w:lang w:val="en-US" w:eastAsia="zh-CN" w:bidi="ar-SA"/>
        </w:rPr>
        <w:t>10</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七、财政拨款“三公”经费支出决算情况说明…………</w:t>
      </w:r>
      <w:r>
        <w:rPr>
          <w:rFonts w:hint="eastAsia" w:eastAsia="仿宋_GB2312" w:cs="仿宋_GB2312"/>
          <w:color w:val="auto"/>
          <w:kern w:val="2"/>
          <w:sz w:val="32"/>
          <w:szCs w:val="32"/>
          <w:highlight w:val="none"/>
          <w:lang w:val="en-US" w:eastAsia="zh-CN" w:bidi="ar-SA"/>
        </w:rPr>
        <w:t>10</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“三公”经费财政拨款支出决算总体情况说明…</w:t>
      </w:r>
      <w:r>
        <w:rPr>
          <w:rFonts w:hint="eastAsia" w:eastAsia="仿宋_GB2312" w:cs="仿宋_GB2312"/>
          <w:color w:val="auto"/>
          <w:kern w:val="2"/>
          <w:sz w:val="32"/>
          <w:szCs w:val="32"/>
          <w:highlight w:val="none"/>
          <w:lang w:val="en-US" w:eastAsia="zh-CN" w:bidi="ar-SA"/>
        </w:rPr>
        <w:t>10</w:t>
      </w:r>
    </w:p>
    <w:p>
      <w:pPr>
        <w:pStyle w:val="14"/>
        <w:adjustRightInd w:val="0"/>
        <w:snapToGrid w:val="0"/>
        <w:spacing w:line="440" w:lineRule="exact"/>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二</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“三公”经费财政拨款支出决算具体情况说明…</w:t>
      </w:r>
      <w:r>
        <w:rPr>
          <w:rFonts w:hint="eastAsia" w:eastAsia="仿宋_GB2312" w:cs="仿宋_GB2312"/>
          <w:color w:val="auto"/>
          <w:kern w:val="2"/>
          <w:sz w:val="32"/>
          <w:szCs w:val="32"/>
          <w:highlight w:val="none"/>
          <w:lang w:val="en-US" w:eastAsia="zh-CN" w:bidi="ar-SA"/>
        </w:rPr>
        <w:t>11</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八、政府性基金预算支出决算情况说明…………………</w:t>
      </w:r>
      <w:r>
        <w:rPr>
          <w:rFonts w:hint="eastAsia" w:eastAsia="仿宋_GB2312" w:cs="仿宋_GB2312"/>
          <w:color w:val="auto"/>
          <w:kern w:val="2"/>
          <w:sz w:val="32"/>
          <w:szCs w:val="32"/>
          <w:highlight w:val="none"/>
          <w:lang w:val="en-US" w:eastAsia="zh-CN" w:bidi="ar-SA"/>
        </w:rPr>
        <w:t>12</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九、国有资本经营预算支出决算情况说明………………</w:t>
      </w:r>
      <w:r>
        <w:rPr>
          <w:rFonts w:hint="eastAsia" w:eastAsia="仿宋_GB2312" w:cs="仿宋_GB2312"/>
          <w:color w:val="auto"/>
          <w:kern w:val="2"/>
          <w:sz w:val="32"/>
          <w:szCs w:val="32"/>
          <w:highlight w:val="none"/>
          <w:lang w:val="en-US" w:eastAsia="zh-CN" w:bidi="ar-SA"/>
        </w:rPr>
        <w:t>12</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十、其他重要事项的情况说明……………………………</w:t>
      </w:r>
      <w:r>
        <w:rPr>
          <w:rFonts w:hint="eastAsia" w:eastAsia="仿宋_GB2312" w:cs="仿宋_GB2312"/>
          <w:color w:val="auto"/>
          <w:kern w:val="2"/>
          <w:sz w:val="32"/>
          <w:szCs w:val="32"/>
          <w:highlight w:val="none"/>
          <w:lang w:val="en-US" w:eastAsia="zh-CN" w:bidi="ar-SA"/>
        </w:rPr>
        <w:t>12</w:t>
      </w:r>
    </w:p>
    <w:p>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（一）机关运行经费支出情况…………………………1</w:t>
      </w:r>
      <w:r>
        <w:rPr>
          <w:rFonts w:hint="eastAsia" w:eastAsia="仿宋_GB2312" w:cs="仿宋_GB2312"/>
          <w:color w:val="auto"/>
          <w:kern w:val="2"/>
          <w:sz w:val="32"/>
          <w:szCs w:val="32"/>
          <w:highlight w:val="none"/>
          <w:lang w:val="en-US" w:eastAsia="zh-CN" w:bidi="ar-SA"/>
        </w:rPr>
        <w:t>2</w:t>
      </w:r>
    </w:p>
    <w:p>
      <w:pPr>
        <w:autoSpaceDE w:val="0"/>
        <w:autoSpaceDN w:val="0"/>
        <w:adjustRightInd w:val="0"/>
        <w:spacing w:line="600" w:lineRule="exact"/>
        <w:ind w:firstLine="640" w:firstLineChars="200"/>
        <w:jc w:val="left"/>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（二）政府采购支出情况………………………………1</w:t>
      </w:r>
      <w:r>
        <w:rPr>
          <w:rFonts w:hint="eastAsia" w:eastAsia="仿宋_GB2312" w:cs="仿宋_GB2312"/>
          <w:color w:val="auto"/>
          <w:kern w:val="2"/>
          <w:sz w:val="32"/>
          <w:szCs w:val="32"/>
          <w:highlight w:val="none"/>
          <w:lang w:val="en-US" w:eastAsia="zh-CN" w:bidi="ar-SA"/>
        </w:rPr>
        <w:t>2</w:t>
      </w:r>
    </w:p>
    <w:p>
      <w:pPr>
        <w:autoSpaceDE w:val="0"/>
        <w:autoSpaceDN w:val="0"/>
        <w:adjustRightInd w:val="0"/>
        <w:spacing w:line="600" w:lineRule="exact"/>
        <w:ind w:firstLine="640" w:firstLineChars="200"/>
        <w:jc w:val="left"/>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（三）国有资产占有使用情况…………………………1</w:t>
      </w:r>
      <w:r>
        <w:rPr>
          <w:rFonts w:hint="eastAsia" w:eastAsia="仿宋_GB2312" w:cs="仿宋_GB2312"/>
          <w:color w:val="auto"/>
          <w:kern w:val="2"/>
          <w:sz w:val="32"/>
          <w:szCs w:val="32"/>
          <w:highlight w:val="none"/>
          <w:lang w:val="en-US" w:eastAsia="zh-CN" w:bidi="ar-SA"/>
        </w:rPr>
        <w:t>3</w:t>
      </w:r>
    </w:p>
    <w:p>
      <w:pPr>
        <w:autoSpaceDE w:val="0"/>
        <w:autoSpaceDN w:val="0"/>
        <w:adjustRightInd w:val="0"/>
        <w:spacing w:line="600" w:lineRule="exact"/>
        <w:ind w:firstLine="640" w:firstLineChars="200"/>
        <w:jc w:val="left"/>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（四）预算绩效管理情况………………………………</w:t>
      </w:r>
      <w:r>
        <w:rPr>
          <w:rFonts w:hint="eastAsia" w:eastAsia="仿宋_GB2312" w:cs="仿宋_GB2312"/>
          <w:color w:val="auto"/>
          <w:kern w:val="2"/>
          <w:sz w:val="32"/>
          <w:szCs w:val="32"/>
          <w:highlight w:val="none"/>
          <w:lang w:val="en-US" w:eastAsia="zh-CN" w:bidi="ar-SA"/>
        </w:rPr>
        <w:t>13</w:t>
      </w:r>
    </w:p>
    <w:p>
      <w:pPr>
        <w:pStyle w:val="14"/>
        <w:adjustRightInd w:val="0"/>
        <w:snapToGrid w:val="0"/>
        <w:spacing w:line="440" w:lineRule="exact"/>
        <w:jc w:val="left"/>
        <w:rPr>
          <w:rFonts w:hint="eastAsia" w:ascii="Times New Roman" w:hAnsi="Times New Roman" w:eastAsia="黑体" w:cs="黑体"/>
          <w:color w:val="auto"/>
          <w:sz w:val="32"/>
          <w:szCs w:val="32"/>
          <w:highlight w:val="none"/>
        </w:rPr>
      </w:pP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第三部分 名词解释………………………………………14</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第四部分 附件……………………………………………18</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第五部分 附表……………………………………………</w:t>
      </w:r>
      <w:r>
        <w:rPr>
          <w:rFonts w:hint="eastAsia" w:eastAsia="仿宋_GB2312" w:cs="仿宋_GB2312"/>
          <w:color w:val="auto"/>
          <w:kern w:val="2"/>
          <w:sz w:val="32"/>
          <w:szCs w:val="32"/>
          <w:highlight w:val="none"/>
          <w:lang w:val="en-US" w:eastAsia="zh-CN" w:bidi="ar-SA"/>
        </w:rPr>
        <w:t>26</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val="en-US" w:eastAsia="zh-CN"/>
        </w:rPr>
        <w:t>部门</w:t>
      </w:r>
      <w:r>
        <w:rPr>
          <w:rStyle w:val="28"/>
          <w:rFonts w:hint="eastAsia" w:ascii="Times New Roman" w:hAnsi="Times New Roman" w:eastAsia="方正小标宋简体" w:cs="方正小标宋简体"/>
          <w:b w:val="0"/>
          <w:bCs w:val="0"/>
          <w:color w:val="auto"/>
          <w:highlight w:val="none"/>
        </w:rPr>
        <w:t>概况</w:t>
      </w:r>
      <w:bookmarkEnd w:id="12"/>
      <w:bookmarkEnd w:id="13"/>
    </w:p>
    <w:p>
      <w:pPr>
        <w:widowControl/>
        <w:jc w:val="left"/>
        <w:rPr>
          <w:rFonts w:ascii="Times New Roman" w:hAnsi="Times New Roman" w:eastAsia="黑体"/>
          <w:color w:val="auto"/>
          <w:sz w:val="32"/>
          <w:szCs w:val="32"/>
          <w:highlight w:val="none"/>
        </w:rPr>
      </w:pPr>
    </w:p>
    <w:p>
      <w:pPr>
        <w:pStyle w:val="4"/>
        <w:rPr>
          <w:rStyle w:val="29"/>
          <w:rFonts w:hint="eastAsia" w:ascii="Times New Roman" w:hAnsi="Times New Roman" w:eastAsia="黑体"/>
          <w:b w:val="0"/>
          <w:bCs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pPr>
        <w:pStyle w:val="4"/>
        <w:rPr>
          <w:rFonts w:hint="default" w:ascii="仿宋_GB2312" w:hAnsi="仿宋_GB2312" w:eastAsia="仿宋_GB2312" w:cs="仿宋_GB2312"/>
          <w:b w:val="0"/>
          <w:bCs w:val="0"/>
          <w:color w:val="auto"/>
          <w:kern w:val="2"/>
          <w:sz w:val="32"/>
          <w:szCs w:val="32"/>
          <w:highlight w:val="none"/>
          <w:lang w:val="en-US" w:eastAsia="zh-CN" w:bidi="ar-SA"/>
        </w:rPr>
      </w:pPr>
      <w:bookmarkStart w:id="16" w:name="_Toc15377200"/>
      <w:bookmarkStart w:id="17" w:name="_Toc15396601"/>
      <w:r>
        <w:rPr>
          <w:rFonts w:hint="eastAsia" w:ascii="仿宋_GB2312" w:hAnsi="仿宋_GB2312" w:eastAsia="仿宋_GB2312" w:cs="仿宋_GB2312"/>
          <w:b w:val="0"/>
          <w:bCs w:val="0"/>
          <w:color w:val="auto"/>
          <w:kern w:val="2"/>
          <w:sz w:val="32"/>
          <w:szCs w:val="32"/>
          <w:highlight w:val="none"/>
          <w:lang w:val="en-US" w:eastAsia="zh-CN" w:bidi="ar-SA"/>
        </w:rPr>
        <w:t>中共乐山市市中区委政法委员会因机构改革后，我委工作职能涉密，故不做公开。</w:t>
      </w:r>
    </w:p>
    <w:p>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p>
    <w:p>
      <w:pPr>
        <w:numPr>
          <w:ilvl w:val="0"/>
          <w:numId w:val="0"/>
        </w:numPr>
        <w:snapToGrid w:val="0"/>
        <w:spacing w:line="520" w:lineRule="exact"/>
        <w:ind w:firstLine="640" w:firstLineChars="200"/>
        <w:rPr>
          <w:rFonts w:hint="eastAsia" w:ascii="仿宋_GB2312" w:hAnsi="仿宋" w:eastAsia="仿宋_GB2312" w:cs="Times New Roman"/>
          <w:color w:val="000000"/>
          <w:kern w:val="2"/>
          <w:sz w:val="32"/>
          <w:szCs w:val="32"/>
          <w:lang w:val="en-US" w:eastAsia="zh-CN" w:bidi="ar-SA"/>
        </w:rPr>
      </w:pPr>
      <w:r>
        <w:rPr>
          <w:rFonts w:hint="eastAsia" w:ascii="仿宋_GB2312" w:hAnsi="仿宋_GB2312" w:eastAsia="仿宋_GB2312" w:cs="仿宋_GB2312"/>
          <w:color w:val="auto"/>
          <w:sz w:val="32"/>
          <w:szCs w:val="32"/>
          <w:highlight w:val="none"/>
        </w:rPr>
        <w:t>中共乐山市市中区委政法委员会</w:t>
      </w:r>
      <w:r>
        <w:rPr>
          <w:rFonts w:hint="eastAsia" w:ascii="仿宋_GB2312" w:hAnsi="仿宋" w:eastAsia="仿宋_GB2312" w:cs="Times New Roman"/>
          <w:color w:val="000000"/>
          <w:kern w:val="2"/>
          <w:sz w:val="32"/>
          <w:szCs w:val="32"/>
          <w:lang w:val="en-US" w:eastAsia="zh-CN" w:bidi="ar-SA"/>
        </w:rPr>
        <w:t>年末机构数为2个，其中行政机构1个，事业机构1个, 为乐山市市中区社会治安综合治理中心，全年无增减变动。</w:t>
      </w:r>
    </w:p>
    <w:p>
      <w:pPr>
        <w:widowControl/>
        <w:ind w:firstLine="640" w:firstLineChars="200"/>
        <w:jc w:val="left"/>
        <w:rPr>
          <w:rFonts w:ascii="Times New Roman" w:hAnsi="Times New Roman" w:eastAsia="仿宋"/>
          <w:color w:val="auto"/>
          <w:kern w:val="0"/>
          <w:sz w:val="32"/>
          <w:szCs w:val="32"/>
          <w:highlight w:val="none"/>
        </w:rPr>
      </w:pPr>
      <w:r>
        <w:rPr>
          <w:rFonts w:hint="eastAsia" w:ascii="仿宋_GB2312" w:hAnsi="仿宋" w:eastAsia="仿宋_GB2312" w:cs="Times New Roman"/>
          <w:color w:val="000000"/>
          <w:kern w:val="2"/>
          <w:sz w:val="32"/>
          <w:szCs w:val="32"/>
          <w:lang w:val="en-US" w:eastAsia="zh-CN" w:bidi="ar-SA"/>
        </w:rPr>
        <w:t>年末人数为20人，其中公务员12人，机关工勤2人，非参公事业人员6人。变动情况为：公务员调入2人，调出4人；机关工勤退休1人。</w:t>
      </w:r>
    </w:p>
    <w:p>
      <w:pPr>
        <w:pStyle w:val="3"/>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部门</w:t>
      </w:r>
      <w:r>
        <w:rPr>
          <w:rFonts w:hint="eastAsia" w:ascii="Times New Roman" w:hAnsi="Times New Roman" w:eastAsia="方正小标宋简体" w:cs="方正小标宋简体"/>
          <w:b w:val="0"/>
          <w:color w:val="auto"/>
          <w:highlight w:val="none"/>
        </w:rPr>
        <w:t>决算情况说明</w:t>
      </w:r>
      <w:bookmarkEnd w:id="18"/>
      <w:bookmarkEnd w:id="19"/>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793.33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val="en-US" w:eastAsia="zh-CN"/>
        </w:rPr>
        <w:t>1089.7万元</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296.37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27.2</w:t>
      </w:r>
      <w:r>
        <w:rPr>
          <w:rFonts w:hint="eastAsia" w:ascii="Times New Roman" w:hAnsi="Times New Roman" w:eastAsia="仿宋_GB2312" w:cs="仿宋_GB2312"/>
          <w:color w:val="auto"/>
          <w:sz w:val="32"/>
          <w:szCs w:val="32"/>
          <w:highlight w:val="none"/>
        </w:rPr>
        <w:t>%。主要变动原因是</w:t>
      </w:r>
      <w:r>
        <w:rPr>
          <w:rFonts w:hint="eastAsia" w:ascii="仿宋_GB2312" w:eastAsia="仿宋_GB2312"/>
          <w:sz w:val="32"/>
          <w:szCs w:val="32"/>
        </w:rPr>
        <w:t>2024年比2023年减少雪亮工程、关爱中心建设等</w:t>
      </w:r>
      <w:r>
        <w:rPr>
          <w:rFonts w:hint="eastAsia" w:ascii="仿宋_GB2312" w:eastAsia="仿宋_GB2312"/>
          <w:sz w:val="32"/>
          <w:szCs w:val="32"/>
          <w:lang w:val="en-US" w:eastAsia="zh-CN"/>
        </w:rPr>
        <w:t>项目经费</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728845" cy="2308860"/>
            <wp:effectExtent l="38735" t="18415" r="52070" b="730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765.05万元，其中：一般公共预算财政拨款收入765.05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615180" cy="2414905"/>
            <wp:effectExtent l="38735" t="18415" r="51435" b="6223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96605"/>
      <w:bookmarkStart w:id="25" w:name="_Toc1537720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793.33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472.49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59.55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320.83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82465" cy="2319655"/>
            <wp:effectExtent l="38735" t="18415" r="50800" b="622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6"/>
      <w:bookmarkEnd w:id="2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793.33</w:t>
      </w:r>
      <w:r>
        <w:rPr>
          <w:rFonts w:hint="eastAsia" w:ascii="Times New Roman" w:hAnsi="Times New Roman" w:eastAsia="仿宋_GB2312" w:cs="仿宋_GB2312"/>
          <w:color w:val="auto"/>
          <w:kern w:val="2"/>
          <w:sz w:val="32"/>
          <w:szCs w:val="32"/>
          <w:highlight w:val="none"/>
          <w:lang w:val="en-US" w:eastAsia="zh-CN" w:bidi="ar-SA"/>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val="en-US" w:eastAsia="zh-CN"/>
        </w:rPr>
        <w:t>1089.7万元</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296.37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27.2</w:t>
      </w:r>
      <w:r>
        <w:rPr>
          <w:rFonts w:hint="eastAsia" w:ascii="Times New Roman" w:hAnsi="Times New Roman" w:eastAsia="仿宋_GB2312" w:cs="仿宋_GB2312"/>
          <w:color w:val="auto"/>
          <w:sz w:val="32"/>
          <w:szCs w:val="32"/>
          <w:highlight w:val="none"/>
        </w:rPr>
        <w:t>%。主要变动原因是</w:t>
      </w:r>
      <w:r>
        <w:rPr>
          <w:rFonts w:hint="eastAsia" w:ascii="仿宋_GB2312" w:eastAsia="仿宋_GB2312"/>
          <w:sz w:val="32"/>
          <w:szCs w:val="32"/>
        </w:rPr>
        <w:t>2024年比2023年减少雪亮工程、关爱中心建设等</w:t>
      </w:r>
      <w:r>
        <w:rPr>
          <w:rFonts w:hint="eastAsia" w:ascii="仿宋_GB2312" w:eastAsia="仿宋_GB2312"/>
          <w:sz w:val="32"/>
          <w:szCs w:val="32"/>
          <w:lang w:val="en-US" w:eastAsia="zh-CN"/>
        </w:rPr>
        <w:t>项目经费</w:t>
      </w:r>
      <w:r>
        <w:rPr>
          <w:rFonts w:hint="eastAsia" w:ascii="仿宋_GB2312" w:eastAsia="仿宋_GB2312"/>
          <w:sz w:val="32"/>
          <w:szCs w:val="32"/>
          <w:lang w:eastAsia="zh-CN"/>
        </w:rPr>
        <w:t>。</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445135</wp:posOffset>
            </wp:positionH>
            <wp:positionV relativeFrom="paragraph">
              <wp:posOffset>389890</wp:posOffset>
            </wp:positionV>
            <wp:extent cx="4395470" cy="2393950"/>
            <wp:effectExtent l="38735" t="18415" r="42545" b="64135"/>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outlineLvl w:val="1"/>
        <w:rPr>
          <w:rStyle w:val="29"/>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793.33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sz w:val="32"/>
          <w:szCs w:val="32"/>
          <w:highlight w:val="none"/>
          <w:lang w:val="en-US" w:eastAsia="zh-CN"/>
        </w:rPr>
        <w:t>296.37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27.2</w:t>
      </w:r>
      <w:r>
        <w:rPr>
          <w:rFonts w:hint="eastAsia" w:ascii="Times New Roman" w:hAnsi="Times New Roman" w:eastAsia="仿宋_GB2312" w:cs="仿宋_GB2312"/>
          <w:color w:val="auto"/>
          <w:sz w:val="32"/>
          <w:szCs w:val="32"/>
          <w:highlight w:val="none"/>
        </w:rPr>
        <w:t>%。主要变动原因是</w:t>
      </w:r>
      <w:r>
        <w:rPr>
          <w:rFonts w:hint="eastAsia" w:ascii="仿宋_GB2312" w:eastAsia="仿宋_GB2312"/>
          <w:sz w:val="32"/>
          <w:szCs w:val="32"/>
        </w:rPr>
        <w:t>2024年比2023年减少雪亮工程、关爱中心建设等</w:t>
      </w:r>
      <w:r>
        <w:rPr>
          <w:rFonts w:hint="eastAsia" w:ascii="仿宋_GB2312" w:eastAsia="仿宋_GB2312"/>
          <w:sz w:val="32"/>
          <w:szCs w:val="32"/>
          <w:lang w:val="en-US" w:eastAsia="zh-CN"/>
        </w:rPr>
        <w:t>项目经费</w:t>
      </w:r>
      <w:r>
        <w:rPr>
          <w:rFonts w:hint="eastAsia" w:ascii="仿宋_GB2312" w:eastAsia="仿宋_GB2312"/>
          <w:sz w:val="32"/>
          <w:szCs w:val="32"/>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330835</wp:posOffset>
            </wp:positionH>
            <wp:positionV relativeFrom="paragraph">
              <wp:posOffset>970915</wp:posOffset>
            </wp:positionV>
            <wp:extent cx="4347210" cy="2470150"/>
            <wp:effectExtent l="38735" t="18415" r="52705" b="64135"/>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793.33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596.06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75.13</w:t>
      </w:r>
      <w:r>
        <w:rPr>
          <w:rFonts w:hint="eastAsia" w:ascii="Times New Roman" w:hAnsi="Times New Roman" w:eastAsia="仿宋_GB2312" w:cs="仿宋_GB2312"/>
          <w:color w:val="auto"/>
          <w:kern w:val="2"/>
          <w:sz w:val="32"/>
          <w:szCs w:val="32"/>
          <w:highlight w:val="none"/>
          <w:lang w:val="en-US" w:eastAsia="zh-CN" w:bidi="ar-SA"/>
        </w:rPr>
        <w:t>%；公共安全支出</w:t>
      </w:r>
      <w:r>
        <w:rPr>
          <w:rFonts w:hint="eastAsia" w:eastAsia="仿宋_GB2312" w:cs="仿宋_GB2312"/>
          <w:color w:val="auto"/>
          <w:kern w:val="2"/>
          <w:sz w:val="32"/>
          <w:szCs w:val="32"/>
          <w:highlight w:val="none"/>
          <w:lang w:val="en-US" w:eastAsia="zh-CN" w:bidi="ar-SA"/>
        </w:rPr>
        <w:t>8.46万元，占1.07%；</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71.22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8.98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84.77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10.68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32.82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w:t>
      </w:r>
      <w:r>
        <w:drawing>
          <wp:anchor distT="0" distB="0" distL="114300" distR="114300" simplePos="0" relativeHeight="251661312" behindDoc="0" locked="0" layoutInCell="1" allowOverlap="1">
            <wp:simplePos x="0" y="0"/>
            <wp:positionH relativeFrom="column">
              <wp:posOffset>473710</wp:posOffset>
            </wp:positionH>
            <wp:positionV relativeFrom="paragraph">
              <wp:posOffset>504190</wp:posOffset>
            </wp:positionV>
            <wp:extent cx="4394200" cy="2498090"/>
            <wp:effectExtent l="38735" t="18415" r="43815" b="74295"/>
            <wp:wrapTopAndBottom/>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7213"/>
      <w:bookmarkStart w:id="35"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793.33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一般公共服务（类）其他共产党事务支出（款）行政运行（项）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286.92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一般公共服务（类）其他共产党事务支出（款）一般行政管理事务（项）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支出决算为227.71万元，完成预算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3.一般公共服务（类）其他共产党事务支出（款）事业运行（项）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支出决算为67.42万元，完成预算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4.一般公共服务（类）信访事务（款）一般行政管理事务（项）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5.公共安全支出（类）公安（款）其他公安支出（项）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支出决算为8.46万元，完成预算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6.社会保障和就业（类）行政事业部门养老支出（款）机关事业部门基本养老保险缴费支出（项）: 支出决算为38.4万元，完成预算100%。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7.社会保障和就业（类）行政事业部门养老支出（款）机关事业部门职业年金缴费支出（项）: 支出决算为21.58万元，完成预算100%。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8.社会保障和就业（类）行政事业部门养老支出（款）其他行政事业部门养老支出（项）: 支出决算为7.95万元，完成预算100%。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9.社会保障和就业（类）其他社会保障和就业支出（款）其他社会保障和就业支出（项）: 支出决算为3.28万元，完成预算100%。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10.卫生健康支出（类）公共卫生（款）其他公共卫生支出（项）:支出决算为70.66万元，完成预算100%。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11.卫生健康（类）行政事业单位医疗（款）行政单位医疗（项）:支出决算为8.86万元，完成预算100%。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12.卫生健康（类）行政事业单位医疗（款）事业单位医疗（项）:支出决算为2.1万元，完成预算100%。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13.卫生健康（类）行政事业单位医疗（款）公务员医疗补助（项）:支出决算为3.15万元，完成预算100%。</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14.住房保障支出（类）住房改革支出（款）住房公积金（项）:支出决算为32.82万元，完成预算100%。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6"/>
      <w:bookmarkEnd w:id="37"/>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472.49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428.76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43.74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元，主要包括：办公费、印刷费、水费、电费、邮电费、差旅费、维修（护）费、培训费、公务接待费、劳务费、工会经费、福利费、其他交通费、其他商品和服务支出、房屋建筑物购建、专用设备购置等。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37.04</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416560</wp:posOffset>
            </wp:positionH>
            <wp:positionV relativeFrom="paragraph">
              <wp:posOffset>342265</wp:posOffset>
            </wp:positionV>
            <wp:extent cx="4403725" cy="2552065"/>
            <wp:effectExtent l="38735" t="18415" r="53340" b="58420"/>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0.34万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37.04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 w:eastAsia="仿宋_GB2312" w:cs="仿宋"/>
          <w:color w:val="000000"/>
          <w:sz w:val="32"/>
          <w:szCs w:val="32"/>
          <w:lang w:val="en-US" w:eastAsia="zh-CN"/>
        </w:rPr>
        <w:t>2024年来访单位公务接待减少</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31</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万元，具体内容包括：南充调研督导、省市下沉督导、天府新区调研。</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7218"/>
      <w:bookmarkStart w:id="43" w:name="_Toc15396610"/>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一致。</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4" w:name="_Toc15396611"/>
      <w:bookmarkStart w:id="45"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4"/>
      <w:bookmarkEnd w:id="4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一致。</w:t>
      </w:r>
    </w:p>
    <w:p>
      <w:pPr>
        <w:pStyle w:val="2"/>
        <w:rPr>
          <w:rFonts w:hint="eastAsia"/>
          <w:lang w:val="en-US" w:eastAsia="zh-CN"/>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6" w:name="_Toc15377221"/>
      <w:bookmarkStart w:id="47"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6"/>
      <w:bookmarkEnd w:id="4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中共乐山市市中区委政法委员会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43.74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2.88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2024年人员减少，办公开支减少。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中共乐山市市中区委政法委员会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lang w:val="en-US" w:eastAsia="zh-CN"/>
        </w:rPr>
        <w:t>20.28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5.28</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15</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hAnsi="仿宋" w:eastAsia="仿宋_GB2312" w:cs="仿宋"/>
          <w:bCs/>
          <w:color w:val="000000"/>
          <w:sz w:val="32"/>
          <w:szCs w:val="32"/>
          <w:lang w:val="en-US" w:eastAsia="zh-CN"/>
        </w:rPr>
        <w:t>2024年采购综治视联网建设设备、关爱中心建设</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中共乐山市市中区委政法委员会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乐山市市中区委政法委员会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在2024年度预算编制阶段，组织对区综治中心日常工作运转</w:t>
      </w:r>
      <w:r>
        <w:rPr>
          <w:rFonts w:hint="eastAsia" w:eastAsia="仿宋_GB2312" w:cs="仿宋_GB2312"/>
          <w:color w:val="auto"/>
          <w:kern w:val="2"/>
          <w:sz w:val="32"/>
          <w:szCs w:val="32"/>
          <w:highlight w:val="none"/>
          <w:lang w:val="en-US" w:eastAsia="zh-CN" w:bidi="ar-SA"/>
        </w:rPr>
        <w:t>、市中区镇（街道）综治中心综治视联网系统建设项目、改造区关爱中心多功能活动室和反邪教警示教育基地（2024）、乐山市市中区网格化服务管理信息系统采购、禁毒奖励工作经费、见义勇为专项资金、农村网格员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乐山市市中区委政法委员会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区委政法委</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99.6</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宋体" w:eastAsia="仿宋_GB2312" w:cs="宋体"/>
          <w:color w:val="000000"/>
          <w:kern w:val="0"/>
          <w:sz w:val="32"/>
          <w:szCs w:val="32"/>
          <w:shd w:val="clear" w:color="auto" w:fill="FFFFFF"/>
          <w:lang w:val="en-US" w:eastAsia="zh-CN"/>
        </w:rPr>
        <w:t>202</w:t>
      </w:r>
      <w:r>
        <w:rPr>
          <w:rFonts w:hint="eastAsia" w:ascii="仿宋_GB2312" w:hAnsi="宋体"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en-US" w:eastAsia="zh-CN"/>
        </w:rPr>
        <w:t>年预算科学合理，项目经费使用规范，</w:t>
      </w:r>
      <w:r>
        <w:rPr>
          <w:rFonts w:hint="eastAsia" w:ascii="仿宋_GB2312" w:hAnsi="宋体" w:eastAsia="仿宋_GB2312" w:cs="宋体"/>
          <w:color w:val="000000"/>
          <w:kern w:val="0"/>
          <w:sz w:val="32"/>
          <w:szCs w:val="32"/>
          <w:shd w:val="clear" w:color="auto" w:fill="FFFFFF"/>
          <w:lang w:val="zh-CN"/>
        </w:rPr>
        <w:t>支出绩效总体良好，各项目标</w:t>
      </w:r>
      <w:r>
        <w:rPr>
          <w:rFonts w:hint="eastAsia" w:ascii="仿宋_GB2312" w:hAnsi="宋体" w:eastAsia="仿宋_GB2312" w:cs="宋体"/>
          <w:color w:val="000000"/>
          <w:kern w:val="0"/>
          <w:sz w:val="32"/>
          <w:szCs w:val="32"/>
          <w:shd w:val="clear" w:color="auto" w:fill="FFFFFF"/>
          <w:lang w:val="en-US" w:eastAsia="zh-CN"/>
        </w:rPr>
        <w:t>均按预算计划</w:t>
      </w:r>
      <w:r>
        <w:rPr>
          <w:rFonts w:hint="eastAsia" w:ascii="仿宋_GB2312" w:hAnsi="宋体" w:eastAsia="仿宋_GB2312" w:cs="宋体"/>
          <w:color w:val="000000"/>
          <w:kern w:val="0"/>
          <w:sz w:val="32"/>
          <w:szCs w:val="32"/>
          <w:shd w:val="clear" w:color="auto" w:fill="FFFFFF"/>
          <w:lang w:val="zh-CN"/>
        </w:rPr>
        <w:t>执行，</w:t>
      </w:r>
      <w:r>
        <w:rPr>
          <w:rFonts w:hint="eastAsia" w:ascii="仿宋_GB2312" w:hAnsi="宋体" w:eastAsia="仿宋_GB2312" w:cs="宋体"/>
          <w:color w:val="000000"/>
          <w:kern w:val="0"/>
          <w:sz w:val="32"/>
          <w:szCs w:val="32"/>
          <w:shd w:val="clear" w:color="auto" w:fill="FFFFFF"/>
          <w:lang w:val="en-US" w:eastAsia="zh-CN"/>
        </w:rPr>
        <w:t>较好地保障了机关职能运转，收到了</w:t>
      </w:r>
      <w:r>
        <w:rPr>
          <w:rFonts w:hint="eastAsia" w:ascii="仿宋_GB2312" w:hAnsi="宋体" w:eastAsia="仿宋_GB2312" w:cs="宋体"/>
          <w:color w:val="000000"/>
          <w:kern w:val="0"/>
          <w:sz w:val="32"/>
          <w:szCs w:val="32"/>
          <w:shd w:val="clear" w:color="auto" w:fill="FFFFFF"/>
          <w:lang w:val="zh-CN"/>
        </w:rPr>
        <w:t>良好的</w:t>
      </w:r>
      <w:r>
        <w:rPr>
          <w:rFonts w:hint="eastAsia" w:ascii="仿宋_GB2312" w:hAnsi="宋体" w:eastAsia="仿宋_GB2312" w:cs="宋体"/>
          <w:color w:val="000000"/>
          <w:kern w:val="0"/>
          <w:sz w:val="32"/>
          <w:szCs w:val="32"/>
          <w:shd w:val="clear" w:color="auto" w:fill="FFFFFF"/>
          <w:lang w:val="en-US" w:eastAsia="zh-CN"/>
        </w:rPr>
        <w:t>社会效果</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ascii="仿宋_GB2312" w:hAnsi="Calibri" w:eastAsia="仿宋_GB2312" w:cs="仿宋"/>
          <w:color w:val="000000" w:themeColor="text1"/>
          <w:sz w:val="32"/>
          <w:szCs w:val="32"/>
          <w14:textFill>
            <w14:solidFill>
              <w14:schemeClr w14:val="tx1"/>
            </w14:solidFill>
          </w14:textFill>
        </w:rPr>
      </w:pPr>
      <w:r>
        <w:rPr>
          <w:rFonts w:ascii="仿宋_GB2312" w:hAnsi="Calibri" w:eastAsia="仿宋_GB2312" w:cs="仿宋"/>
          <w:color w:val="000000" w:themeColor="text1"/>
          <w:sz w:val="32"/>
          <w:szCs w:val="32"/>
          <w14:textFill>
            <w14:solidFill>
              <w14:schemeClr w14:val="tx1"/>
            </w14:solidFill>
          </w14:textFill>
        </w:rPr>
        <w:t>9.</w:t>
      </w:r>
      <w:r>
        <w:rPr>
          <w:rFonts w:hint="eastAsia" w:ascii="仿宋_GB2312" w:hAnsi="Calibri" w:eastAsia="仿宋_GB2312" w:cs="仿宋"/>
          <w:color w:val="000000" w:themeColor="text1"/>
          <w:sz w:val="32"/>
          <w:szCs w:val="32"/>
          <w14:textFill>
            <w14:solidFill>
              <w14:schemeClr w14:val="tx1"/>
            </w14:solidFill>
          </w14:textFill>
        </w:rPr>
        <w:t>一般公共服务(类）其他共产党事务支出（款）行政运行（项）：指行政单位（包括实行公务员管理的事业单位）的基本支出。</w:t>
      </w:r>
    </w:p>
    <w:p>
      <w:pPr>
        <w:spacing w:line="600" w:lineRule="exact"/>
        <w:ind w:firstLine="640"/>
        <w:rPr>
          <w:rFonts w:ascii="仿宋_GB2312" w:hAnsi="Calibri" w:eastAsia="仿宋_GB2312" w:cs="仿宋"/>
          <w:color w:val="FF0000"/>
          <w:sz w:val="32"/>
          <w:szCs w:val="32"/>
        </w:rPr>
      </w:pPr>
      <w:r>
        <w:rPr>
          <w:rFonts w:ascii="仿宋_GB2312" w:hAnsi="Calibri" w:eastAsia="仿宋_GB2312" w:cs="仿宋"/>
          <w:color w:val="000000" w:themeColor="text1"/>
          <w:sz w:val="32"/>
          <w:szCs w:val="32"/>
          <w14:textFill>
            <w14:solidFill>
              <w14:schemeClr w14:val="tx1"/>
            </w14:solidFill>
          </w14:textFill>
        </w:rPr>
        <w:t>10.</w:t>
      </w:r>
      <w:r>
        <w:rPr>
          <w:rFonts w:hint="eastAsia" w:ascii="仿宋_GB2312" w:hAnsi="Calibri" w:eastAsia="仿宋_GB2312" w:cs="仿宋"/>
          <w:color w:val="000000" w:themeColor="text1"/>
          <w:sz w:val="32"/>
          <w:szCs w:val="32"/>
          <w14:textFill>
            <w14:solidFill>
              <w14:schemeClr w14:val="tx1"/>
            </w14:solidFill>
          </w14:textFill>
        </w:rPr>
        <w:t>一般公共服务（类）其他共产党事务支出（款）一般行政管理事务（项）：指行政单位（包括实行公务员管理的事业单位）的项目支出。</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.一般公共服务（类）</w:t>
      </w:r>
      <w:r>
        <w:rPr>
          <w:rFonts w:hint="eastAsia" w:ascii="仿宋_GB2312" w:hAnsi="Calibri" w:eastAsia="仿宋_GB2312" w:cs="仿宋"/>
          <w:color w:val="000000" w:themeColor="text1"/>
          <w:sz w:val="32"/>
          <w:szCs w:val="32"/>
          <w14:textFill>
            <w14:solidFill>
              <w14:schemeClr w14:val="tx1"/>
            </w14:solidFill>
          </w14:textFill>
        </w:rPr>
        <w:t>其他共产党事务支出</w:t>
      </w:r>
      <w:r>
        <w:rPr>
          <w:rFonts w:hint="eastAsia" w:ascii="仿宋_GB2312" w:hAnsi="Calibri" w:eastAsia="仿宋_GB2312" w:cs="仿宋"/>
          <w:kern w:val="0"/>
          <w:sz w:val="32"/>
          <w:szCs w:val="32"/>
        </w:rPr>
        <w:t>（款）事业运行（项）: 反映事业单位的基本支出。</w:t>
      </w:r>
    </w:p>
    <w:p>
      <w:pPr>
        <w:spacing w:line="600" w:lineRule="exact"/>
        <w:ind w:firstLine="64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.一般公共服务（类）</w:t>
      </w:r>
      <w:r>
        <w:rPr>
          <w:rFonts w:hint="eastAsia" w:ascii="仿宋_GB2312" w:hAnsi="Calibri" w:eastAsia="仿宋_GB2312" w:cs="仿宋"/>
          <w:color w:val="000000" w:themeColor="text1"/>
          <w:sz w:val="32"/>
          <w:szCs w:val="32"/>
          <w14:textFill>
            <w14:solidFill>
              <w14:schemeClr w14:val="tx1"/>
            </w14:solidFill>
          </w14:textFill>
        </w:rPr>
        <w:t>信访事务</w:t>
      </w:r>
      <w:r>
        <w:rPr>
          <w:rFonts w:hint="eastAsia" w:ascii="仿宋_GB2312" w:hAnsi="Calibri" w:eastAsia="仿宋_GB2312" w:cs="仿宋"/>
          <w:kern w:val="0"/>
          <w:sz w:val="32"/>
          <w:szCs w:val="32"/>
        </w:rPr>
        <w:t>（款）一般行政管理事务（项）: 反映</w:t>
      </w:r>
      <w:r>
        <w:rPr>
          <w:rFonts w:hint="eastAsia" w:ascii="仿宋_GB2312" w:hAnsi="Calibri" w:eastAsia="仿宋_GB2312" w:cs="仿宋"/>
          <w:kern w:val="0"/>
          <w:sz w:val="32"/>
          <w:szCs w:val="32"/>
          <w:lang w:val="en-US" w:eastAsia="zh-CN"/>
        </w:rPr>
        <w:t>信访事务</w:t>
      </w:r>
      <w:r>
        <w:rPr>
          <w:rFonts w:hint="eastAsia" w:ascii="仿宋_GB2312" w:hAnsi="Calibri" w:eastAsia="仿宋_GB2312" w:cs="仿宋"/>
          <w:color w:val="000000" w:themeColor="text1"/>
          <w:sz w:val="32"/>
          <w:szCs w:val="32"/>
          <w14:textFill>
            <w14:solidFill>
              <w14:schemeClr w14:val="tx1"/>
            </w14:solidFill>
          </w14:textFill>
        </w:rPr>
        <w:t>行政单位（包括实行公务员管理的事业单位）</w:t>
      </w:r>
      <w:r>
        <w:rPr>
          <w:rFonts w:hint="eastAsia" w:ascii="仿宋_GB2312" w:hAnsi="Calibri" w:eastAsia="仿宋_GB2312" w:cs="仿宋"/>
          <w:color w:val="000000" w:themeColor="text1"/>
          <w:sz w:val="32"/>
          <w:szCs w:val="32"/>
          <w:lang w:val="en-US" w:eastAsia="zh-CN"/>
          <w14:textFill>
            <w14:solidFill>
              <w14:schemeClr w14:val="tx1"/>
            </w14:solidFill>
          </w14:textFill>
        </w:rPr>
        <w:t>未单独设置项级科目其他</w:t>
      </w:r>
      <w:r>
        <w:rPr>
          <w:rFonts w:hint="eastAsia" w:ascii="仿宋_GB2312" w:hAnsi="Calibri" w:eastAsia="仿宋_GB2312" w:cs="仿宋"/>
          <w:color w:val="000000" w:themeColor="text1"/>
          <w:sz w:val="32"/>
          <w:szCs w:val="32"/>
          <w14:textFill>
            <w14:solidFill>
              <w14:schemeClr w14:val="tx1"/>
            </w14:solidFill>
          </w14:textFill>
        </w:rPr>
        <w:t>的项目支出</w:t>
      </w:r>
      <w:r>
        <w:rPr>
          <w:rFonts w:hint="eastAsia" w:ascii="仿宋_GB2312" w:hAnsi="Calibri" w:eastAsia="仿宋_GB2312" w:cs="仿宋"/>
          <w:kern w:val="0"/>
          <w:sz w:val="32"/>
          <w:szCs w:val="32"/>
        </w:rPr>
        <w:t>。</w:t>
      </w:r>
    </w:p>
    <w:p>
      <w:pPr>
        <w:spacing w:line="600" w:lineRule="exact"/>
        <w:ind w:firstLine="64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.公共安全支出（类）</w:t>
      </w:r>
      <w:r>
        <w:rPr>
          <w:rFonts w:hint="eastAsia" w:ascii="仿宋_GB2312" w:hAnsi="Calibri" w:eastAsia="仿宋_GB2312" w:cs="仿宋"/>
          <w:color w:val="000000" w:themeColor="text1"/>
          <w:sz w:val="32"/>
          <w:szCs w:val="32"/>
          <w:lang w:val="en-US" w:eastAsia="zh-CN"/>
          <w14:textFill>
            <w14:solidFill>
              <w14:schemeClr w14:val="tx1"/>
            </w14:solidFill>
          </w14:textFill>
        </w:rPr>
        <w:t>公安</w:t>
      </w:r>
      <w:r>
        <w:rPr>
          <w:rFonts w:hint="eastAsia" w:ascii="仿宋_GB2312" w:hAnsi="Calibri" w:eastAsia="仿宋_GB2312" w:cs="仿宋"/>
          <w:kern w:val="0"/>
          <w:sz w:val="32"/>
          <w:szCs w:val="32"/>
        </w:rPr>
        <w:t>（款）其他公安支出（项）: 反映</w:t>
      </w:r>
      <w:r>
        <w:rPr>
          <w:rFonts w:hint="eastAsia" w:ascii="仿宋_GB2312" w:hAnsi="Calibri" w:eastAsia="仿宋_GB2312" w:cs="仿宋"/>
          <w:kern w:val="0"/>
          <w:sz w:val="32"/>
          <w:szCs w:val="32"/>
          <w:lang w:val="en-US" w:eastAsia="zh-CN"/>
        </w:rPr>
        <w:t>其他用于公安事务</w:t>
      </w:r>
      <w:r>
        <w:rPr>
          <w:rFonts w:hint="eastAsia" w:ascii="仿宋_GB2312" w:hAnsi="Calibri" w:eastAsia="仿宋_GB2312" w:cs="仿宋"/>
          <w:color w:val="000000" w:themeColor="text1"/>
          <w:sz w:val="32"/>
          <w:szCs w:val="32"/>
          <w:lang w:val="en-US" w:eastAsia="zh-CN"/>
          <w14:textFill>
            <w14:solidFill>
              <w14:schemeClr w14:val="tx1"/>
            </w14:solidFill>
          </w14:textFill>
        </w:rPr>
        <w:t>方面的</w:t>
      </w:r>
      <w:r>
        <w:rPr>
          <w:rFonts w:hint="eastAsia" w:ascii="仿宋_GB2312" w:hAnsi="Calibri" w:eastAsia="仿宋_GB2312" w:cs="仿宋"/>
          <w:color w:val="000000" w:themeColor="text1"/>
          <w:sz w:val="32"/>
          <w:szCs w:val="32"/>
          <w14:textFill>
            <w14:solidFill>
              <w14:schemeClr w14:val="tx1"/>
            </w14:solidFill>
          </w14:textFill>
        </w:rPr>
        <w:t>支出</w:t>
      </w:r>
      <w:r>
        <w:rPr>
          <w:rFonts w:hint="eastAsia" w:ascii="仿宋_GB2312" w:hAnsi="Calibri" w:eastAsia="仿宋_GB2312" w:cs="仿宋"/>
          <w:kern w:val="0"/>
          <w:sz w:val="32"/>
          <w:szCs w:val="32"/>
        </w:rPr>
        <w:t>。</w:t>
      </w:r>
    </w:p>
    <w:p>
      <w:pPr>
        <w:spacing w:line="600" w:lineRule="exact"/>
        <w:ind w:firstLine="640"/>
        <w:rPr>
          <w:rFonts w:ascii="仿宋_GB2312" w:hAnsi="Calibri" w:eastAsia="仿宋_GB2312" w:cs="仿宋"/>
          <w:color w:val="000000" w:themeColor="text1"/>
          <w:sz w:val="32"/>
          <w:szCs w:val="32"/>
          <w14:textFill>
            <w14:solidFill>
              <w14:schemeClr w14:val="tx1"/>
            </w14:solidFill>
          </w14:textFill>
        </w:rPr>
      </w:pPr>
      <w:r>
        <w:rPr>
          <w:rFonts w:ascii="仿宋_GB2312" w:hAnsi="Calibri" w:eastAsia="仿宋_GB2312" w:cs="仿宋"/>
          <w:color w:val="000000" w:themeColor="text1"/>
          <w:sz w:val="32"/>
          <w:szCs w:val="32"/>
          <w14:textFill>
            <w14:solidFill>
              <w14:schemeClr w14:val="tx1"/>
            </w14:solidFill>
          </w14:textFill>
        </w:rPr>
        <w:t>1</w:t>
      </w:r>
      <w:r>
        <w:rPr>
          <w:rFonts w:hint="eastAsia" w:ascii="仿宋_GB2312" w:hAnsi="Calibri" w:eastAsia="仿宋_GB2312" w:cs="仿宋"/>
          <w:color w:val="000000" w:themeColor="text1"/>
          <w:sz w:val="32"/>
          <w:szCs w:val="32"/>
          <w:lang w:val="en-US" w:eastAsia="zh-CN"/>
          <w14:textFill>
            <w14:solidFill>
              <w14:schemeClr w14:val="tx1"/>
            </w14:solidFill>
          </w14:textFill>
        </w:rPr>
        <w:t>4</w:t>
      </w:r>
      <w:r>
        <w:rPr>
          <w:rFonts w:ascii="仿宋_GB2312" w:hAnsi="Calibri" w:eastAsia="仿宋_GB2312" w:cs="仿宋"/>
          <w:color w:val="000000" w:themeColor="text1"/>
          <w:sz w:val="32"/>
          <w:szCs w:val="32"/>
          <w14:textFill>
            <w14:solidFill>
              <w14:schemeClr w14:val="tx1"/>
            </w14:solidFill>
          </w14:textFill>
        </w:rPr>
        <w:t>.</w:t>
      </w:r>
      <w:r>
        <w:rPr>
          <w:rFonts w:hint="eastAsia" w:ascii="仿宋_GB2312" w:hAnsi="Calibri" w:eastAsia="仿宋_GB2312" w:cs="仿宋"/>
          <w:color w:val="000000" w:themeColor="text1"/>
          <w:sz w:val="32"/>
          <w:szCs w:val="32"/>
          <w14:textFill>
            <w14:solidFill>
              <w14:schemeClr w14:val="tx1"/>
            </w14:solidFill>
          </w14:textFill>
        </w:rPr>
        <w:t>社会保障和就业支出（类）行政事业单位养老支出（款）</w:t>
      </w:r>
      <w:r>
        <w:rPr>
          <w:rFonts w:ascii="仿宋_GB2312" w:hAnsi="Calibri" w:eastAsia="仿宋_GB2312" w:cs="仿宋"/>
          <w:color w:val="000000" w:themeColor="text1"/>
          <w:sz w:val="32"/>
          <w:szCs w:val="32"/>
          <w14:textFill>
            <w14:solidFill>
              <w14:schemeClr w14:val="tx1"/>
            </w14:solidFill>
          </w14:textFill>
        </w:rPr>
        <w:t xml:space="preserve"> </w:t>
      </w:r>
      <w:r>
        <w:rPr>
          <w:rFonts w:hint="eastAsia" w:ascii="仿宋_GB2312" w:hAnsi="Calibri" w:eastAsia="仿宋_GB2312" w:cs="仿宋"/>
          <w:color w:val="000000" w:themeColor="text1"/>
          <w:sz w:val="32"/>
          <w:szCs w:val="32"/>
          <w14:textFill>
            <w14:solidFill>
              <w14:schemeClr w14:val="tx1"/>
            </w14:solidFill>
          </w14:textFill>
        </w:rPr>
        <w:t>机关事业单位基本养老保险缴费支出（项）指机关事业单位实施养老保险制度由单位缴纳的基本养老保险费支出。</w:t>
      </w:r>
    </w:p>
    <w:p>
      <w:pPr>
        <w:spacing w:line="600" w:lineRule="exact"/>
        <w:ind w:firstLine="640"/>
        <w:rPr>
          <w:rFonts w:ascii="仿宋_GB2312" w:hAnsi="Calibri" w:eastAsia="仿宋_GB2312" w:cs="仿宋"/>
          <w:sz w:val="32"/>
          <w:szCs w:val="32"/>
        </w:rPr>
      </w:pPr>
      <w:r>
        <w:rPr>
          <w:rFonts w:ascii="仿宋_GB2312" w:hAnsi="Calibri" w:eastAsia="仿宋_GB2312" w:cs="仿宋"/>
          <w:color w:val="000000" w:themeColor="text1"/>
          <w:sz w:val="32"/>
          <w:szCs w:val="32"/>
          <w14:textFill>
            <w14:solidFill>
              <w14:schemeClr w14:val="tx1"/>
            </w14:solidFill>
          </w14:textFill>
        </w:rPr>
        <w:t>1</w:t>
      </w:r>
      <w:r>
        <w:rPr>
          <w:rFonts w:hint="eastAsia" w:ascii="仿宋_GB2312" w:hAnsi="Calibri" w:eastAsia="仿宋_GB2312" w:cs="仿宋"/>
          <w:color w:val="000000" w:themeColor="text1"/>
          <w:sz w:val="32"/>
          <w:szCs w:val="32"/>
          <w:lang w:val="en-US" w:eastAsia="zh-CN"/>
          <w14:textFill>
            <w14:solidFill>
              <w14:schemeClr w14:val="tx1"/>
            </w14:solidFill>
          </w14:textFill>
        </w:rPr>
        <w:t>5</w:t>
      </w:r>
      <w:r>
        <w:rPr>
          <w:rFonts w:ascii="仿宋_GB2312" w:hAnsi="Calibri" w:eastAsia="仿宋_GB2312" w:cs="仿宋"/>
          <w:color w:val="000000" w:themeColor="text1"/>
          <w:sz w:val="32"/>
          <w:szCs w:val="32"/>
          <w14:textFill>
            <w14:solidFill>
              <w14:schemeClr w14:val="tx1"/>
            </w14:solidFill>
          </w14:textFill>
        </w:rPr>
        <w:t>.</w:t>
      </w:r>
      <w:r>
        <w:rPr>
          <w:rFonts w:hint="eastAsia" w:ascii="仿宋_GB2312" w:hAnsi="Calibri" w:eastAsia="仿宋_GB2312" w:cs="仿宋"/>
          <w:color w:val="000000" w:themeColor="text1"/>
          <w:sz w:val="32"/>
          <w:szCs w:val="32"/>
          <w14:textFill>
            <w14:solidFill>
              <w14:schemeClr w14:val="tx1"/>
            </w14:solidFill>
          </w14:textFill>
        </w:rPr>
        <w:t>社会保障和就业支出（类）行政事业单位养老支出（款）机关事业单位职业年金缴费支出</w:t>
      </w:r>
      <w:r>
        <w:rPr>
          <w:rFonts w:hint="eastAsia" w:ascii="仿宋_GB2312" w:hAnsi="Calibri" w:eastAsia="仿宋_GB2312" w:cs="仿宋"/>
          <w:sz w:val="32"/>
          <w:szCs w:val="32"/>
        </w:rPr>
        <w:t>（项）指</w:t>
      </w:r>
      <w:r>
        <w:rPr>
          <w:rFonts w:ascii="仿宋_GB2312" w:hAnsi="Calibri" w:eastAsia="仿宋_GB2312" w:cs="仿宋"/>
          <w:sz w:val="32"/>
          <w:szCs w:val="32"/>
        </w:rPr>
        <w:t>:</w:t>
      </w:r>
      <w:r>
        <w:rPr>
          <w:rFonts w:hint="eastAsia" w:ascii="仿宋_GB2312" w:hAnsi="Calibri" w:eastAsia="仿宋_GB2312" w:cs="仿宋"/>
          <w:sz w:val="32"/>
          <w:szCs w:val="32"/>
        </w:rPr>
        <w:t>机关事业单位实施养老保险制度由单位实际缴纳的职业年金支出。</w:t>
      </w:r>
    </w:p>
    <w:p>
      <w:pPr>
        <w:spacing w:line="600" w:lineRule="exact"/>
        <w:ind w:firstLine="640"/>
        <w:rPr>
          <w:rFonts w:ascii="仿宋_GB2312" w:hAnsi="Calibri" w:eastAsia="仿宋_GB2312" w:cs="仿宋"/>
          <w:sz w:val="32"/>
          <w:szCs w:val="32"/>
        </w:rPr>
      </w:pPr>
      <w:r>
        <w:rPr>
          <w:rFonts w:ascii="仿宋_GB2312" w:hAnsi="Calibri" w:eastAsia="仿宋_GB2312" w:cs="仿宋"/>
          <w:sz w:val="32"/>
          <w:szCs w:val="32"/>
        </w:rPr>
        <w:t>1</w:t>
      </w:r>
      <w:r>
        <w:rPr>
          <w:rFonts w:hint="eastAsia" w:ascii="仿宋_GB2312" w:hAnsi="Calibri" w:eastAsia="仿宋_GB2312" w:cs="仿宋"/>
          <w:sz w:val="32"/>
          <w:szCs w:val="32"/>
          <w:lang w:val="en-US" w:eastAsia="zh-CN"/>
        </w:rPr>
        <w:t>6</w:t>
      </w:r>
      <w:r>
        <w:rPr>
          <w:rFonts w:ascii="仿宋_GB2312" w:hAnsi="Calibri" w:eastAsia="仿宋_GB2312" w:cs="仿宋"/>
          <w:sz w:val="32"/>
          <w:szCs w:val="32"/>
        </w:rPr>
        <w:t>.</w:t>
      </w:r>
      <w:r>
        <w:rPr>
          <w:rFonts w:hint="eastAsia" w:ascii="仿宋_GB2312" w:hAnsi="Calibri" w:eastAsia="仿宋_GB2312" w:cs="仿宋"/>
          <w:kern w:val="0"/>
          <w:sz w:val="32"/>
          <w:szCs w:val="32"/>
        </w:rPr>
        <w:t>社会保障和就业（类）行政事业单位养老支出（款）其他行政事业单位养老支出（项）: 反映其他用于行政事业单位养老方面的支出</w:t>
      </w:r>
      <w:r>
        <w:rPr>
          <w:rFonts w:hint="eastAsia" w:ascii="仿宋_GB2312" w:hAnsi="Calibri" w:eastAsia="仿宋_GB2312" w:cs="仿宋"/>
          <w:sz w:val="32"/>
          <w:szCs w:val="32"/>
        </w:rPr>
        <w:t>。</w:t>
      </w:r>
    </w:p>
    <w:p>
      <w:pPr>
        <w:spacing w:line="600" w:lineRule="exact"/>
        <w:ind w:firstLine="64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.社会保障和就业（类）其他社会保障和就业支出（款）其他社会保障和就业支出（项）: 反映其他用于社会保障和就业方面的支出。</w:t>
      </w:r>
    </w:p>
    <w:p>
      <w:pPr>
        <w:spacing w:line="600" w:lineRule="exact"/>
        <w:ind w:firstLine="640"/>
        <w:rPr>
          <w:rFonts w:ascii="仿宋_GB2312" w:hAnsi="Calibri" w:eastAsia="仿宋_GB2312" w:cs="仿宋"/>
          <w:sz w:val="32"/>
          <w:szCs w:val="32"/>
        </w:rPr>
      </w:pPr>
      <w:r>
        <w:rPr>
          <w:rFonts w:ascii="仿宋_GB2312" w:hAnsi="Calibri" w:eastAsia="仿宋_GB2312" w:cs="仿宋"/>
          <w:sz w:val="32"/>
          <w:szCs w:val="32"/>
        </w:rPr>
        <w:t>1</w:t>
      </w:r>
      <w:r>
        <w:rPr>
          <w:rFonts w:hint="eastAsia" w:ascii="仿宋_GB2312" w:hAnsi="Calibri" w:eastAsia="仿宋_GB2312" w:cs="仿宋"/>
          <w:sz w:val="32"/>
          <w:szCs w:val="32"/>
          <w:lang w:val="en-US" w:eastAsia="zh-CN"/>
        </w:rPr>
        <w:t>8</w:t>
      </w:r>
      <w:r>
        <w:rPr>
          <w:rFonts w:ascii="仿宋_GB2312" w:hAnsi="Calibri" w:eastAsia="仿宋_GB2312" w:cs="仿宋"/>
          <w:sz w:val="32"/>
          <w:szCs w:val="32"/>
        </w:rPr>
        <w:t xml:space="preserve">. </w:t>
      </w:r>
      <w:r>
        <w:rPr>
          <w:rFonts w:hint="eastAsia" w:ascii="仿宋_GB2312" w:hAnsi="Calibri" w:eastAsia="仿宋_GB2312" w:cs="仿宋"/>
          <w:sz w:val="32"/>
          <w:szCs w:val="32"/>
        </w:rPr>
        <w:t>卫生健康支出（类）公共卫生（款）其他公共卫生支出（项）</w:t>
      </w:r>
      <w:r>
        <w:rPr>
          <w:rFonts w:hint="eastAsia" w:ascii="仿宋_GB2312" w:hAnsi="Calibri" w:eastAsia="仿宋_GB2312" w:cs="仿宋"/>
          <w:sz w:val="32"/>
          <w:szCs w:val="32"/>
          <w:lang w:val="en-US" w:eastAsia="zh-CN"/>
        </w:rPr>
        <w:t>反映</w:t>
      </w:r>
      <w:r>
        <w:rPr>
          <w:rFonts w:hint="eastAsia" w:ascii="仿宋_GB2312" w:hAnsi="Calibri" w:eastAsia="仿宋_GB2312" w:cs="仿宋"/>
          <w:sz w:val="32"/>
          <w:szCs w:val="32"/>
        </w:rPr>
        <w:t>其他用于公共卫生方面的支出。</w:t>
      </w:r>
    </w:p>
    <w:p>
      <w:pPr>
        <w:pStyle w:val="2"/>
        <w:spacing w:before="108"/>
        <w:ind w:firstLine="640" w:firstLineChars="200"/>
        <w:rPr>
          <w:rFonts w:hAnsi="Calibri" w:cs="仿宋"/>
          <w:sz w:val="32"/>
          <w:szCs w:val="32"/>
        </w:rPr>
      </w:pPr>
      <w:r>
        <w:rPr>
          <w:rFonts w:hAnsi="Calibri" w:cs="仿宋"/>
          <w:sz w:val="32"/>
          <w:szCs w:val="32"/>
        </w:rPr>
        <w:t>1</w:t>
      </w:r>
      <w:r>
        <w:rPr>
          <w:rFonts w:hint="eastAsia" w:hAnsi="Calibri" w:cs="仿宋"/>
          <w:sz w:val="32"/>
          <w:szCs w:val="32"/>
          <w:lang w:val="en-US" w:eastAsia="zh-CN"/>
        </w:rPr>
        <w:t>9</w:t>
      </w:r>
      <w:r>
        <w:rPr>
          <w:rFonts w:hAnsi="Calibri" w:cs="仿宋"/>
          <w:sz w:val="32"/>
          <w:szCs w:val="32"/>
        </w:rPr>
        <w:t>.</w:t>
      </w:r>
      <w:r>
        <w:rPr>
          <w:rFonts w:hint="eastAsia" w:hAnsi="Calibri" w:cs="仿宋"/>
          <w:sz w:val="32"/>
          <w:szCs w:val="32"/>
        </w:rPr>
        <w:t>卫生健康支出（类）行政事业单位医疗（款）行政单位医疗（项）指财政部门安排的行政单位(包括实行公务员管理的事业单位)基本医疗保险缴费。</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卫生健康（类）行政事业单位医疗（款）事业单位医疗（项）:反映财政部门安排的事业单位基本医疗保险缴费经费，未参加医疗保险的行政单位的公费医疗经费，按国家规定享受离退休人员、红军老战士待遇人员的医疗经费。</w:t>
      </w:r>
    </w:p>
    <w:p>
      <w:pPr>
        <w:pStyle w:val="2"/>
        <w:spacing w:before="108"/>
        <w:ind w:firstLine="640" w:firstLineChars="200"/>
        <w:rPr>
          <w:rFonts w:hAnsi="Calibri" w:cs="仿宋"/>
          <w:sz w:val="32"/>
          <w:szCs w:val="32"/>
        </w:rPr>
      </w:pPr>
      <w:r>
        <w:rPr>
          <w:rFonts w:hint="eastAsia" w:ascii="仿宋_GB2312" w:hAnsi="Calibri" w:eastAsia="仿宋_GB2312" w:cs="仿宋"/>
          <w:kern w:val="0"/>
          <w:sz w:val="32"/>
          <w:szCs w:val="32"/>
        </w:rPr>
        <w:t>2</w:t>
      </w:r>
      <w:r>
        <w:rPr>
          <w:rFonts w:hint="eastAsia" w:hAnsi="Calibri" w:cs="仿宋"/>
          <w:kern w:val="0"/>
          <w:sz w:val="32"/>
          <w:szCs w:val="32"/>
          <w:lang w:val="en-US" w:eastAsia="zh-CN"/>
        </w:rPr>
        <w:t>1</w:t>
      </w:r>
      <w:r>
        <w:rPr>
          <w:rFonts w:hint="eastAsia" w:ascii="仿宋_GB2312" w:hAnsi="Calibri" w:eastAsia="仿宋_GB2312" w:cs="仿宋"/>
          <w:kern w:val="0"/>
          <w:sz w:val="32"/>
          <w:szCs w:val="32"/>
        </w:rPr>
        <w:t>.卫生健康（类）行政事业单位医疗（款）公务员医疗补助（项）:反映财政部门安排的公务员医疗补助经费</w:t>
      </w:r>
      <w:r>
        <w:rPr>
          <w:rFonts w:hint="eastAsia" w:hAnsi="Calibri" w:cs="仿宋"/>
          <w:sz w:val="32"/>
          <w:szCs w:val="32"/>
        </w:rPr>
        <w:t>。</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住房保障支出（类）住房改革支出（款）住房公积金（项）指行政事业单位按人力资源和社会保障部、财政部规定的基本工资和津贴补贴以及按规定比例为职工缴纳的住房公积金。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hAnsi="方正小标宋简体" w:eastAsia="方正小标宋简体" w:cs="方正小标宋简体"/>
          <w:b w:val="0"/>
          <w:bCs/>
          <w:sz w:val="44"/>
          <w:szCs w:val="44"/>
          <w:highlight w:val="none"/>
          <w:shd w:val="clear" w:color="auto" w:fill="FFFFFF"/>
        </w:rPr>
      </w:pPr>
      <w:r>
        <w:rPr>
          <w:rFonts w:hint="eastAsia" w:ascii="方正小标宋简体" w:hAnsi="方正小标宋简体" w:eastAsia="方正小标宋简体" w:cs="方正小标宋简体"/>
          <w:b w:val="0"/>
          <w:bCs/>
          <w:sz w:val="44"/>
          <w:szCs w:val="44"/>
          <w:highlight w:val="none"/>
          <w:shd w:val="clear" w:color="auto" w:fill="FFFFFF"/>
          <w:lang w:eastAsia="zh-CN"/>
        </w:rPr>
        <w:t>区委政法委部门整体支出自评报告</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区委政法委机关设5个职能股室（办公室、维稳防邪股、综治督导股、执法监督室、政工宣传股），有下属事业单位1个（社会治安综合治理中心）。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p>
    <w:p>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因机构改革后，职能职责均为机密。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default" w:ascii="Times New Roman" w:hAnsi="Times New Roman" w:eastAsia="黑体" w:cs="Times New Roman"/>
          <w:color w:val="auto"/>
          <w:kern w:val="0"/>
          <w:sz w:val="33"/>
          <w:szCs w:val="33"/>
          <w:highlight w:val="none"/>
          <w:shd w:val="clear" w:color="auto" w:fill="FFFFFF"/>
        </w:rPr>
      </w:pPr>
      <w:r>
        <w:rPr>
          <w:rFonts w:hint="default" w:ascii="Times New Roman" w:hAnsi="Times New Roman" w:eastAsia="楷体_GB2312" w:cs="Times New Roman"/>
          <w:b/>
          <w:bCs/>
          <w:color w:val="auto"/>
          <w:kern w:val="0"/>
          <w:sz w:val="33"/>
          <w:szCs w:val="33"/>
          <w:highlight w:val="none"/>
          <w:shd w:val="clear" w:color="auto" w:fill="FFFFFF"/>
          <w:lang w:val="zh-CN"/>
        </w:rPr>
        <w:t>（</w:t>
      </w:r>
      <w:r>
        <w:rPr>
          <w:rFonts w:hint="eastAsia" w:ascii="Times New Roman" w:hAnsi="Times New Roman" w:eastAsia="楷体_GB2312" w:cs="Times New Roman"/>
          <w:b/>
          <w:bCs/>
          <w:color w:val="auto"/>
          <w:kern w:val="0"/>
          <w:sz w:val="33"/>
          <w:szCs w:val="33"/>
          <w:highlight w:val="none"/>
          <w:shd w:val="clear" w:color="auto" w:fill="FFFFFF"/>
          <w:lang w:val="zh-CN"/>
        </w:rPr>
        <w:t>三</w:t>
      </w:r>
      <w:r>
        <w:rPr>
          <w:rFonts w:hint="default" w:ascii="Times New Roman" w:hAnsi="Times New Roman" w:eastAsia="楷体_GB2312" w:cs="Times New Roman"/>
          <w:b/>
          <w:bCs/>
          <w:color w:val="auto"/>
          <w:kern w:val="0"/>
          <w:sz w:val="33"/>
          <w:szCs w:val="33"/>
          <w:highlight w:val="none"/>
          <w:shd w:val="clear" w:color="auto" w:fill="FFFFFF"/>
          <w:lang w:val="zh-CN"/>
        </w:rPr>
        <w:t>）人员概况</w:t>
      </w:r>
      <w:r>
        <w:rPr>
          <w:rFonts w:hint="eastAsia" w:ascii="Times New Roman" w:hAnsi="Times New Roman" w:eastAsia="楷体_GB2312" w:cs="Times New Roman"/>
          <w:b/>
          <w:bCs/>
          <w:color w:val="auto"/>
          <w:kern w:val="0"/>
          <w:sz w:val="33"/>
          <w:szCs w:val="33"/>
          <w:highlight w:val="none"/>
          <w:shd w:val="clear" w:color="auto" w:fill="FFFFFF"/>
          <w:lang w:val="zh-CN"/>
        </w:rPr>
        <w:t>。</w:t>
      </w:r>
    </w:p>
    <w:p>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截至202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年末，</w:t>
      </w:r>
      <w:r>
        <w:rPr>
          <w:rFonts w:hint="eastAsia" w:ascii="Times New Roman" w:hAnsi="Times New Roman" w:eastAsia="仿宋_GB2312" w:cs="仿宋_GB2312"/>
          <w:color w:val="auto"/>
          <w:kern w:val="2"/>
          <w:sz w:val="32"/>
          <w:szCs w:val="32"/>
          <w:highlight w:val="none"/>
          <w:lang w:val="zh-CN" w:eastAsia="zh-CN" w:bidi="ar-SA"/>
        </w:rPr>
        <w:t>区委政法委核定行政编制17名、事业编制7名，现有在岗人员2</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人，其中行政人员（含工勤）17人，非参公事业人员6人。变动情况为：行政人员净增加4人，其中调入4人；非参公事业人员增加2人。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楷体_GB2312" w:cs="Times New Roman"/>
          <w:b/>
          <w:bCs/>
          <w:color w:val="auto"/>
          <w:kern w:val="0"/>
          <w:sz w:val="33"/>
          <w:szCs w:val="33"/>
          <w:highlight w:val="none"/>
          <w:shd w:val="clear" w:color="auto" w:fill="FFFFFF"/>
          <w:lang w:val="zh-CN"/>
        </w:rPr>
      </w:pPr>
      <w:r>
        <w:rPr>
          <w:rFonts w:hint="default" w:ascii="Times New Roman" w:hAnsi="Times New Roman" w:eastAsia="黑体" w:cs="Times New Roman"/>
          <w:color w:val="auto"/>
          <w:kern w:val="0"/>
          <w:sz w:val="33"/>
          <w:szCs w:val="33"/>
          <w:highlight w:val="none"/>
          <w:shd w:val="clear" w:color="auto" w:fill="FFFFFF"/>
        </w:rPr>
        <w:t>二、</w:t>
      </w:r>
      <w:r>
        <w:rPr>
          <w:rFonts w:hint="default" w:ascii="Times New Roman" w:hAnsi="Times New Roman" w:eastAsia="黑体" w:cs="Times New Roman"/>
          <w:color w:val="auto"/>
          <w:kern w:val="0"/>
          <w:sz w:val="33"/>
          <w:szCs w:val="33"/>
          <w:highlight w:val="none"/>
          <w:shd w:val="clear" w:color="auto" w:fill="FFFFFF"/>
          <w:lang w:eastAsia="zh-CN"/>
        </w:rPr>
        <w:t>部门</w:t>
      </w:r>
      <w:r>
        <w:rPr>
          <w:rFonts w:hint="default" w:ascii="Times New Roman" w:hAnsi="Times New Roman" w:eastAsia="黑体" w:cs="Times New Roman"/>
          <w:color w:val="auto"/>
          <w:kern w:val="0"/>
          <w:sz w:val="33"/>
          <w:szCs w:val="33"/>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auto"/>
          <w:kern w:val="0"/>
          <w:sz w:val="33"/>
          <w:szCs w:val="33"/>
          <w:highlight w:val="none"/>
          <w:shd w:val="clear" w:color="auto" w:fill="FFFFFF"/>
          <w:lang w:val="en-US"/>
        </w:rPr>
      </w:pPr>
      <w:r>
        <w:rPr>
          <w:rFonts w:hint="default" w:ascii="Times New Roman" w:hAnsi="Times New Roman" w:eastAsia="楷体_GB2312" w:cs="Times New Roman"/>
          <w:b/>
          <w:bCs/>
          <w:color w:val="auto"/>
          <w:kern w:val="0"/>
          <w:sz w:val="33"/>
          <w:szCs w:val="33"/>
          <w:highlight w:val="none"/>
          <w:shd w:val="clear" w:color="auto" w:fill="FFFFFF"/>
          <w:lang w:val="zh-CN"/>
        </w:rPr>
        <w:t>（一）</w:t>
      </w:r>
      <w:r>
        <w:rPr>
          <w:rFonts w:hint="eastAsia" w:ascii="Times New Roman" w:hAnsi="Times New Roman" w:eastAsia="楷体_GB2312" w:cs="Times New Roman"/>
          <w:b/>
          <w:bCs/>
          <w:color w:val="auto"/>
          <w:kern w:val="0"/>
          <w:sz w:val="33"/>
          <w:szCs w:val="33"/>
          <w:highlight w:val="none"/>
          <w:shd w:val="clear" w:color="auto" w:fill="FFFFFF"/>
          <w:lang w:val="zh-CN"/>
        </w:rPr>
        <w:t>收入情况</w:t>
      </w:r>
      <w:r>
        <w:rPr>
          <w:rFonts w:hint="default" w:ascii="Times New Roman" w:hAnsi="Times New Roman" w:eastAsia="楷体_GB2312" w:cs="Times New Roman"/>
          <w:b/>
          <w:bCs/>
          <w:color w:val="auto"/>
          <w:kern w:val="0"/>
          <w:sz w:val="33"/>
          <w:szCs w:val="33"/>
          <w:highlight w:val="none"/>
          <w:shd w:val="clear" w:color="auto" w:fill="FFFFFF"/>
          <w:lang w:val="zh-CN"/>
        </w:rPr>
        <w:t>。</w:t>
      </w:r>
    </w:p>
    <w:p>
      <w:pPr>
        <w:spacing w:line="600" w:lineRule="exact"/>
        <w:ind w:firstLine="640"/>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年部门财政资金收入</w:t>
      </w:r>
      <w:r>
        <w:rPr>
          <w:rFonts w:hint="eastAsia" w:ascii="Times New Roman" w:hAnsi="Times New Roman" w:eastAsia="仿宋_GB2312" w:cs="仿宋_GB2312"/>
          <w:color w:val="auto"/>
          <w:kern w:val="2"/>
          <w:sz w:val="32"/>
          <w:szCs w:val="32"/>
          <w:highlight w:val="none"/>
          <w:lang w:val="en-US" w:eastAsia="zh-CN" w:bidi="ar-SA"/>
        </w:rPr>
        <w:t>765.05万</w:t>
      </w:r>
      <w:r>
        <w:rPr>
          <w:rFonts w:hint="eastAsia" w:ascii="Times New Roman" w:hAnsi="Times New Roman" w:eastAsia="仿宋_GB2312" w:cs="仿宋_GB2312"/>
          <w:color w:val="auto"/>
          <w:kern w:val="2"/>
          <w:sz w:val="32"/>
          <w:szCs w:val="32"/>
          <w:highlight w:val="none"/>
          <w:lang w:val="zh-CN" w:eastAsia="zh-CN" w:bidi="ar-SA"/>
        </w:rPr>
        <w:t>元，年初财政结转和结余资金</w:t>
      </w:r>
      <w:r>
        <w:rPr>
          <w:rFonts w:hint="eastAsia" w:ascii="Times New Roman" w:hAnsi="Times New Roman" w:eastAsia="仿宋_GB2312" w:cs="仿宋_GB2312"/>
          <w:color w:val="auto"/>
          <w:kern w:val="2"/>
          <w:sz w:val="32"/>
          <w:szCs w:val="32"/>
          <w:highlight w:val="none"/>
          <w:lang w:val="en-US" w:eastAsia="zh-CN" w:bidi="ar-SA"/>
        </w:rPr>
        <w:t>28.28万</w:t>
      </w:r>
      <w:r>
        <w:rPr>
          <w:rFonts w:hint="eastAsia" w:ascii="Times New Roman" w:hAnsi="Times New Roman" w:eastAsia="仿宋_GB2312" w:cs="仿宋_GB2312"/>
          <w:color w:val="auto"/>
          <w:kern w:val="2"/>
          <w:sz w:val="32"/>
          <w:szCs w:val="32"/>
          <w:highlight w:val="none"/>
          <w:lang w:val="zh-CN" w:eastAsia="zh-CN" w:bidi="ar-SA"/>
        </w:rPr>
        <w:t>元，收入总计</w:t>
      </w:r>
      <w:r>
        <w:rPr>
          <w:rFonts w:hint="eastAsia" w:ascii="Times New Roman" w:hAnsi="Times New Roman" w:eastAsia="仿宋_GB2312" w:cs="仿宋_GB2312"/>
          <w:color w:val="auto"/>
          <w:kern w:val="2"/>
          <w:sz w:val="32"/>
          <w:szCs w:val="32"/>
          <w:highlight w:val="none"/>
          <w:lang w:val="en-US" w:eastAsia="zh-CN" w:bidi="ar-SA"/>
        </w:rPr>
        <w:t>793.33万</w:t>
      </w:r>
      <w:r>
        <w:rPr>
          <w:rFonts w:hint="eastAsia" w:ascii="Times New Roman" w:hAnsi="Times New Roman" w:eastAsia="仿宋_GB2312" w:cs="仿宋_GB2312"/>
          <w:color w:val="auto"/>
          <w:kern w:val="2"/>
          <w:sz w:val="32"/>
          <w:szCs w:val="32"/>
          <w:highlight w:val="none"/>
          <w:lang w:val="zh-CN" w:eastAsia="zh-CN" w:bidi="ar-SA"/>
        </w:rPr>
        <w:t>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color w:val="auto"/>
          <w:sz w:val="33"/>
          <w:szCs w:val="33"/>
          <w:lang w:val="zh-CN" w:eastAsia="zh-CN"/>
        </w:rPr>
      </w:pPr>
      <w:r>
        <w:rPr>
          <w:rFonts w:hint="default" w:ascii="Times New Roman" w:hAnsi="Times New Roman" w:eastAsia="楷体_GB2312" w:cs="Times New Roman"/>
          <w:b/>
          <w:bCs/>
          <w:color w:val="auto"/>
          <w:kern w:val="0"/>
          <w:sz w:val="33"/>
          <w:szCs w:val="33"/>
          <w:highlight w:val="none"/>
          <w:shd w:val="clear" w:color="auto" w:fill="FFFFFF"/>
          <w:lang w:val="zh-CN"/>
        </w:rPr>
        <w:t>（</w:t>
      </w:r>
      <w:r>
        <w:rPr>
          <w:rFonts w:hint="eastAsia" w:ascii="Times New Roman" w:hAnsi="Times New Roman" w:eastAsia="楷体_GB2312" w:cs="Times New Roman"/>
          <w:b/>
          <w:bCs/>
          <w:color w:val="auto"/>
          <w:kern w:val="0"/>
          <w:sz w:val="33"/>
          <w:szCs w:val="33"/>
          <w:highlight w:val="none"/>
          <w:shd w:val="clear" w:color="auto" w:fill="FFFFFF"/>
          <w:lang w:val="zh-CN"/>
        </w:rPr>
        <w:t>二</w:t>
      </w:r>
      <w:r>
        <w:rPr>
          <w:rFonts w:hint="default" w:ascii="Times New Roman" w:hAnsi="Times New Roman" w:eastAsia="楷体_GB2312" w:cs="Times New Roman"/>
          <w:b/>
          <w:bCs/>
          <w:color w:val="auto"/>
          <w:kern w:val="0"/>
          <w:sz w:val="33"/>
          <w:szCs w:val="33"/>
          <w:highlight w:val="none"/>
          <w:shd w:val="clear" w:color="auto" w:fill="FFFFFF"/>
          <w:lang w:val="zh-CN"/>
        </w:rPr>
        <w:t>）</w:t>
      </w:r>
      <w:r>
        <w:rPr>
          <w:rFonts w:hint="eastAsia" w:ascii="Times New Roman" w:hAnsi="Times New Roman" w:eastAsia="楷体_GB2312" w:cs="Times New Roman"/>
          <w:b/>
          <w:bCs/>
          <w:color w:val="auto"/>
          <w:kern w:val="0"/>
          <w:sz w:val="33"/>
          <w:szCs w:val="33"/>
          <w:highlight w:val="none"/>
          <w:shd w:val="clear" w:color="auto" w:fill="FFFFFF"/>
          <w:lang w:val="zh-CN"/>
        </w:rPr>
        <w:t>支出情况</w:t>
      </w:r>
      <w:r>
        <w:rPr>
          <w:rFonts w:hint="default" w:ascii="Times New Roman" w:hAnsi="Times New Roman" w:eastAsia="楷体_GB2312" w:cs="Times New Roman"/>
          <w:b/>
          <w:bCs/>
          <w:color w:val="auto"/>
          <w:kern w:val="0"/>
          <w:sz w:val="33"/>
          <w:szCs w:val="33"/>
          <w:highlight w:val="none"/>
          <w:shd w:val="clear" w:color="auto" w:fill="FFFFFF"/>
          <w:lang w:val="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bCs/>
          <w:color w:val="auto"/>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年部门财政资金支出</w:t>
      </w:r>
      <w:r>
        <w:rPr>
          <w:rFonts w:hint="eastAsia" w:ascii="Times New Roman" w:hAnsi="Times New Roman" w:eastAsia="仿宋_GB2312" w:cs="仿宋_GB2312"/>
          <w:color w:val="auto"/>
          <w:kern w:val="2"/>
          <w:sz w:val="32"/>
          <w:szCs w:val="32"/>
          <w:highlight w:val="none"/>
          <w:lang w:val="en-US" w:eastAsia="zh-CN" w:bidi="ar-SA"/>
        </w:rPr>
        <w:t>793.33万</w:t>
      </w:r>
      <w:r>
        <w:rPr>
          <w:rFonts w:hint="eastAsia" w:ascii="Times New Roman" w:hAnsi="Times New Roman" w:eastAsia="仿宋_GB2312" w:cs="仿宋_GB2312"/>
          <w:color w:val="auto"/>
          <w:kern w:val="2"/>
          <w:sz w:val="32"/>
          <w:szCs w:val="32"/>
          <w:highlight w:val="none"/>
          <w:lang w:val="zh-CN" w:eastAsia="zh-CN" w:bidi="ar-SA"/>
        </w:rPr>
        <w:t>元，年末结转和结余</w:t>
      </w:r>
      <w:r>
        <w:rPr>
          <w:rFonts w:hint="eastAsia" w:ascii="Times New Roman" w:hAnsi="Times New Roman" w:eastAsia="仿宋_GB2312" w:cs="仿宋_GB2312"/>
          <w:color w:val="auto"/>
          <w:kern w:val="2"/>
          <w:sz w:val="32"/>
          <w:szCs w:val="32"/>
          <w:highlight w:val="none"/>
          <w:lang w:val="en-US" w:eastAsia="zh-CN" w:bidi="ar-SA"/>
        </w:rPr>
        <w:t>0万</w:t>
      </w:r>
      <w:r>
        <w:rPr>
          <w:rFonts w:hint="eastAsia" w:ascii="Times New Roman" w:hAnsi="Times New Roman" w:eastAsia="仿宋_GB2312" w:cs="仿宋_GB2312"/>
          <w:color w:val="auto"/>
          <w:kern w:val="2"/>
          <w:sz w:val="32"/>
          <w:szCs w:val="32"/>
          <w:highlight w:val="none"/>
          <w:lang w:val="zh-CN" w:eastAsia="zh-CN" w:bidi="ar-SA"/>
        </w:rPr>
        <w:t>元，支出总计</w:t>
      </w:r>
      <w:r>
        <w:rPr>
          <w:rFonts w:hint="eastAsia" w:ascii="Times New Roman" w:hAnsi="Times New Roman" w:eastAsia="仿宋_GB2312" w:cs="仿宋_GB2312"/>
          <w:color w:val="auto"/>
          <w:kern w:val="2"/>
          <w:sz w:val="32"/>
          <w:szCs w:val="32"/>
          <w:highlight w:val="none"/>
          <w:lang w:val="en-US" w:eastAsia="zh-CN" w:bidi="ar-SA"/>
        </w:rPr>
        <w:t>793.33</w:t>
      </w:r>
      <w:r>
        <w:rPr>
          <w:rFonts w:hint="eastAsia" w:ascii="Times New Roman" w:hAnsi="Times New Roman" w:eastAsia="仿宋_GB2312" w:cs="仿宋_GB2312"/>
          <w:color w:val="auto"/>
          <w:kern w:val="2"/>
          <w:sz w:val="32"/>
          <w:szCs w:val="32"/>
          <w:highlight w:val="none"/>
          <w:lang w:val="zh-CN" w:eastAsia="zh-CN" w:bidi="ar-SA"/>
        </w:rPr>
        <w:t>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仿宋_GB2312" w:cs="Times New Roman"/>
          <w:b w:val="0"/>
          <w:bCs w:val="0"/>
          <w:color w:val="auto"/>
          <w:kern w:val="0"/>
          <w:sz w:val="33"/>
          <w:szCs w:val="33"/>
          <w:highlight w:val="none"/>
          <w:shd w:val="clear" w:color="auto" w:fill="FFFFFF"/>
          <w:lang w:val="en-US" w:eastAsia="zh-CN"/>
        </w:rPr>
      </w:pPr>
      <w:r>
        <w:rPr>
          <w:rFonts w:hint="default" w:ascii="Times New Roman" w:hAnsi="Times New Roman" w:eastAsia="楷体_GB2312" w:cs="Times New Roman"/>
          <w:b/>
          <w:bCs/>
          <w:color w:val="auto"/>
          <w:kern w:val="0"/>
          <w:sz w:val="33"/>
          <w:szCs w:val="33"/>
          <w:highlight w:val="none"/>
          <w:shd w:val="clear" w:color="auto" w:fill="FFFFFF"/>
          <w:lang w:val="zh-CN"/>
        </w:rPr>
        <w:t>（</w:t>
      </w:r>
      <w:r>
        <w:rPr>
          <w:rFonts w:hint="eastAsia" w:ascii="Times New Roman" w:hAnsi="Times New Roman" w:eastAsia="楷体_GB2312" w:cs="Times New Roman"/>
          <w:b/>
          <w:bCs/>
          <w:color w:val="auto"/>
          <w:kern w:val="0"/>
          <w:sz w:val="33"/>
          <w:szCs w:val="33"/>
          <w:highlight w:val="none"/>
          <w:shd w:val="clear" w:color="auto" w:fill="FFFFFF"/>
          <w:lang w:val="zh-CN"/>
        </w:rPr>
        <w:t>三</w:t>
      </w:r>
      <w:r>
        <w:rPr>
          <w:rFonts w:hint="default" w:ascii="Times New Roman" w:hAnsi="Times New Roman" w:eastAsia="楷体_GB2312" w:cs="Times New Roman"/>
          <w:b/>
          <w:bCs/>
          <w:color w:val="auto"/>
          <w:kern w:val="0"/>
          <w:sz w:val="33"/>
          <w:szCs w:val="33"/>
          <w:highlight w:val="none"/>
          <w:shd w:val="clear" w:color="auto" w:fill="FFFFFF"/>
          <w:lang w:val="zh-CN"/>
        </w:rPr>
        <w:t>）</w:t>
      </w:r>
      <w:r>
        <w:rPr>
          <w:rFonts w:hint="default" w:ascii="Times New Roman" w:hAnsi="Times New Roman" w:eastAsia="楷体_GB2312" w:cs="Times New Roman"/>
          <w:b/>
          <w:color w:val="auto"/>
          <w:sz w:val="33"/>
          <w:szCs w:val="33"/>
        </w:rPr>
        <w:t>结余分配和结转结余情况</w:t>
      </w:r>
      <w:r>
        <w:rPr>
          <w:rFonts w:hint="eastAsia" w:ascii="Times New Roman" w:hAnsi="Times New Roman" w:eastAsia="楷体_GB2312" w:cs="Times New Roman"/>
          <w:b/>
          <w:color w:val="auto"/>
          <w:sz w:val="33"/>
          <w:szCs w:val="33"/>
          <w:lang w:eastAsia="zh-CN"/>
        </w:rPr>
        <w:t>。</w:t>
      </w:r>
    </w:p>
    <w:p>
      <w:pPr>
        <w:pStyle w:val="3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color w:val="auto"/>
          <w:lang w:val="zh-CN" w:eastAsia="zh-CN"/>
        </w:rPr>
      </w:pP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年部门财政资金</w:t>
      </w:r>
      <w:r>
        <w:rPr>
          <w:rFonts w:hint="eastAsia" w:ascii="Times New Roman" w:hAnsi="Times New Roman" w:eastAsia="仿宋_GB2312" w:cs="仿宋_GB2312"/>
          <w:color w:val="auto"/>
          <w:kern w:val="2"/>
          <w:sz w:val="32"/>
          <w:szCs w:val="32"/>
          <w:highlight w:val="none"/>
          <w:lang w:val="en-US" w:eastAsia="zh-CN" w:bidi="ar-SA"/>
        </w:rPr>
        <w:t>结转结余0万元。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auto"/>
          <w:kern w:val="0"/>
          <w:sz w:val="33"/>
          <w:szCs w:val="33"/>
          <w:highlight w:val="none"/>
          <w:u w:val="none"/>
          <w:shd w:val="clear" w:color="auto" w:fill="FFFFFF"/>
          <w:lang w:eastAsia="zh-CN"/>
        </w:rPr>
      </w:pPr>
      <w:r>
        <w:rPr>
          <w:rFonts w:hint="default" w:ascii="Times New Roman" w:hAnsi="Times New Roman" w:eastAsia="黑体" w:cs="Times New Roman"/>
          <w:color w:val="auto"/>
          <w:kern w:val="0"/>
          <w:sz w:val="33"/>
          <w:szCs w:val="33"/>
          <w:highlight w:val="none"/>
          <w:shd w:val="clear" w:color="auto" w:fill="FFFFFF"/>
        </w:rPr>
        <w:t>三、</w:t>
      </w:r>
      <w:r>
        <w:rPr>
          <w:rFonts w:hint="default" w:ascii="Times New Roman" w:hAnsi="Times New Roman" w:eastAsia="黑体" w:cs="Times New Roman"/>
          <w:color w:val="auto"/>
          <w:kern w:val="0"/>
          <w:sz w:val="33"/>
          <w:szCs w:val="33"/>
          <w:highlight w:val="none"/>
          <w:u w:val="none"/>
          <w:shd w:val="clear" w:color="auto" w:fill="FFFFFF"/>
        </w:rPr>
        <w:t>部门</w:t>
      </w:r>
      <w:r>
        <w:rPr>
          <w:rFonts w:hint="default" w:ascii="Times New Roman" w:hAnsi="Times New Roman" w:eastAsia="黑体" w:cs="Times New Roman"/>
          <w:color w:val="auto"/>
          <w:kern w:val="0"/>
          <w:sz w:val="33"/>
          <w:szCs w:val="33"/>
          <w:highlight w:val="none"/>
          <w:u w:val="none"/>
          <w:shd w:val="clear" w:color="auto" w:fill="FFFFFF"/>
          <w:lang w:eastAsia="zh-CN"/>
        </w:rPr>
        <w:t>预算</w:t>
      </w:r>
      <w:r>
        <w:rPr>
          <w:rFonts w:hint="default" w:ascii="Times New Roman" w:hAnsi="Times New Roman" w:eastAsia="黑体" w:cs="Times New Roman"/>
          <w:color w:val="auto"/>
          <w:kern w:val="0"/>
          <w:sz w:val="33"/>
          <w:szCs w:val="33"/>
          <w:highlight w:val="none"/>
          <w:u w:val="none"/>
          <w:shd w:val="clear" w:color="auto" w:fill="FFFFFF"/>
        </w:rPr>
        <w:t>绩效</w:t>
      </w:r>
      <w:r>
        <w:rPr>
          <w:rFonts w:hint="default" w:ascii="Times New Roman" w:hAnsi="Times New Roman" w:eastAsia="黑体" w:cs="Times New Roman"/>
          <w:color w:val="auto"/>
          <w:kern w:val="0"/>
          <w:sz w:val="33"/>
          <w:szCs w:val="33"/>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color w:val="auto"/>
          <w:kern w:val="0"/>
          <w:sz w:val="33"/>
          <w:szCs w:val="33"/>
          <w:highlight w:val="none"/>
          <w:shd w:val="clear" w:color="auto" w:fill="FFFFFF"/>
          <w:lang w:val="zh-CN"/>
        </w:rPr>
      </w:pPr>
      <w:r>
        <w:rPr>
          <w:rFonts w:hint="default" w:ascii="Times New Roman" w:hAnsi="Times New Roman" w:eastAsia="楷体_GB2312" w:cs="Times New Roman"/>
          <w:b/>
          <w:bCs/>
          <w:color w:val="auto"/>
          <w:kern w:val="0"/>
          <w:sz w:val="33"/>
          <w:szCs w:val="33"/>
          <w:highlight w:val="none"/>
          <w:shd w:val="clear" w:color="auto" w:fill="FFFFFF"/>
          <w:lang w:val="zh-CN"/>
        </w:rPr>
        <w:t>（一）</w:t>
      </w:r>
      <w:r>
        <w:rPr>
          <w:rFonts w:hint="eastAsia" w:ascii="Times New Roman" w:hAnsi="Times New Roman" w:eastAsia="楷体_GB2312" w:cs="Times New Roman"/>
          <w:b/>
          <w:bCs/>
          <w:color w:val="auto"/>
          <w:kern w:val="0"/>
          <w:sz w:val="33"/>
          <w:szCs w:val="33"/>
          <w:highlight w:val="none"/>
          <w:shd w:val="clear" w:color="auto" w:fill="FFFFFF"/>
          <w:lang w:val="zh-CN"/>
        </w:rPr>
        <w:t>部门预算</w:t>
      </w:r>
      <w:r>
        <w:rPr>
          <w:rFonts w:hint="default" w:ascii="Times New Roman" w:hAnsi="Times New Roman" w:eastAsia="楷体_GB2312" w:cs="Times New Roman"/>
          <w:b/>
          <w:bCs/>
          <w:color w:val="auto"/>
          <w:kern w:val="0"/>
          <w:sz w:val="33"/>
          <w:szCs w:val="33"/>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ascii="Times New Roman" w:hAnsi="Times New Roman" w:eastAsia="仿宋_GB2312" w:cs="仿宋_GB2312"/>
          <w:color w:val="auto"/>
          <w:kern w:val="2"/>
          <w:sz w:val="32"/>
          <w:szCs w:val="32"/>
          <w:highlight w:val="none"/>
          <w:lang w:val="en-US" w:eastAsia="zh-CN" w:bidi="ar-SA"/>
        </w:rPr>
        <w:t>2024年，区委政法委严格按照对标工作职责，科学拟订预算项目，区综治中心日常运转项目、见义勇为专项资金、农村网格员补助、改造区关爱中心多功能活动室和反邪教警示教育基地（2024）等项目全部按照预算进行科学开展，</w:t>
      </w:r>
      <w:r>
        <w:rPr>
          <w:rFonts w:hint="eastAsia" w:ascii="Times New Roman" w:hAnsi="Times New Roman" w:eastAsia="仿宋_GB2312" w:cs="仿宋_GB2312"/>
          <w:color w:val="auto"/>
          <w:kern w:val="2"/>
          <w:sz w:val="32"/>
          <w:szCs w:val="32"/>
          <w:highlight w:val="none"/>
          <w:lang w:val="zh-CN" w:eastAsia="zh-CN" w:bidi="ar-SA"/>
        </w:rPr>
        <w:t>整体绩效效良好。</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。区委政法委严格按照委务会工作制度、内部控制管理要求，由单位主要负责同志亲自把牢预算编制质量关，全年收入支出进行统一调配，支出执行进度科学，日常开支可控。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。严格执行省市区财务管理规定，出纳、会计岗位各司其职，资金使用规范，不存在违规违法现象。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2024年，我单位资产总额352.62万元，其中国有资产占100%，全年处置资产116.65万元，无出租出借资产收益，无盘活资产。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。区委政法委不涉及针对中小企业发展的采购项目。</w:t>
      </w:r>
    </w:p>
    <w:p>
      <w:pPr>
        <w:rPr>
          <w:rFonts w:hint="eastAsia" w:ascii="仿宋_GB2312" w:hAnsi="宋体" w:eastAsia="仿宋_GB2312" w:cs="宋体"/>
          <w:kern w:val="0"/>
          <w:sz w:val="32"/>
          <w:szCs w:val="32"/>
          <w:u w:val="none"/>
          <w:shd w:val="clear" w:color="auto" w:fill="FFFFFF"/>
          <w:lang w:val="en-US" w:eastAsia="zh-CN"/>
        </w:rPr>
      </w:pPr>
      <w:r>
        <w:rPr>
          <w:rFonts w:hint="eastAsia" w:ascii="仿宋_GB2312" w:hAnsi="宋体" w:eastAsia="仿宋_GB2312" w:cs="宋体"/>
          <w:kern w:val="0"/>
          <w:sz w:val="32"/>
          <w:szCs w:val="32"/>
          <w:u w:val="none"/>
          <w:shd w:val="clear" w:color="auto" w:fill="FFFFFF"/>
          <w:lang w:val="en-US" w:eastAsia="zh-CN"/>
        </w:rPr>
        <w:br w:type="page"/>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12</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793.33</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项目决策。全年所有项目均严格遵守</w:t>
      </w:r>
      <w:r>
        <w:rPr>
          <w:rFonts w:hint="eastAsia" w:ascii="Times New Roman" w:hAnsi="Times New Roman" w:eastAsia="仿宋_GB2312" w:cs="仿宋_GB2312"/>
          <w:color w:val="auto"/>
          <w:kern w:val="2"/>
          <w:sz w:val="32"/>
          <w:szCs w:val="32"/>
          <w:highlight w:val="none"/>
          <w:lang w:val="en-US" w:eastAsia="zh-CN" w:bidi="ar-SA"/>
        </w:rPr>
        <w:t>严格执行国家预算法编制预算、决算，并按照国家规定安排预算支出，做到量入为出、收支平衡。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2024年区委政法委12个项目均严格遵守“预算编制有目标、预算执行有监控、预算完成有评价、评价结果有反馈、反馈结果有应用”的全过程预算绩效管理规定，构建覆盖所有财政性资金，贯穿预算编制、执行、监督全过程的预算绩效管理体制，财政资金使用效率和效益得到进一步提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ascii="Times New Roman" w:hAnsi="Times New Roman" w:eastAsia="仿宋_GB2312" w:cs="仿宋_GB2312"/>
          <w:color w:val="auto"/>
          <w:kern w:val="2"/>
          <w:sz w:val="32"/>
          <w:szCs w:val="32"/>
          <w:highlight w:val="none"/>
          <w:lang w:val="en-US" w:eastAsia="zh-CN" w:bidi="ar-SA"/>
        </w:rPr>
        <w:t>严格执行国家预算法编制预算、决算，并按照国家规定安排预算支出，项目资金严格按照项目规定用途使用，并按要求绩效评价。</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我单位2024年度项目预算中，乐山市市中区网格化服务管理信息系统采购、综治视联网系统建设项目属于</w:t>
      </w:r>
      <w:r>
        <w:rPr>
          <w:rFonts w:hint="default" w:ascii="Times New Roman" w:hAnsi="Times New Roman" w:eastAsia="仿宋_GB2312" w:cs="仿宋_GB2312"/>
          <w:color w:val="auto"/>
          <w:kern w:val="2"/>
          <w:sz w:val="32"/>
          <w:szCs w:val="32"/>
          <w:highlight w:val="none"/>
          <w:lang w:val="en-US" w:eastAsia="zh-CN" w:bidi="ar-SA"/>
        </w:rPr>
        <w:t>政府采购</w:t>
      </w:r>
      <w:r>
        <w:rPr>
          <w:rFonts w:hint="eastAsia" w:ascii="Times New Roman" w:hAnsi="Times New Roman" w:eastAsia="仿宋_GB2312" w:cs="仿宋_GB2312"/>
          <w:color w:val="auto"/>
          <w:kern w:val="2"/>
          <w:sz w:val="32"/>
          <w:szCs w:val="32"/>
          <w:highlight w:val="none"/>
          <w:lang w:val="en-US" w:eastAsia="zh-CN" w:bidi="ar-SA"/>
        </w:rPr>
        <w:t>，全年均按照规范程序进行采购，完成目标任务。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default" w:ascii="Times New Roman" w:hAnsi="Times New Roman" w:eastAsia="仿宋_GB2312" w:cs="仿宋_GB2312"/>
          <w:b/>
          <w:bCs w:val="0"/>
          <w:sz w:val="33"/>
          <w:szCs w:val="33"/>
        </w:rPr>
      </w:pPr>
      <w:r>
        <w:rPr>
          <w:rFonts w:hint="default" w:ascii="Times New Roman" w:hAnsi="Times New Roman" w:eastAsia="楷体_GB2312" w:cs="Times New Roman"/>
          <w:b/>
          <w:bCs/>
          <w:sz w:val="33"/>
          <w:szCs w:val="33"/>
          <w:lang w:val="zh-CN"/>
        </w:rPr>
        <w:t>（四）绩效结果应用情况</w:t>
      </w:r>
      <w:r>
        <w:rPr>
          <w:rFonts w:hint="eastAsia" w:ascii="Times New Roman" w:hAnsi="Times New Roman" w:eastAsia="楷体_GB2312" w:cs="Times New Roman"/>
          <w:b/>
          <w:bCs/>
          <w:sz w:val="33"/>
          <w:szCs w:val="33"/>
          <w:lang w:val="zh-CN"/>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区委政法委按照区财政下达的全年预算指标来安排各项工作，预算执行情况总体良好。本部门预算安排支出主要用于保障部门机构正常运转、维护</w:t>
      </w:r>
      <w:r>
        <w:rPr>
          <w:rFonts w:hint="eastAsia" w:ascii="Times New Roman" w:hAnsi="Times New Roman" w:eastAsia="仿宋_GB2312" w:cs="仿宋_GB2312"/>
          <w:color w:val="auto"/>
          <w:kern w:val="2"/>
          <w:sz w:val="32"/>
          <w:szCs w:val="32"/>
          <w:highlight w:val="none"/>
          <w:lang w:val="en-US" w:eastAsia="zh-CN" w:bidi="ar-SA"/>
        </w:rPr>
        <w:t>国家安全和</w:t>
      </w:r>
      <w:r>
        <w:rPr>
          <w:rFonts w:hint="eastAsia" w:ascii="Times New Roman" w:hAnsi="Times New Roman" w:eastAsia="仿宋_GB2312" w:cs="仿宋_GB2312"/>
          <w:color w:val="auto"/>
          <w:kern w:val="2"/>
          <w:sz w:val="32"/>
          <w:szCs w:val="32"/>
          <w:highlight w:val="none"/>
          <w:lang w:val="zh-CN" w:eastAsia="zh-CN" w:bidi="ar-SA"/>
        </w:rPr>
        <w:t>社会稳定、</w:t>
      </w:r>
      <w:r>
        <w:rPr>
          <w:rFonts w:hint="eastAsia" w:ascii="Times New Roman" w:hAnsi="Times New Roman" w:eastAsia="仿宋_GB2312" w:cs="仿宋_GB2312"/>
          <w:color w:val="auto"/>
          <w:kern w:val="2"/>
          <w:sz w:val="32"/>
          <w:szCs w:val="32"/>
          <w:highlight w:val="none"/>
          <w:lang w:val="en-US" w:eastAsia="zh-CN" w:bidi="ar-SA"/>
        </w:rPr>
        <w:t>开展社会治安综合治理等各类专项工作任务</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区委政法委严格按照相关规定，</w:t>
      </w:r>
      <w:r>
        <w:rPr>
          <w:rFonts w:hint="eastAsia" w:ascii="Times New Roman" w:hAnsi="Times New Roman" w:eastAsia="仿宋_GB2312" w:cs="仿宋_GB2312"/>
          <w:color w:val="auto"/>
          <w:kern w:val="2"/>
          <w:sz w:val="32"/>
          <w:szCs w:val="32"/>
          <w:highlight w:val="none"/>
          <w:lang w:val="en-US" w:eastAsia="zh-CN" w:bidi="ar-SA"/>
        </w:rPr>
        <w:t>加强与区财政局和上级部门的沟通，</w:t>
      </w:r>
      <w:r>
        <w:rPr>
          <w:rFonts w:hint="eastAsia" w:ascii="Times New Roman" w:hAnsi="Times New Roman" w:eastAsia="仿宋_GB2312" w:cs="仿宋_GB2312"/>
          <w:color w:val="auto"/>
          <w:kern w:val="2"/>
          <w:sz w:val="32"/>
          <w:szCs w:val="32"/>
          <w:highlight w:val="none"/>
          <w:lang w:val="zh-CN" w:eastAsia="zh-CN" w:bidi="ar-SA"/>
        </w:rPr>
        <w:t>本单位部门预决算、“三公”经费预决算均已按要求按时公开。</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（一）评价结论。本单位</w:t>
      </w:r>
      <w:r>
        <w:rPr>
          <w:rFonts w:hint="eastAsia" w:ascii="Times New Roman" w:hAnsi="Times New Roman" w:eastAsia="仿宋_GB2312" w:cs="仿宋_GB2312"/>
          <w:color w:val="auto"/>
          <w:kern w:val="2"/>
          <w:sz w:val="32"/>
          <w:szCs w:val="32"/>
          <w:highlight w:val="none"/>
          <w:lang w:val="en-US" w:eastAsia="zh-CN" w:bidi="ar-SA"/>
        </w:rPr>
        <w:t>2024年预算科学合理，项目经费使用规范，</w:t>
      </w:r>
      <w:r>
        <w:rPr>
          <w:rFonts w:hint="eastAsia" w:ascii="Times New Roman" w:hAnsi="Times New Roman" w:eastAsia="仿宋_GB2312" w:cs="仿宋_GB2312"/>
          <w:color w:val="auto"/>
          <w:kern w:val="2"/>
          <w:sz w:val="32"/>
          <w:szCs w:val="32"/>
          <w:highlight w:val="none"/>
          <w:lang w:val="zh-CN" w:eastAsia="zh-CN" w:bidi="ar-SA"/>
        </w:rPr>
        <w:t>支出绩效总体良好，各项目标</w:t>
      </w:r>
      <w:r>
        <w:rPr>
          <w:rFonts w:hint="eastAsia" w:ascii="Times New Roman" w:hAnsi="Times New Roman" w:eastAsia="仿宋_GB2312" w:cs="仿宋_GB2312"/>
          <w:color w:val="auto"/>
          <w:kern w:val="2"/>
          <w:sz w:val="32"/>
          <w:szCs w:val="32"/>
          <w:highlight w:val="none"/>
          <w:lang w:val="en-US" w:eastAsia="zh-CN" w:bidi="ar-SA"/>
        </w:rPr>
        <w:t>均按预算计划</w:t>
      </w:r>
      <w:r>
        <w:rPr>
          <w:rFonts w:hint="eastAsia" w:ascii="Times New Roman" w:hAnsi="Times New Roman" w:eastAsia="仿宋_GB2312" w:cs="仿宋_GB2312"/>
          <w:color w:val="auto"/>
          <w:kern w:val="2"/>
          <w:sz w:val="32"/>
          <w:szCs w:val="32"/>
          <w:highlight w:val="none"/>
          <w:lang w:val="zh-CN" w:eastAsia="zh-CN" w:bidi="ar-SA"/>
        </w:rPr>
        <w:t>执行，</w:t>
      </w:r>
      <w:r>
        <w:rPr>
          <w:rFonts w:hint="eastAsia" w:ascii="Times New Roman" w:hAnsi="Times New Roman" w:eastAsia="仿宋_GB2312" w:cs="仿宋_GB2312"/>
          <w:color w:val="auto"/>
          <w:kern w:val="2"/>
          <w:sz w:val="32"/>
          <w:szCs w:val="32"/>
          <w:highlight w:val="none"/>
          <w:lang w:val="en-US" w:eastAsia="zh-CN" w:bidi="ar-SA"/>
        </w:rPr>
        <w:t>较好地保障了机关职能运转，收到了</w:t>
      </w:r>
      <w:r>
        <w:rPr>
          <w:rFonts w:hint="eastAsia" w:ascii="Times New Roman" w:hAnsi="Times New Roman" w:eastAsia="仿宋_GB2312" w:cs="仿宋_GB2312"/>
          <w:color w:val="auto"/>
          <w:kern w:val="2"/>
          <w:sz w:val="32"/>
          <w:szCs w:val="32"/>
          <w:highlight w:val="none"/>
          <w:lang w:val="zh-CN" w:eastAsia="zh-CN" w:bidi="ar-SA"/>
        </w:rPr>
        <w:t>良好的</w:t>
      </w:r>
      <w:r>
        <w:rPr>
          <w:rFonts w:hint="eastAsia" w:ascii="Times New Roman" w:hAnsi="Times New Roman" w:eastAsia="仿宋_GB2312" w:cs="仿宋_GB2312"/>
          <w:color w:val="auto"/>
          <w:kern w:val="2"/>
          <w:sz w:val="32"/>
          <w:szCs w:val="32"/>
          <w:highlight w:val="none"/>
          <w:lang w:val="en-US" w:eastAsia="zh-CN" w:bidi="ar-SA"/>
        </w:rPr>
        <w:t>社会效果。全年自评得分99.6分。</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（二）存在问题。</w:t>
      </w:r>
      <w:r>
        <w:rPr>
          <w:rFonts w:hint="eastAsia" w:ascii="Times New Roman" w:hAnsi="Times New Roman" w:eastAsia="仿宋_GB2312" w:cs="仿宋_GB2312"/>
          <w:color w:val="auto"/>
          <w:kern w:val="2"/>
          <w:sz w:val="32"/>
          <w:szCs w:val="32"/>
          <w:highlight w:val="none"/>
          <w:lang w:val="en-US" w:eastAsia="zh-CN" w:bidi="ar-SA"/>
        </w:rPr>
        <w:t>2024年整体运行良好，暂未发现问题。</w:t>
      </w: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（三）改进建议。下一步</w:t>
      </w:r>
      <w:r>
        <w:rPr>
          <w:rFonts w:hint="eastAsia" w:ascii="Times New Roman" w:hAnsi="Times New Roman" w:eastAsia="仿宋_GB2312" w:cs="仿宋_GB2312"/>
          <w:color w:val="auto"/>
          <w:kern w:val="2"/>
          <w:sz w:val="32"/>
          <w:szCs w:val="32"/>
          <w:highlight w:val="none"/>
          <w:lang w:val="en-US" w:eastAsia="zh-CN" w:bidi="ar-SA"/>
        </w:rPr>
        <w:t>区委政法委</w:t>
      </w:r>
      <w:r>
        <w:rPr>
          <w:rFonts w:hint="eastAsia" w:ascii="Times New Roman" w:hAnsi="Times New Roman" w:eastAsia="仿宋_GB2312" w:cs="仿宋_GB2312"/>
          <w:color w:val="auto"/>
          <w:kern w:val="2"/>
          <w:sz w:val="32"/>
          <w:szCs w:val="32"/>
          <w:highlight w:val="none"/>
          <w:lang w:val="zh-CN" w:eastAsia="zh-CN" w:bidi="ar-SA"/>
        </w:rPr>
        <w:t>将继续加强</w:t>
      </w:r>
      <w:r>
        <w:rPr>
          <w:rFonts w:hint="eastAsia" w:ascii="Times New Roman" w:hAnsi="Times New Roman" w:eastAsia="仿宋_GB2312" w:cs="仿宋_GB2312"/>
          <w:color w:val="auto"/>
          <w:kern w:val="2"/>
          <w:sz w:val="32"/>
          <w:szCs w:val="32"/>
          <w:highlight w:val="none"/>
          <w:lang w:val="en-US" w:eastAsia="zh-CN" w:bidi="ar-SA"/>
        </w:rPr>
        <w:t>与财政部门的沟通，</w:t>
      </w:r>
      <w:r>
        <w:rPr>
          <w:rFonts w:hint="eastAsia" w:ascii="Times New Roman" w:hAnsi="Times New Roman" w:eastAsia="仿宋_GB2312" w:cs="仿宋_GB2312"/>
          <w:color w:val="auto"/>
          <w:kern w:val="2"/>
          <w:sz w:val="32"/>
          <w:szCs w:val="32"/>
          <w:highlight w:val="none"/>
          <w:lang w:val="zh-CN" w:eastAsia="zh-CN" w:bidi="ar-SA"/>
        </w:rPr>
        <w:t>财政绩效管理，使用好财政资金，发挥财政资金积极的作用。</w:t>
      </w:r>
    </w:p>
    <w:p>
      <w:pPr>
        <w:rPr>
          <w:rFonts w:hint="default"/>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附表：</w:t>
      </w:r>
      <w:r>
        <w:rPr>
          <w:rFonts w:hint="default" w:ascii="Times New Roman" w:hAnsi="Times New Roman" w:eastAsia="仿宋_GB2312" w:cs="仿宋_GB2312"/>
          <w:color w:val="auto"/>
          <w:kern w:val="2"/>
          <w:sz w:val="32"/>
          <w:szCs w:val="32"/>
          <w:highlight w:val="none"/>
          <w:lang w:val="en-US" w:eastAsia="zh-CN" w:bidi="ar-SA"/>
        </w:rPr>
        <w:t>部门整体支出绩效目标完成情况自评表</w:t>
      </w:r>
      <w:r>
        <w:rPr>
          <w:rFonts w:hint="default" w:ascii="Times New Roman" w:hAnsi="Times New Roman" w:cs="Times New Roman"/>
          <w:color w:val="000000"/>
          <w:kern w:val="0"/>
          <w:sz w:val="33"/>
          <w:szCs w:val="33"/>
          <w:highlight w:val="none"/>
          <w:shd w:val="clear" w:color="auto" w:fill="FFFFFF"/>
          <w:lang w:val="en-US" w:eastAsia="zh-CN"/>
        </w:rPr>
        <w:br w:type="page"/>
      </w:r>
      <w:r>
        <w:rPr>
          <w:rFonts w:hint="eastAsia" w:ascii="Times New Roman" w:hAnsi="Times New Roman" w:eastAsia="黑体" w:cs="黑体"/>
          <w:kern w:val="2"/>
          <w:sz w:val="32"/>
          <w:szCs w:val="24"/>
          <w:highlight w:val="none"/>
          <w:lang w:val="en-US" w:eastAsia="zh-CN" w:bidi="ar-SA"/>
        </w:rPr>
        <w:t>附表</w:t>
      </w:r>
    </w:p>
    <w:tbl>
      <w:tblPr>
        <w:tblStyle w:val="15"/>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533"/>
        <w:gridCol w:w="2180"/>
        <w:gridCol w:w="900"/>
        <w:gridCol w:w="945"/>
        <w:gridCol w:w="840"/>
        <w:gridCol w:w="653"/>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982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82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820" w:type="dxa"/>
            <w:gridSpan w:val="9"/>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3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中共乐山市市中区委政法委员会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793.33</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793.33</w:t>
            </w:r>
          </w:p>
        </w:tc>
        <w:tc>
          <w:tcPr>
            <w:tcW w:w="3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85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 xml:space="preserve"> 2024年投入财政资金</w:t>
            </w:r>
            <w:r>
              <w:rPr>
                <w:rFonts w:hint="eastAsia" w:eastAsia="宋体" w:cs="Times New Roman"/>
                <w:i w:val="0"/>
                <w:color w:val="000000"/>
                <w:sz w:val="24"/>
                <w:szCs w:val="24"/>
                <w:u w:val="none"/>
                <w:lang w:val="en-US" w:eastAsia="zh-CN"/>
              </w:rPr>
              <w:t>793.33</w:t>
            </w:r>
            <w:r>
              <w:rPr>
                <w:rFonts w:hint="default" w:ascii="Times New Roman" w:hAnsi="Times New Roman" w:eastAsia="宋体" w:cs="Times New Roman"/>
                <w:i w:val="0"/>
                <w:color w:val="000000"/>
                <w:sz w:val="24"/>
                <w:szCs w:val="24"/>
                <w:u w:val="none"/>
              </w:rPr>
              <w:t>万元，用于保障政法工作高质量发展，其中基本支出4</w:t>
            </w:r>
            <w:r>
              <w:rPr>
                <w:rFonts w:hint="eastAsia" w:eastAsia="宋体" w:cs="Times New Roman"/>
                <w:i w:val="0"/>
                <w:color w:val="000000"/>
                <w:sz w:val="24"/>
                <w:szCs w:val="24"/>
                <w:u w:val="none"/>
                <w:lang w:val="en-US" w:eastAsia="zh-CN"/>
              </w:rPr>
              <w:t>72.49</w:t>
            </w:r>
            <w:r>
              <w:rPr>
                <w:rFonts w:hint="default" w:ascii="Times New Roman" w:hAnsi="Times New Roman" w:eastAsia="宋体" w:cs="Times New Roman"/>
                <w:i w:val="0"/>
                <w:color w:val="000000"/>
                <w:sz w:val="24"/>
                <w:szCs w:val="24"/>
                <w:u w:val="none"/>
              </w:rPr>
              <w:t>万元，项目支出</w:t>
            </w:r>
            <w:r>
              <w:rPr>
                <w:rFonts w:hint="eastAsia" w:eastAsia="宋体" w:cs="Times New Roman"/>
                <w:i w:val="0"/>
                <w:color w:val="000000"/>
                <w:sz w:val="24"/>
                <w:szCs w:val="24"/>
                <w:u w:val="none"/>
                <w:lang w:val="en-US" w:eastAsia="zh-CN"/>
              </w:rPr>
              <w:t>320.83</w:t>
            </w:r>
            <w:r>
              <w:rPr>
                <w:rFonts w:hint="default" w:ascii="Times New Roman" w:hAnsi="Times New Roman" w:eastAsia="宋体" w:cs="Times New Roman"/>
                <w:i w:val="0"/>
                <w:color w:val="000000"/>
                <w:sz w:val="24"/>
                <w:szCs w:val="24"/>
                <w:u w:val="none"/>
              </w:rPr>
              <w:t xml:space="preserve">万元。保障工资及时、足额发放或社保及时、足额缴纳等基本支出和保障机关日常工作运转、网格化服务管理、网格员薪酬待遇、雪亮工程建设项目运维等项目支出。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1880"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区综治中心日常工作运转</w:t>
            </w:r>
          </w:p>
        </w:tc>
        <w:tc>
          <w:tcPr>
            <w:tcW w:w="6631"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深入贯彻中央、省、市、区决策部署，保障区综治中心日常工作正常运转。推进网格管理制度健全和全科网格制度健全，提升基础治理效能。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雪亮工程建设项目运行维护</w:t>
            </w:r>
          </w:p>
        </w:tc>
        <w:tc>
          <w:tcPr>
            <w:tcW w:w="6631"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根据《乐山市市中区社会治安综合治理委员会关于印发〈乐山市市中区“雪亮工程”建设设施方案（2017-2019年)〉的通知》（乐中社综[2017]4号），保障市中区“雪亮工程”1176个点位正常运转。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专职网格员薪酬待遇</w:t>
            </w:r>
          </w:p>
        </w:tc>
        <w:tc>
          <w:tcPr>
            <w:tcW w:w="6631"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根据《乐山市市中区城市基层党建引领基层治理工作领导小组关于印发〈党建引领城市基层治理推动“全科网格”建设实施方案（试行）〉的通知》（乐中城治领〔2022〕2号），为保证网格日常工作顺利开展，保障专职网格员薪酬待遇，提升矛盾纠纷及时化解率和稳步推进市中区市域社会治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辅助网格员薪酬待遇</w:t>
            </w:r>
          </w:p>
        </w:tc>
        <w:tc>
          <w:tcPr>
            <w:tcW w:w="6631"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根据《乐山市市中区城市基层党建引领基层治理工作领导小组关于印发〈党建引领城市基层治理推动“全科网格”建设实施方案（试行）〉的通知》（乐中城治领〔2022〕2号），辅助网格员辅助专职网格员开展网格日常工作，保障所在镇（街道）网格工作运行，提升辖区网格化服务管理工作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雪亮工程（含“平安联防”视频监控）</w:t>
            </w:r>
          </w:p>
        </w:tc>
        <w:tc>
          <w:tcPr>
            <w:tcW w:w="6631"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按照《关于深入开展公共安全视频监控建设联网应用工作的通知》平安乐山组（2023）4号的文件要求，2023年“雪亮工程”（含“平安联防”视频监控）建设目标任务分解表中，市中区应当建设640个点位，以预防打击违法犯罪。创新基础社会治理、服务保障民生、推动平安乐山建设提供强有力的智能化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日常工作运转</w:t>
            </w:r>
          </w:p>
        </w:tc>
        <w:tc>
          <w:tcPr>
            <w:tcW w:w="6631"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通过科学合理安排资金运转，在全体机关干部的共同努力下，全面保障机关日常运转，为推动平安法治市中区建设、服务社会高质量发展提供政法保障。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农村网格员补助</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根据《关于全面推进以信息化为支撑的网格化服务管理工作的实施方案》（乐中社综〔2017〕3号）要求，网格员实行定人、定格、定责，综合做好基础信息采集、社情民意收集、重大事件报告，协助做好民生事务代办、政策法规宣传、社会治安防范、矛盾纠纷调处、安全隐患排查等工作，保障网格化服务管理工作正常开展，夯实基层治理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改造区关爱中心多功能活动室和反邪教警示教育基地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根据《张彤同志在〈关于对市中区建设反邪教“关爱中心”给予资金补助的请示〉上的批示》（B〔2020〕文秘—365号）和《乐山市市中区财政局关于区委政法委申请改造区关爱中心多功能活动室和反邪教警示教育基地经费的意见》，将原法制教育基地门卫室和旱厕改造为区关爱中心多功能活动室和反邪教警示教育基地，以满足反邪教警示教育、教育转化、会议培训等多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编外人员经费（2024年2名关爱中心聘用人员）</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根据《乐山市市中区财政局关于区委政法委聘用人员的意见》（乐中财政行〔2022〕7号）和《乐山市市中区人力资源和社会保障局关于〈中共乐山市市中区委政法委员会关于聘用人员加强区关爱中心日常工作的申请报告〉的回复》，区委政法委聘用2名关爱中心劳务派遣人员，所需人员经费纳入预算，保障关爱中心财产安全和运转，确保全区社会安全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市中区基层社会治理信息化工作平台建设</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
                <w:szCs w:val="2"/>
                <w:u w:val="none"/>
              </w:rPr>
            </w:pPr>
            <w:r>
              <w:rPr>
                <w:rFonts w:hint="eastAsia" w:ascii="宋体" w:hAnsi="宋体" w:eastAsia="宋体" w:cs="宋体"/>
                <w:i w:val="0"/>
                <w:color w:val="000000"/>
                <w:kern w:val="0"/>
                <w:sz w:val="21"/>
                <w:szCs w:val="21"/>
                <w:u w:val="none"/>
                <w:lang w:val="en-US" w:eastAsia="zh-CN" w:bidi="ar"/>
              </w:rPr>
              <w:t>根据《中共中央 国务院关于做好2022年全面推进乡村振兴重点工作的意见》《平安乐山建设领导小组市域社会治理组关于印发〈平安乐山建设领导小组市域社会治理组2022 年工作要点〉的通知》，对照《全国市域社会治理现代化试点工作指引（第二版）》和《全国市域社会治理现代化试点四川区域特色工作指引（第二版）》任务分工要求，认真按照平安四川建设领导小组反馈乐山市的“中期评估意见”，扎实推进我区省级重点创新项目——“积分制”管理、“民转刑”命案防控、市区共建“矛调中心”和社会治理工作信息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5" w:hRule="exact"/>
          <w:jc w:val="center"/>
        </w:trPr>
        <w:tc>
          <w:tcPr>
            <w:tcW w:w="1309"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88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乐山市市中区网格化服务管理信息系统采购</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根据《关于全面推进以信息化为支撑的网格化服务管理工作的实施方案》（乐中社综〔2017〕3号）要求，保证网格服务管理工作规范化建设和网格化服务管理中心基本运行。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年度绩效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指标</w:t>
            </w:r>
          </w:p>
        </w:tc>
        <w:tc>
          <w:tcPr>
            <w:tcW w:w="13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一级指标</w:t>
            </w:r>
          </w:p>
        </w:tc>
        <w:tc>
          <w:tcPr>
            <w:tcW w:w="533"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二级指标</w:t>
            </w:r>
          </w:p>
        </w:tc>
        <w:tc>
          <w:tcPr>
            <w:tcW w:w="21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绩效指标值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绩效度量单位</w:t>
            </w:r>
          </w:p>
        </w:tc>
        <w:tc>
          <w:tcPr>
            <w:tcW w:w="65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实际完成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533"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数量指标</w:t>
            </w:r>
          </w:p>
        </w:tc>
        <w:tc>
          <w:tcPr>
            <w:tcW w:w="21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辅助网格员工资、保险保障人数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5</w:t>
            </w:r>
          </w:p>
        </w:tc>
        <w:tc>
          <w:tcPr>
            <w:tcW w:w="111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eastAsia" w:eastAsia="宋体" w:cs="Times New Roman"/>
                <w:i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21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基层社会治理信息化工作平台运维点位数量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54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eastAsia" w:eastAsia="宋体" w:cs="Times New Roman"/>
                <w:i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p>
        </w:tc>
        <w:tc>
          <w:tcPr>
            <w:tcW w:w="21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建成会议室和学员室个数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eastAsia="zh-CN"/>
              </w:rPr>
            </w:pPr>
            <w:r>
              <w:rPr>
                <w:rFonts w:hint="eastAsia" w:eastAsia="宋体" w:cs="Times New Roman"/>
                <w:i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p>
        </w:tc>
        <w:tc>
          <w:tcPr>
            <w:tcW w:w="21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农村网格员补助保障人数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130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2"/>
                <w:szCs w:val="22"/>
                <w:u w:val="none"/>
              </w:rPr>
            </w:pPr>
          </w:p>
        </w:tc>
        <w:tc>
          <w:tcPr>
            <w:tcW w:w="21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专职网格员工资、保险保障人数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345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2"/>
                <w:szCs w:val="22"/>
                <w:u w:val="none"/>
                <w:lang w:val="en-US" w:eastAsia="zh-CN" w:bidi="ar"/>
              </w:rPr>
            </w:pPr>
            <w:r>
              <w:rPr>
                <w:rFonts w:hint="eastAsia" w:eastAsia="宋体" w:cs="Times New Roman"/>
                <w:i w:val="0"/>
                <w:color w:val="000000"/>
                <w:sz w:val="22"/>
                <w:szCs w:val="22"/>
                <w:u w:val="none"/>
                <w:lang w:eastAsia="zh-CN"/>
              </w:rPr>
              <w:t>效益指标</w:t>
            </w:r>
          </w:p>
        </w:tc>
        <w:tc>
          <w:tcPr>
            <w:tcW w:w="5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sz w:val="22"/>
                <w:szCs w:val="22"/>
                <w:u w:val="none"/>
                <w:lang w:eastAsia="zh-CN"/>
              </w:rPr>
            </w:pPr>
            <w:r>
              <w:rPr>
                <w:rFonts w:hint="eastAsia" w:eastAsia="宋体" w:cs="Times New Roman"/>
                <w:i w:val="0"/>
                <w:color w:val="000000"/>
                <w:sz w:val="22"/>
                <w:szCs w:val="22"/>
                <w:u w:val="none"/>
                <w:lang w:eastAsia="zh-CN"/>
              </w:rPr>
              <w:t>质量指标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保证平安联防视频监控正常运行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视频监控点位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640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sz w:val="22"/>
                <w:szCs w:val="22"/>
                <w:u w:val="none"/>
              </w:rPr>
              <w:t>社会效益标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办公日常正常运转</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优良中差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推进平安市中区建设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2"/>
                <w:sz w:val="21"/>
                <w:szCs w:val="21"/>
                <w:u w:val="none"/>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网格化服务管理工作正常开展保障率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1"/>
                <w:szCs w:val="21"/>
                <w:u w:val="none"/>
                <w:lang w:val="en-US" w:eastAsia="zh-CN" w:bidi="ar"/>
              </w:rPr>
              <w:t>可持续发展指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管理机制健全性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优良中差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2"/>
                <w:sz w:val="22"/>
                <w:szCs w:val="22"/>
                <w:u w:val="none"/>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r>
              <w:rPr>
                <w:rFonts w:hint="eastAsia" w:eastAsia="宋体" w:cs="Times New Roman"/>
                <w:i w:val="0"/>
                <w:color w:val="000000"/>
                <w:sz w:val="22"/>
                <w:szCs w:val="22"/>
                <w:u w:val="none"/>
                <w:lang w:eastAsia="zh-CN"/>
              </w:rPr>
              <w:t>满意度指标</w:t>
            </w:r>
          </w:p>
        </w:tc>
        <w:tc>
          <w:tcPr>
            <w:tcW w:w="5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sz w:val="22"/>
                <w:szCs w:val="22"/>
                <w:u w:val="none"/>
                <w:lang w:eastAsia="zh-CN"/>
              </w:rPr>
            </w:pPr>
            <w:r>
              <w:rPr>
                <w:rFonts w:hint="eastAsia" w:eastAsia="宋体" w:cs="Times New Roman"/>
                <w:i w:val="0"/>
                <w:color w:val="000000"/>
                <w:sz w:val="22"/>
                <w:szCs w:val="22"/>
                <w:u w:val="none"/>
                <w:lang w:eastAsia="zh-CN"/>
              </w:rPr>
              <w:t>服务对象满意度指标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干部职工满意度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宋体" w:hAnsi="宋体" w:eastAsia="宋体" w:cs="宋体"/>
                <w:i w:val="0"/>
                <w:color w:val="000000"/>
                <w:kern w:val="0"/>
                <w:sz w:val="21"/>
                <w:szCs w:val="21"/>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309"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2"/>
                <w:szCs w:val="22"/>
                <w:u w:val="none"/>
              </w:rPr>
            </w:pPr>
          </w:p>
        </w:tc>
        <w:tc>
          <w:tcPr>
            <w:tcW w:w="5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2"/>
                <w:szCs w:val="22"/>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p>
        </w:tc>
      </w:tr>
    </w:tbl>
    <w:p>
      <w:pPr>
        <w:pStyle w:val="7"/>
        <w:ind w:left="0" w:leftChars="0" w:firstLine="0" w:firstLineChars="0"/>
        <w:rPr>
          <w:rFonts w:hint="default" w:ascii="Times New Roman" w:hAnsi="Times New Roman" w:eastAsia="黑体" w:cs="Times New Roman"/>
          <w:sz w:val="22"/>
          <w:szCs w:val="22"/>
          <w:highlight w:val="none"/>
          <w:lang w:val="en-US" w:eastAsia="zh-CN"/>
        </w:rPr>
      </w:pPr>
    </w:p>
    <w:p>
      <w:pPr>
        <w:pStyle w:val="2"/>
        <w:rPr>
          <w:rFonts w:hint="eastAsia" w:ascii="Times New Roman" w:hAnsi="Times New Roman" w:eastAsia="黑体" w:cs="黑体"/>
          <w:color w:val="auto"/>
          <w:sz w:val="32"/>
          <w:szCs w:val="32"/>
          <w:highlight w:val="none"/>
          <w:lang w:val="en-US" w:eastAsia="zh-CN"/>
        </w:rPr>
      </w:pPr>
    </w:p>
    <w:p>
      <w:pPr>
        <w:rPr>
          <w:rFonts w:hint="eastAsia" w:ascii="Times New Roman" w:hAnsi="Times New Roman" w:eastAsia="黑体" w:cs="黑体"/>
          <w:color w:val="auto"/>
          <w:sz w:val="32"/>
          <w:szCs w:val="32"/>
          <w:highlight w:val="none"/>
          <w:lang w:val="en-US" w:eastAsia="zh-CN"/>
        </w:rPr>
      </w:pPr>
    </w:p>
    <w:p>
      <w:pPr>
        <w:pStyle w:val="2"/>
        <w:rPr>
          <w:rFonts w:hint="eastAsia" w:ascii="Times New Roman" w:hAnsi="Times New Roman" w:eastAsia="黑体" w:cs="黑体"/>
          <w:color w:val="auto"/>
          <w:sz w:val="32"/>
          <w:szCs w:val="32"/>
          <w:highlight w:val="none"/>
          <w:lang w:val="en-US" w:eastAsia="zh-CN"/>
        </w:rPr>
      </w:pPr>
    </w:p>
    <w:p>
      <w:pPr>
        <w:rPr>
          <w:rFonts w:hint="eastAsia" w:ascii="Times New Roman" w:hAnsi="Times New Roman" w:eastAsia="黑体" w:cs="黑体"/>
          <w:color w:val="auto"/>
          <w:sz w:val="32"/>
          <w:szCs w:val="32"/>
          <w:highlight w:val="none"/>
          <w:lang w:val="en-US" w:eastAsia="zh-CN"/>
        </w:rPr>
      </w:pPr>
    </w:p>
    <w:p>
      <w:pPr>
        <w:pStyle w:val="2"/>
        <w:rPr>
          <w:rFonts w:hint="eastAsia" w:ascii="Times New Roman" w:hAnsi="Times New Roman" w:eastAsia="黑体" w:cs="黑体"/>
          <w:color w:val="auto"/>
          <w:sz w:val="32"/>
          <w:szCs w:val="32"/>
          <w:highlight w:val="none"/>
          <w:lang w:val="en-US" w:eastAsia="zh-CN"/>
        </w:rPr>
      </w:pPr>
    </w:p>
    <w:p>
      <w:pPr>
        <w:rPr>
          <w:rFonts w:hint="eastAsia" w:ascii="Times New Roman" w:hAnsi="Times New Roman" w:eastAsia="黑体" w:cs="黑体"/>
          <w:color w:val="auto"/>
          <w:sz w:val="32"/>
          <w:szCs w:val="32"/>
          <w:highlight w:val="none"/>
          <w:lang w:val="en-US" w:eastAsia="zh-CN"/>
        </w:rPr>
      </w:pPr>
    </w:p>
    <w:p>
      <w:pPr>
        <w:pStyle w:val="2"/>
        <w:rPr>
          <w:rFonts w:hint="eastAsia" w:ascii="Times New Roman" w:hAnsi="Times New Roman" w:eastAsia="黑体" w:cs="黑体"/>
          <w:color w:val="auto"/>
          <w:sz w:val="32"/>
          <w:szCs w:val="32"/>
          <w:highlight w:val="none"/>
          <w:lang w:val="en-US" w:eastAsia="zh-CN"/>
        </w:rPr>
      </w:pPr>
    </w:p>
    <w:p>
      <w:pPr>
        <w:rPr>
          <w:rFonts w:hint="eastAsia"/>
          <w:lang w:val="en-US" w:eastAsia="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eastAsia" w:ascii="Times New Roman" w:hAnsi="Times New Roman" w:eastAsia="宋体"/>
          <w:color w:val="auto"/>
          <w:kern w:val="2"/>
          <w:sz w:val="32"/>
          <w:szCs w:val="32"/>
          <w:highlight w:val="none"/>
          <w:lang w:eastAsia="zh-CN"/>
        </w:rPr>
      </w:pPr>
      <w:r>
        <w:rPr>
          <w:rFonts w:hint="eastAsia" w:ascii="Times New Roman" w:hAnsi="Times New Roman"/>
          <w:color w:val="auto"/>
          <w:kern w:val="2"/>
          <w:sz w:val="32"/>
          <w:szCs w:val="32"/>
          <w:highlight w:val="none"/>
          <w:lang w:eastAsia="zh-CN"/>
        </w:rPr>
        <w:t>（</w:t>
      </w:r>
      <w:r>
        <w:rPr>
          <w:rFonts w:hint="eastAsia" w:ascii="Times New Roman" w:hAnsi="Times New Roman"/>
          <w:color w:val="auto"/>
          <w:kern w:val="2"/>
          <w:sz w:val="32"/>
          <w:szCs w:val="32"/>
          <w:highlight w:val="none"/>
          <w:lang w:val="en-US" w:eastAsia="zh-CN"/>
        </w:rPr>
        <w:t>本单位不涉及</w:t>
      </w:r>
      <w:r>
        <w:rPr>
          <w:rFonts w:hint="eastAsia" w:ascii="Times New Roman" w:hAnsi="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3"/>
      <w:bookmarkEnd w:id="55"/>
      <w:bookmarkStart w:id="56"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55BF3"/>
    <w:multiLevelType w:val="multilevel"/>
    <w:tmpl w:val="7EE55BF3"/>
    <w:lvl w:ilvl="0" w:tentative="0">
      <w:start w:val="1"/>
      <w:numFmt w:val="chineseCountingThousand"/>
      <w:pStyle w:val="35"/>
      <w:suff w:val="nothing"/>
      <w:lvlText w:val="（%1）"/>
      <w:lvlJc w:val="left"/>
      <w:pPr>
        <w:ind w:left="5" w:firstLine="635"/>
      </w:pPr>
      <w:rPr>
        <w:rFonts w:hint="eastAsia"/>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BA650E"/>
    <w:rsid w:val="061E35DE"/>
    <w:rsid w:val="066D1D45"/>
    <w:rsid w:val="066E0107"/>
    <w:rsid w:val="074E7E5A"/>
    <w:rsid w:val="07996F6E"/>
    <w:rsid w:val="07DFD8BA"/>
    <w:rsid w:val="09867E8F"/>
    <w:rsid w:val="0A2032A3"/>
    <w:rsid w:val="0CA8290A"/>
    <w:rsid w:val="0D35B1ED"/>
    <w:rsid w:val="0D475909"/>
    <w:rsid w:val="0E254B6B"/>
    <w:rsid w:val="0F98263C"/>
    <w:rsid w:val="101860EC"/>
    <w:rsid w:val="101F47CC"/>
    <w:rsid w:val="10C055FF"/>
    <w:rsid w:val="111F1772"/>
    <w:rsid w:val="1145076E"/>
    <w:rsid w:val="11694EBD"/>
    <w:rsid w:val="11772AA4"/>
    <w:rsid w:val="118107EC"/>
    <w:rsid w:val="12E24EE2"/>
    <w:rsid w:val="13D50BC4"/>
    <w:rsid w:val="14B17F78"/>
    <w:rsid w:val="165E0673"/>
    <w:rsid w:val="16B831D5"/>
    <w:rsid w:val="16BB723D"/>
    <w:rsid w:val="17146524"/>
    <w:rsid w:val="17C01C95"/>
    <w:rsid w:val="17E50567"/>
    <w:rsid w:val="186504BB"/>
    <w:rsid w:val="19A445FC"/>
    <w:rsid w:val="1A4F69FF"/>
    <w:rsid w:val="1BE8440E"/>
    <w:rsid w:val="1C3D1FD9"/>
    <w:rsid w:val="1C4C1C51"/>
    <w:rsid w:val="1D155CEE"/>
    <w:rsid w:val="1D1638FE"/>
    <w:rsid w:val="1E312DEB"/>
    <w:rsid w:val="1E740ACF"/>
    <w:rsid w:val="1F974248"/>
    <w:rsid w:val="1FF35744"/>
    <w:rsid w:val="1FF6BC77"/>
    <w:rsid w:val="2186353C"/>
    <w:rsid w:val="233C0CF3"/>
    <w:rsid w:val="23860B96"/>
    <w:rsid w:val="240371BF"/>
    <w:rsid w:val="244F3473"/>
    <w:rsid w:val="24C97D99"/>
    <w:rsid w:val="25896E84"/>
    <w:rsid w:val="25A718F0"/>
    <w:rsid w:val="25BB59F6"/>
    <w:rsid w:val="25EE3A5A"/>
    <w:rsid w:val="260F557C"/>
    <w:rsid w:val="26970054"/>
    <w:rsid w:val="2773244C"/>
    <w:rsid w:val="27FD301E"/>
    <w:rsid w:val="281408E2"/>
    <w:rsid w:val="29FD04D3"/>
    <w:rsid w:val="2BE71D51"/>
    <w:rsid w:val="2BFF7BC6"/>
    <w:rsid w:val="2C8A61B5"/>
    <w:rsid w:val="2DF04E50"/>
    <w:rsid w:val="2E586DFA"/>
    <w:rsid w:val="2F040D46"/>
    <w:rsid w:val="2F6B035B"/>
    <w:rsid w:val="2FAE5751"/>
    <w:rsid w:val="2FB1A395"/>
    <w:rsid w:val="2FD9A7D8"/>
    <w:rsid w:val="2FDBF714"/>
    <w:rsid w:val="301C54E3"/>
    <w:rsid w:val="30AB6865"/>
    <w:rsid w:val="31815560"/>
    <w:rsid w:val="319F7F4E"/>
    <w:rsid w:val="32BD1EF1"/>
    <w:rsid w:val="3304709D"/>
    <w:rsid w:val="33A773CB"/>
    <w:rsid w:val="349D6851"/>
    <w:rsid w:val="36AA5135"/>
    <w:rsid w:val="36BE0DA7"/>
    <w:rsid w:val="376B6AA6"/>
    <w:rsid w:val="376D39B2"/>
    <w:rsid w:val="37E16F03"/>
    <w:rsid w:val="37F53A3B"/>
    <w:rsid w:val="389B6C89"/>
    <w:rsid w:val="38D469F0"/>
    <w:rsid w:val="38F00D26"/>
    <w:rsid w:val="39627CCD"/>
    <w:rsid w:val="397BAF1F"/>
    <w:rsid w:val="3AB79AF3"/>
    <w:rsid w:val="3AE834C0"/>
    <w:rsid w:val="3B235DF9"/>
    <w:rsid w:val="3B7EF35A"/>
    <w:rsid w:val="3B9FDB6C"/>
    <w:rsid w:val="3BF5BC2F"/>
    <w:rsid w:val="3CEBA265"/>
    <w:rsid w:val="3D98207C"/>
    <w:rsid w:val="3DEE7CF3"/>
    <w:rsid w:val="3E740A63"/>
    <w:rsid w:val="3E78745D"/>
    <w:rsid w:val="3EE17838"/>
    <w:rsid w:val="3F55381A"/>
    <w:rsid w:val="3F7F7599"/>
    <w:rsid w:val="3FDC30D7"/>
    <w:rsid w:val="3FF4CAE0"/>
    <w:rsid w:val="3FF7B227"/>
    <w:rsid w:val="41C14C06"/>
    <w:rsid w:val="425C5CEE"/>
    <w:rsid w:val="427E5617"/>
    <w:rsid w:val="44E268DA"/>
    <w:rsid w:val="450D13D7"/>
    <w:rsid w:val="45506656"/>
    <w:rsid w:val="486A6C7A"/>
    <w:rsid w:val="4A627F82"/>
    <w:rsid w:val="4AD844FF"/>
    <w:rsid w:val="4B0E749A"/>
    <w:rsid w:val="4B2477C4"/>
    <w:rsid w:val="4B4F25DA"/>
    <w:rsid w:val="4BE068DB"/>
    <w:rsid w:val="4D577224"/>
    <w:rsid w:val="4DBF1CEB"/>
    <w:rsid w:val="4DF0007C"/>
    <w:rsid w:val="4EAB630A"/>
    <w:rsid w:val="4ECE2238"/>
    <w:rsid w:val="4F833267"/>
    <w:rsid w:val="4FA909D1"/>
    <w:rsid w:val="4FE9BD67"/>
    <w:rsid w:val="4FFB052F"/>
    <w:rsid w:val="537E6D0A"/>
    <w:rsid w:val="53F74C96"/>
    <w:rsid w:val="55170BA8"/>
    <w:rsid w:val="553218C9"/>
    <w:rsid w:val="567E1AA5"/>
    <w:rsid w:val="56E47B74"/>
    <w:rsid w:val="57175D52"/>
    <w:rsid w:val="57AD46AD"/>
    <w:rsid w:val="57BD3DD4"/>
    <w:rsid w:val="5AF92295"/>
    <w:rsid w:val="5B250254"/>
    <w:rsid w:val="5BDD79E6"/>
    <w:rsid w:val="5BF561CA"/>
    <w:rsid w:val="5BFF5DFC"/>
    <w:rsid w:val="5CD71FC4"/>
    <w:rsid w:val="5D1F11B5"/>
    <w:rsid w:val="5D695134"/>
    <w:rsid w:val="5DAE1B18"/>
    <w:rsid w:val="5DE7D9E5"/>
    <w:rsid w:val="5E352A68"/>
    <w:rsid w:val="5EA219ED"/>
    <w:rsid w:val="5ECEC941"/>
    <w:rsid w:val="5FBF9FF3"/>
    <w:rsid w:val="5FCD4E2C"/>
    <w:rsid w:val="5FEF394A"/>
    <w:rsid w:val="5FF67715"/>
    <w:rsid w:val="62BF3928"/>
    <w:rsid w:val="63B3701E"/>
    <w:rsid w:val="647F5392"/>
    <w:rsid w:val="65535197"/>
    <w:rsid w:val="65E66580"/>
    <w:rsid w:val="664B1D71"/>
    <w:rsid w:val="664B4E8E"/>
    <w:rsid w:val="67277B67"/>
    <w:rsid w:val="67517CE5"/>
    <w:rsid w:val="67AA3209"/>
    <w:rsid w:val="698D0931"/>
    <w:rsid w:val="6A7FE5F3"/>
    <w:rsid w:val="6B053271"/>
    <w:rsid w:val="6B3F31B2"/>
    <w:rsid w:val="6BDD78B3"/>
    <w:rsid w:val="6C4A05C8"/>
    <w:rsid w:val="6C8742B8"/>
    <w:rsid w:val="6DBF5E93"/>
    <w:rsid w:val="6DFF077E"/>
    <w:rsid w:val="6E714EF0"/>
    <w:rsid w:val="6E7E3605"/>
    <w:rsid w:val="6E7FDCC7"/>
    <w:rsid w:val="6ED6A62E"/>
    <w:rsid w:val="6EE00B15"/>
    <w:rsid w:val="6F697B87"/>
    <w:rsid w:val="6F6FB3EB"/>
    <w:rsid w:val="6F8731EA"/>
    <w:rsid w:val="6FCE6052"/>
    <w:rsid w:val="6FD57C00"/>
    <w:rsid w:val="6FEFFFD8"/>
    <w:rsid w:val="6FF5CC65"/>
    <w:rsid w:val="6FFB47EC"/>
    <w:rsid w:val="6FFF034A"/>
    <w:rsid w:val="70484440"/>
    <w:rsid w:val="712A28F1"/>
    <w:rsid w:val="715C0E4B"/>
    <w:rsid w:val="71992E7C"/>
    <w:rsid w:val="71A962CD"/>
    <w:rsid w:val="72233669"/>
    <w:rsid w:val="72734D90"/>
    <w:rsid w:val="73160E6D"/>
    <w:rsid w:val="7332FE48"/>
    <w:rsid w:val="73AB61DA"/>
    <w:rsid w:val="73AD73D5"/>
    <w:rsid w:val="73B6EB34"/>
    <w:rsid w:val="73FA497D"/>
    <w:rsid w:val="744731E5"/>
    <w:rsid w:val="74B549C0"/>
    <w:rsid w:val="74BBD01D"/>
    <w:rsid w:val="74ED5379"/>
    <w:rsid w:val="75CB3966"/>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C6583C"/>
    <w:rsid w:val="7C1F3737"/>
    <w:rsid w:val="7CBFC87B"/>
    <w:rsid w:val="7CFE0F48"/>
    <w:rsid w:val="7D272ABC"/>
    <w:rsid w:val="7D7EC23E"/>
    <w:rsid w:val="7E8ADEBF"/>
    <w:rsid w:val="7EE64C11"/>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B02〗二级标题"/>
    <w:next w:val="1"/>
    <w:qFormat/>
    <w:uiPriority w:val="0"/>
    <w:pPr>
      <w:widowControl w:val="0"/>
      <w:numPr>
        <w:ilvl w:val="0"/>
        <w:numId w:val="1"/>
      </w:numPr>
      <w:spacing w:line="600" w:lineRule="exact"/>
      <w:outlineLvl w:val="1"/>
    </w:pPr>
    <w:rPr>
      <w:rFonts w:ascii="楷体_GB2312" w:hAnsi="Calibri" w:eastAsia="楷体_GB2312" w:cs="Times New Roman"/>
      <w:kern w:val="2"/>
      <w:sz w:val="32"/>
      <w:szCs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收入、支出决算总计变动情况图</a:t>
            </a:r>
            <a:endParaRPr lang="zh-CN"/>
          </a:p>
        </c:rich>
      </c:tx>
      <c:layout/>
      <c:overlay val="0"/>
    </c:title>
    <c:autoTitleDeleted val="0"/>
    <c:plotArea>
      <c:layout/>
      <c:barChart>
        <c:barDir val="col"/>
        <c:grouping val="clustered"/>
        <c:varyColors val="0"/>
        <c:ser>
          <c:idx val="0"/>
          <c:order val="0"/>
          <c:tx>
            <c:strRef>
              <c:f>'[政法委决算公开附图.xlsx]收、支决算总体变动情况图1 (2)'!$C$13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'[政法委决算公开附图.xlsx]收、支决算总体变动情况图1 (2)'!$B$14:$B$15</c:f>
              <c:strCache>
                <c:ptCount val="2"/>
                <c:pt idx="0">
                  <c:v>2023年</c:v>
                </c:pt>
                <c:pt idx="1">
                  <c:v>2024年</c:v>
                </c:pt>
              </c:strCache>
            </c:strRef>
          </c:cat>
          <c:val>
            <c:numRef>
              <c:f>'[政法委决算公开附图.xlsx]收、支决算总体变动情况图1 (2)'!$C$14:$C$15</c:f>
              <c:numCache>
                <c:formatCode>General</c:formatCode>
                <c:ptCount val="2"/>
                <c:pt idx="0">
                  <c:v>1089.7</c:v>
                </c:pt>
                <c:pt idx="1">
                  <c:v>793.33</c:v>
                </c:pt>
              </c:numCache>
            </c:numRef>
          </c:val>
        </c:ser>
        <c:dLbls>
          <c:showLegendKey val="0"/>
          <c:showVal val="1"/>
          <c:showCatName val="0"/>
          <c:showSerName val="0"/>
          <c:showPercent val="0"/>
          <c:showBubbleSize val="0"/>
        </c:dLbls>
        <c:gapWidth val="150"/>
        <c:axId val="104356864"/>
        <c:axId val="104379136"/>
      </c:barChart>
      <c:catAx>
        <c:axId val="104356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4379136"/>
        <c:crosses val="autoZero"/>
        <c:auto val="1"/>
        <c:lblAlgn val="ctr"/>
        <c:lblOffset val="100"/>
        <c:noMultiLvlLbl val="0"/>
      </c:catAx>
      <c:valAx>
        <c:axId val="104379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4356864"/>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收入构成情况</a:t>
            </a:r>
            <a:endParaRPr lang="zh-CN"/>
          </a:p>
        </c:rich>
      </c:tx>
      <c:layout/>
      <c:overlay val="0"/>
    </c:title>
    <c:autoTitleDeleted val="0"/>
    <c:plotArea>
      <c:layout/>
      <c:pieChart>
        <c:varyColors val="1"/>
        <c:ser>
          <c:idx val="0"/>
          <c:order val="0"/>
          <c:tx>
            <c:strRef>
              <c:f>[政法委决算公开附图.xlsx]收入决算结构图2!$B$6</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[政法委决算公开附图.xlsx]收入决算结构图2!$A$7:$A$9</c:f>
              <c:strCache>
                <c:ptCount val="3"/>
                <c:pt idx="0">
                  <c:v>一般公共预算财政拨款收入765.05万元</c:v>
                </c:pt>
                <c:pt idx="1">
                  <c:v>政府性基金预算财政拨款收入0万元</c:v>
                </c:pt>
                <c:pt idx="2">
                  <c:v>其他收入0万元</c:v>
                </c:pt>
              </c:strCache>
            </c:strRef>
          </c:cat>
          <c:val>
            <c:numRef>
              <c:f>[政法委决算公开附图.xlsx]收入决算结构图2!$B$7:$B$9</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支出决算结构图</a:t>
            </a:r>
            <a:endParaRPr lang="en-US" altLang="zh-CN"/>
          </a:p>
        </c:rich>
      </c:tx>
      <c:layout>
        <c:manualLayout>
          <c:xMode val="edge"/>
          <c:yMode val="edge"/>
          <c:x val="0.365488810365135"/>
          <c:y val="0.0263929618768328"/>
        </c:manualLayout>
      </c:layout>
      <c:overlay val="0"/>
    </c:title>
    <c:autoTitleDeleted val="0"/>
    <c:plotArea>
      <c:layout/>
      <c:pieChart>
        <c:varyColors val="1"/>
        <c:ser>
          <c:idx val="0"/>
          <c:order val="0"/>
          <c:tx>
            <c:strRef>
              <c:f>'[政法委决算公开附图.xlsx]支出决算结构图3 (2)'!$B$9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'[政法委决算公开附图.xlsx]支出决算结构图3 (2)'!$A$10:$A$11</c:f>
              <c:strCache>
                <c:ptCount val="2"/>
                <c:pt idx="0">
                  <c:v>基本支出472.49万元</c:v>
                </c:pt>
                <c:pt idx="1">
                  <c:v>项目支出320.83万元</c:v>
                </c:pt>
              </c:strCache>
            </c:strRef>
          </c:cat>
          <c:val>
            <c:numRef>
              <c:f>'[政法委决算公开附图.xlsx]支出决算结构图3 (2)'!$B$10:$B$11</c:f>
              <c:numCache>
                <c:formatCode>0.00%</c:formatCode>
                <c:ptCount val="2"/>
                <c:pt idx="0">
                  <c:v>0.5955</c:v>
                </c:pt>
                <c:pt idx="1">
                  <c:v>0.4045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财政拨款收、支决算总计变动情况</a:t>
            </a:r>
            <a:endParaRPr lang="zh-CN"/>
          </a:p>
        </c:rich>
      </c:tx>
      <c:layout>
        <c:manualLayout>
          <c:xMode val="edge"/>
          <c:yMode val="edge"/>
          <c:x val="0.123663681017047"/>
          <c:y val="0.0676392572944297"/>
        </c:manualLayout>
      </c:layout>
      <c:overlay val="0"/>
    </c:title>
    <c:autoTitleDeleted val="0"/>
    <c:plotArea>
      <c:layout/>
      <c:barChart>
        <c:barDir val="col"/>
        <c:grouping val="clustered"/>
        <c:varyColors val="0"/>
        <c:ser>
          <c:idx val="0"/>
          <c:order val="0"/>
          <c:tx>
            <c:strRef>
              <c:f>'[政法委决算公开附图.xlsx]收、支决算总体变动情况图1 (3)'!$C$13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'[政法委决算公开附图.xlsx]收、支决算总体变动情况图1 (3)'!$B$14:$B$15</c:f>
              <c:strCache>
                <c:ptCount val="2"/>
                <c:pt idx="0">
                  <c:v>2023年</c:v>
                </c:pt>
                <c:pt idx="1">
                  <c:v>2024年</c:v>
                </c:pt>
              </c:strCache>
            </c:strRef>
          </c:cat>
          <c:val>
            <c:numRef>
              <c:f>'[政法委决算公开附图.xlsx]收、支决算总体变动情况图1 (3)'!$C$14:$C$15</c:f>
              <c:numCache>
                <c:formatCode>General</c:formatCode>
                <c:ptCount val="2"/>
                <c:pt idx="0">
                  <c:v>1089.7</c:v>
                </c:pt>
                <c:pt idx="1">
                  <c:v>793.33</c:v>
                </c:pt>
              </c:numCache>
            </c:numRef>
          </c:val>
        </c:ser>
        <c:dLbls>
          <c:showLegendKey val="0"/>
          <c:showVal val="1"/>
          <c:showCatName val="0"/>
          <c:showSerName val="0"/>
          <c:showPercent val="0"/>
          <c:showBubbleSize val="0"/>
        </c:dLbls>
        <c:gapWidth val="150"/>
        <c:axId val="84907136"/>
        <c:axId val="84908672"/>
      </c:barChart>
      <c:catAx>
        <c:axId val="849071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8672"/>
        <c:crosses val="autoZero"/>
        <c:auto val="1"/>
        <c:lblAlgn val="ctr"/>
        <c:lblOffset val="100"/>
        <c:noMultiLvlLbl val="0"/>
      </c:catAx>
      <c:valAx>
        <c:axId val="84908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713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一般公共预算财政拨款支出决算变动情况</a:t>
            </a:r>
            <a:endParaRPr lang="zh-CN"/>
          </a:p>
        </c:rich>
      </c:tx>
      <c:layout/>
      <c:overlay val="0"/>
    </c:title>
    <c:autoTitleDeleted val="0"/>
    <c:plotArea>
      <c:layout/>
      <c:barChart>
        <c:barDir val="col"/>
        <c:grouping val="clustered"/>
        <c:varyColors val="0"/>
        <c:ser>
          <c:idx val="0"/>
          <c:order val="0"/>
          <c:tx>
            <c:strRef>
              <c:f>[政法委决算公开附图.xlsx]收、支决算总体变动情况图1!$C$13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[政法委决算公开附图.xlsx]收、支决算总体变动情况图1!$B$14:$B$15</c:f>
              <c:strCache>
                <c:ptCount val="2"/>
                <c:pt idx="0">
                  <c:v>2023年</c:v>
                </c:pt>
                <c:pt idx="1">
                  <c:v>2024年</c:v>
                </c:pt>
              </c:strCache>
            </c:strRef>
          </c:cat>
          <c:val>
            <c:numRef>
              <c:f>[政法委决算公开附图.xlsx]收、支决算总体变动情况图1!$C$14:$C$15</c:f>
              <c:numCache>
                <c:formatCode>General</c:formatCode>
                <c:ptCount val="2"/>
                <c:pt idx="0">
                  <c:v>1089.7</c:v>
                </c:pt>
                <c:pt idx="1">
                  <c:v>793.33</c:v>
                </c:pt>
              </c:numCache>
            </c:numRef>
          </c:val>
        </c:ser>
        <c:dLbls>
          <c:showLegendKey val="0"/>
          <c:showVal val="1"/>
          <c:showCatName val="0"/>
          <c:showSerName val="0"/>
          <c:showPercent val="0"/>
          <c:showBubbleSize val="0"/>
        </c:dLbls>
        <c:gapWidth val="150"/>
        <c:axId val="84907136"/>
        <c:axId val="84908672"/>
      </c:barChart>
      <c:catAx>
        <c:axId val="849071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8672"/>
        <c:crosses val="autoZero"/>
        <c:auto val="1"/>
        <c:lblAlgn val="ctr"/>
        <c:lblOffset val="100"/>
        <c:noMultiLvlLbl val="0"/>
      </c:catAx>
      <c:valAx>
        <c:axId val="84908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713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ltLang="zh-CN"/>
              <a:t>             一般公共预算</a:t>
            </a:r>
            <a:r>
              <a:rPr altLang="en-US"/>
              <a:t>财政补款</a:t>
            </a:r>
            <a:r>
              <a:rPr lang="zh-CN" altLang="en-US"/>
              <a:t>支出决算结构情况图</a:t>
            </a:r>
            <a:endParaRPr lang="zh-CN" altLang="en-US"/>
          </a:p>
        </c:rich>
      </c:tx>
      <c:layout>
        <c:manualLayout>
          <c:xMode val="edge"/>
          <c:yMode val="edge"/>
          <c:x val="0.142028985507246"/>
          <c:y val="0.0159090909090909"/>
        </c:manualLayout>
      </c:layout>
      <c:overlay val="0"/>
    </c:title>
    <c:autoTitleDeleted val="0"/>
    <c:plotArea>
      <c:layout/>
      <c:pieChart>
        <c:varyColors val="1"/>
        <c:ser>
          <c:idx val="0"/>
          <c:order val="0"/>
          <c:tx>
            <c:strRef>
              <c:f>[政法委决算公开附图.xlsx]一般公共预算财政拨款支出决算结构图6!$C$16</c:f>
              <c:strCache>
                <c:ptCount val="1"/>
                <c:pt idx="0">
                  <c:v>占比</c:v>
                </c:pt>
              </c:strCache>
            </c:strRef>
          </c:tx>
          <c:explosion val="0"/>
          <c:dPt>
            <c:idx val="0"/>
            <c:bubble3D val="0"/>
          </c:dPt>
          <c:dPt>
            <c:idx val="1"/>
            <c:bubble3D val="0"/>
          </c:dPt>
          <c:dPt>
            <c:idx val="2"/>
            <c:bubble3D val="0"/>
          </c:dPt>
          <c:dPt>
            <c:idx val="3"/>
            <c:bubble3D val="0"/>
          </c:dPt>
          <c:dPt>
            <c:idx val="4"/>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[政法委决算公开附图.xlsx]一般公共预算财政拨款支出决算结构图6!$B$17:$B$21</c:f>
              <c:strCache>
                <c:ptCount val="5"/>
                <c:pt idx="0">
                  <c:v>一般公共服务支出596.06万元</c:v>
                </c:pt>
                <c:pt idx="1">
                  <c:v>公共安全支出8.46万元</c:v>
                </c:pt>
                <c:pt idx="2">
                  <c:v>社会保障和就业支出71.22万元</c:v>
                </c:pt>
                <c:pt idx="3">
                  <c:v>卫生健康支出84.77万元</c:v>
                </c:pt>
                <c:pt idx="4">
                  <c:v>住房保障支出32.82万元</c:v>
                </c:pt>
              </c:strCache>
            </c:strRef>
          </c:cat>
          <c:val>
            <c:numRef>
              <c:f>[政法委决算公开附图.xlsx]一般公共预算财政拨款支出决算结构图6!$C$17:$C$21</c:f>
              <c:numCache>
                <c:formatCode>0.00%</c:formatCode>
                <c:ptCount val="5"/>
                <c:pt idx="0">
                  <c:v>0.7513</c:v>
                </c:pt>
                <c:pt idx="1">
                  <c:v>0.0107</c:v>
                </c:pt>
                <c:pt idx="2">
                  <c:v>0.0898</c:v>
                </c:pt>
                <c:pt idx="3">
                  <c:v>0.1068</c:v>
                </c:pt>
                <c:pt idx="4">
                  <c:v>0.0414</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 </a:t>
            </a:r>
            <a:r>
              <a:rPr lang="en-US" altLang="zh-CN"/>
              <a:t>"</a:t>
            </a:r>
            <a:r>
              <a:rPr lang="zh-CN" altLang="en-US"/>
              <a:t>三公”经费财政拨款 支出结构图</a:t>
            </a:r>
            <a:endParaRPr lang="zh-CN" altLang="en-US"/>
          </a:p>
        </c:rich>
      </c:tx>
      <c:layout/>
      <c:overlay val="0"/>
    </c:title>
    <c:autoTitleDeleted val="0"/>
    <c:plotArea>
      <c:layout/>
      <c:pieChart>
        <c:varyColors val="1"/>
        <c:ser>
          <c:idx val="0"/>
          <c:order val="0"/>
          <c:tx>
            <c:strRef>
              <c:f>'[政法委决算公开附图.xlsx]“三公”经费财政拨款支出结构图7 '!$B$9</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'[政法委决算公开附图.xlsx]“三公”经费财政拨款支出结构图7 '!$A$10:$A$12</c:f>
              <c:strCache>
                <c:ptCount val="3"/>
                <c:pt idx="0">
                  <c:v>因公出国（境）费支出0万元</c:v>
                </c:pt>
                <c:pt idx="1">
                  <c:v>公务用车购置及运行维护费支出0万元</c:v>
                </c:pt>
                <c:pt idx="2">
                  <c:v>公务接待费支出0.34万元</c:v>
                </c:pt>
              </c:strCache>
            </c:strRef>
          </c:cat>
          <c:val>
            <c:numRef>
              <c:f>'[政法委决算公开附图.xlsx]“三公”经费财政拨款支出结构图7 '!$B$10:$B$12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4</TotalTime>
  <ScaleCrop>false</ScaleCrop>
  <LinksUpToDate>false</LinksUpToDate>
  <CharactersWithSpaces>8692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2025-10-22T08:44:01Z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04787F2533EB45DC91BCDE4AB213247F</vt:lpwstr>
  </property>
</Properties>
</file>