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47A" w:rsidRDefault="00AB247A">
      <w:pPr>
        <w:rPr>
          <w:rFonts w:hint="eastAsia"/>
        </w:rPr>
      </w:pPr>
      <w:bookmarkStart w:id="0" w:name="_Toc15378441"/>
      <w:bookmarkStart w:id="1" w:name="_Toc15306267"/>
      <w:bookmarkStart w:id="2" w:name="_Toc15396475"/>
      <w:bookmarkStart w:id="3" w:name="_Toc15396597"/>
      <w:bookmarkStart w:id="4" w:name="_Toc15377193"/>
      <w:bookmarkStart w:id="5" w:name="_Toc15377425"/>
    </w:p>
    <w:bookmarkEnd w:id="0"/>
    <w:bookmarkEnd w:id="1"/>
    <w:bookmarkEnd w:id="2"/>
    <w:bookmarkEnd w:id="3"/>
    <w:bookmarkEnd w:id="4"/>
    <w:bookmarkEnd w:id="5"/>
    <w:p w:rsidR="00AB247A" w:rsidRDefault="00AB247A">
      <w:pPr>
        <w:pStyle w:val="a5"/>
        <w:spacing w:before="93"/>
        <w:rPr>
          <w:rFonts w:ascii="方正小标宋简体" w:eastAsia="方正小标宋简体" w:hAnsi="宋体"/>
          <w:kern w:val="2"/>
          <w:sz w:val="44"/>
          <w:szCs w:val="44"/>
        </w:rPr>
      </w:pPr>
    </w:p>
    <w:p w:rsidR="00AB247A" w:rsidRDefault="00714F03">
      <w:pPr>
        <w:pStyle w:val="a5"/>
        <w:spacing w:before="93"/>
        <w:jc w:val="center"/>
        <w:rPr>
          <w:rFonts w:ascii="方正小标宋简体" w:eastAsia="方正小标宋简体" w:hAnsi="宋体"/>
          <w:kern w:val="2"/>
          <w:sz w:val="44"/>
          <w:szCs w:val="44"/>
        </w:rPr>
      </w:pPr>
      <w:r>
        <w:rPr>
          <w:rFonts w:ascii="方正小标宋简体" w:eastAsia="方正小标宋简体" w:hAnsi="宋体" w:hint="eastAsia"/>
          <w:kern w:val="2"/>
          <w:sz w:val="44"/>
          <w:szCs w:val="44"/>
        </w:rPr>
        <w:t>2024年度</w:t>
      </w:r>
      <w:bookmarkStart w:id="6" w:name="_Toc15377426"/>
      <w:bookmarkStart w:id="7" w:name="_Toc15396476"/>
      <w:bookmarkStart w:id="8" w:name="_Toc15377194"/>
      <w:bookmarkStart w:id="9" w:name="_Toc15378442"/>
      <w:bookmarkStart w:id="10" w:name="_Toc15396598"/>
    </w:p>
    <w:p w:rsidR="00AB247A" w:rsidRDefault="00714F03">
      <w:pPr>
        <w:pStyle w:val="a5"/>
        <w:spacing w:before="93"/>
        <w:jc w:val="center"/>
        <w:rPr>
          <w:rFonts w:ascii="方正小标宋简体" w:eastAsia="方正小标宋简体" w:hAnsi="宋体"/>
          <w:kern w:val="2"/>
          <w:sz w:val="44"/>
          <w:szCs w:val="44"/>
        </w:rPr>
      </w:pPr>
      <w:r>
        <w:rPr>
          <w:rFonts w:ascii="方正小标宋简体" w:eastAsia="方正小标宋简体" w:hAnsi="宋体" w:hint="eastAsia"/>
          <w:kern w:val="2"/>
          <w:sz w:val="44"/>
          <w:szCs w:val="44"/>
        </w:rPr>
        <w:t>乐山市市中区</w:t>
      </w:r>
      <w:bookmarkStart w:id="11" w:name="_Toc15306268"/>
      <w:r>
        <w:rPr>
          <w:rFonts w:ascii="方正小标宋简体" w:eastAsia="方正小标宋简体" w:hAnsi="宋体" w:hint="eastAsia"/>
          <w:kern w:val="2"/>
          <w:sz w:val="44"/>
          <w:szCs w:val="44"/>
        </w:rPr>
        <w:t>悦来镇人民政府          部门决算</w:t>
      </w:r>
      <w:bookmarkEnd w:id="6"/>
      <w:bookmarkEnd w:id="7"/>
      <w:bookmarkEnd w:id="8"/>
      <w:bookmarkEnd w:id="9"/>
      <w:bookmarkEnd w:id="10"/>
      <w:bookmarkEnd w:id="11"/>
    </w:p>
    <w:p w:rsidR="00AB247A" w:rsidRDefault="00AB247A">
      <w:pPr>
        <w:pStyle w:val="21"/>
        <w:adjustRightInd w:val="0"/>
        <w:snapToGrid w:val="0"/>
        <w:spacing w:line="560" w:lineRule="exact"/>
        <w:jc w:val="center"/>
      </w:pPr>
    </w:p>
    <w:p w:rsidR="00AB247A" w:rsidRDefault="00714F03">
      <w:pPr>
        <w:widowControl/>
        <w:jc w:val="center"/>
        <w:rPr>
          <w:rFonts w:eastAsia="方正小标宋简体"/>
          <w:sz w:val="36"/>
          <w:szCs w:val="36"/>
        </w:rPr>
      </w:pPr>
      <w:r>
        <w:rPr>
          <w:rFonts w:eastAsia="方正小标宋简体"/>
          <w:sz w:val="36"/>
          <w:szCs w:val="36"/>
        </w:rPr>
        <w:br w:type="page"/>
      </w:r>
    </w:p>
    <w:p w:rsidR="00AB247A" w:rsidRDefault="00714F03">
      <w:pPr>
        <w:widowControl/>
        <w:jc w:val="center"/>
        <w:rPr>
          <w:rFonts w:eastAsia="黑体" w:cstheme="minorBidi"/>
          <w:sz w:val="28"/>
          <w:szCs w:val="28"/>
        </w:rPr>
      </w:pPr>
      <w:r>
        <w:rPr>
          <w:rFonts w:eastAsia="黑体" w:hint="eastAsia"/>
          <w:sz w:val="48"/>
          <w:szCs w:val="48"/>
        </w:rPr>
        <w:lastRenderedPageBreak/>
        <w:t>目录</w:t>
      </w:r>
    </w:p>
    <w:p w:rsidR="00AB247A" w:rsidRDefault="00714F03">
      <w:pPr>
        <w:pStyle w:val="10"/>
        <w:rPr>
          <w:rFonts w:ascii="Times New Roman" w:eastAsia="仿宋_GB2312" w:hAnsi="Times New Roman" w:cs="仿宋_GB2312"/>
          <w:sz w:val="32"/>
          <w:szCs w:val="32"/>
        </w:rPr>
      </w:pPr>
      <w:r>
        <w:rPr>
          <w:rFonts w:ascii="Times New Roman" w:eastAsia="仿宋_GB2312" w:hAnsi="Times New Roman" w:cs="仿宋_GB2312" w:hint="eastAsia"/>
          <w:sz w:val="32"/>
          <w:szCs w:val="32"/>
        </w:rPr>
        <w:t>公开时间：</w:t>
      </w:r>
      <w:r>
        <w:rPr>
          <w:rFonts w:ascii="Times New Roman" w:eastAsia="仿宋_GB2312" w:hAnsi="Times New Roman" w:cs="仿宋_GB2312" w:hint="eastAsia"/>
          <w:sz w:val="32"/>
          <w:szCs w:val="32"/>
        </w:rPr>
        <w:t>2025</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月</w:t>
      </w:r>
      <w:r w:rsidR="0094666E" w:rsidRPr="0094666E">
        <w:rPr>
          <w:rFonts w:ascii="Times New Roman" w:eastAsia="仿宋_GB2312" w:hAnsi="Times New Roman" w:cs="仿宋_GB2312" w:hint="eastAsia"/>
          <w:sz w:val="32"/>
          <w:szCs w:val="32"/>
        </w:rPr>
        <w:t>17</w:t>
      </w:r>
      <w:r>
        <w:rPr>
          <w:rFonts w:ascii="Times New Roman" w:eastAsia="仿宋_GB2312" w:hAnsi="Times New Roman" w:cs="仿宋_GB2312" w:hint="eastAsia"/>
          <w:sz w:val="32"/>
          <w:szCs w:val="32"/>
        </w:rPr>
        <w:t>日</w:t>
      </w:r>
    </w:p>
    <w:p w:rsidR="00AB247A" w:rsidRDefault="00AB247A"/>
    <w:p w:rsidR="00AB247A" w:rsidRDefault="00714F03">
      <w:pPr>
        <w:pStyle w:val="10"/>
        <w:adjustRightInd w:val="0"/>
        <w:snapToGrid w:val="0"/>
        <w:spacing w:before="0" w:line="560" w:lineRule="exact"/>
        <w:jc w:val="left"/>
        <w:rPr>
          <w:rFonts w:ascii="Times New Roman" w:eastAsia="黑体" w:hAnsi="Times New Roman" w:cs="黑体"/>
          <w:sz w:val="32"/>
          <w:szCs w:val="32"/>
        </w:rPr>
      </w:pPr>
      <w:r>
        <w:rPr>
          <w:rFonts w:ascii="Times New Roman" w:eastAsia="黑体" w:hAnsi="Times New Roman" w:cs="黑体" w:hint="eastAsia"/>
          <w:sz w:val="32"/>
          <w:szCs w:val="32"/>
        </w:rPr>
        <w:t>第一部分</w:t>
      </w:r>
      <w:r>
        <w:rPr>
          <w:rFonts w:ascii="Times New Roman" w:eastAsia="黑体" w:hAnsi="Times New Roman" w:cs="黑体" w:hint="eastAsia"/>
          <w:sz w:val="32"/>
          <w:szCs w:val="32"/>
        </w:rPr>
        <w:t xml:space="preserve"> </w:t>
      </w:r>
      <w:r>
        <w:rPr>
          <w:rFonts w:ascii="Times New Roman" w:eastAsia="黑体" w:hAnsi="Times New Roman" w:cs="黑体" w:hint="eastAsia"/>
          <w:sz w:val="32"/>
          <w:szCs w:val="32"/>
        </w:rPr>
        <w:t>部门概况</w:t>
      </w:r>
      <w:r>
        <w:rPr>
          <w:rFonts w:ascii="Times New Roman" w:eastAsia="黑体" w:hAnsi="Times New Roman" w:cs="黑体" w:hint="eastAsia"/>
          <w:sz w:val="32"/>
          <w:szCs w:val="32"/>
        </w:rPr>
        <w:t xml:space="preserve"> </w:t>
      </w:r>
      <w:r>
        <w:rPr>
          <w:rFonts w:ascii="宋体" w:hAnsi="宋体" w:cs="宋体" w:hint="eastAsia"/>
          <w:sz w:val="24"/>
        </w:rPr>
        <w:t>…………………………………………………………</w:t>
      </w:r>
      <w:r w:rsidR="0094666E">
        <w:rPr>
          <w:rFonts w:ascii="宋体" w:hAnsi="宋体" w:cs="宋体" w:hint="eastAsia"/>
          <w:sz w:val="24"/>
        </w:rPr>
        <w:t>1</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一、部门职责</w:t>
      </w:r>
      <w:r>
        <w:rPr>
          <w:rFonts w:ascii="宋体" w:hAnsi="宋体" w:cs="宋体" w:hint="eastAsia"/>
          <w:sz w:val="24"/>
        </w:rPr>
        <w:t>……………………………………………………………</w:t>
      </w:r>
      <w:r w:rsidR="0094666E">
        <w:rPr>
          <w:rFonts w:ascii="宋体" w:hAnsi="宋体" w:cs="宋体" w:hint="eastAsia"/>
          <w:sz w:val="24"/>
        </w:rPr>
        <w:t>1</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二、机构设置</w:t>
      </w:r>
      <w:r>
        <w:rPr>
          <w:rFonts w:ascii="宋体" w:hAnsi="宋体" w:cs="宋体" w:hint="eastAsia"/>
          <w:sz w:val="24"/>
        </w:rPr>
        <w:t>……………………………………………………………</w:t>
      </w:r>
      <w:r w:rsidR="0094666E">
        <w:rPr>
          <w:rFonts w:ascii="宋体" w:hAnsi="宋体" w:cs="宋体" w:hint="eastAsia"/>
          <w:sz w:val="24"/>
        </w:rPr>
        <w:t>3</w:t>
      </w:r>
    </w:p>
    <w:p w:rsidR="00AB247A" w:rsidRDefault="00714F03">
      <w:pPr>
        <w:pStyle w:val="21"/>
        <w:adjustRightInd w:val="0"/>
        <w:snapToGrid w:val="0"/>
        <w:spacing w:line="560" w:lineRule="exact"/>
        <w:ind w:leftChars="0" w:left="0"/>
        <w:jc w:val="left"/>
        <w:rPr>
          <w:rFonts w:eastAsia="仿宋_GB2312" w:cs="仿宋_GB2312"/>
          <w:sz w:val="32"/>
          <w:szCs w:val="32"/>
        </w:rPr>
      </w:pPr>
      <w:r>
        <w:rPr>
          <w:rFonts w:eastAsia="黑体" w:cs="黑体" w:hint="eastAsia"/>
          <w:sz w:val="32"/>
          <w:szCs w:val="32"/>
        </w:rPr>
        <w:t>第二部分</w:t>
      </w:r>
      <w:r>
        <w:rPr>
          <w:rFonts w:eastAsia="黑体" w:cs="黑体" w:hint="eastAsia"/>
          <w:sz w:val="32"/>
          <w:szCs w:val="32"/>
        </w:rPr>
        <w:t xml:space="preserve"> 2024</w:t>
      </w:r>
      <w:r>
        <w:rPr>
          <w:rFonts w:eastAsia="黑体" w:cs="黑体" w:hint="eastAsia"/>
          <w:sz w:val="32"/>
          <w:szCs w:val="32"/>
        </w:rPr>
        <w:t>年度部门决算情况说明</w:t>
      </w:r>
      <w:r>
        <w:rPr>
          <w:rFonts w:eastAsia="黑体" w:cs="黑体" w:hint="eastAsia"/>
          <w:sz w:val="32"/>
          <w:szCs w:val="32"/>
        </w:rPr>
        <w:t xml:space="preserve"> </w:t>
      </w:r>
      <w:r>
        <w:rPr>
          <w:rFonts w:ascii="宋体" w:hAnsi="宋体" w:cs="宋体" w:hint="eastAsia"/>
          <w:sz w:val="24"/>
        </w:rPr>
        <w:t>……………………………</w:t>
      </w:r>
      <w:r w:rsidR="0094666E">
        <w:rPr>
          <w:rFonts w:ascii="宋体" w:hAnsi="宋体" w:cs="宋体" w:hint="eastAsia"/>
          <w:sz w:val="24"/>
        </w:rPr>
        <w:t>5</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一、收入支出决算总体情况说明</w:t>
      </w:r>
      <w:r w:rsidR="0094666E">
        <w:rPr>
          <w:rFonts w:ascii="宋体" w:hAnsi="宋体" w:cs="宋体" w:hint="eastAsia"/>
          <w:sz w:val="24"/>
        </w:rPr>
        <w:t>…………………………</w:t>
      </w:r>
      <w:r w:rsidR="00FE7444">
        <w:rPr>
          <w:rFonts w:ascii="宋体" w:hAnsi="宋体" w:cs="宋体" w:hint="eastAsia"/>
          <w:sz w:val="24"/>
        </w:rPr>
        <w:t>…</w:t>
      </w:r>
      <w:r>
        <w:rPr>
          <w:rFonts w:ascii="宋体" w:hAnsi="宋体" w:cs="宋体" w:hint="eastAsia"/>
          <w:sz w:val="24"/>
        </w:rPr>
        <w:t>…</w:t>
      </w:r>
      <w:r w:rsidR="0094666E">
        <w:rPr>
          <w:rFonts w:ascii="宋体" w:hAnsi="宋体" w:cs="宋体" w:hint="eastAsia"/>
          <w:sz w:val="24"/>
        </w:rPr>
        <w:t>5</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二、收入决算情况说明</w:t>
      </w:r>
      <w:r>
        <w:rPr>
          <w:rFonts w:ascii="宋体" w:hAnsi="宋体" w:cs="宋体" w:hint="eastAsia"/>
          <w:sz w:val="24"/>
        </w:rPr>
        <w:t>………………………………………………</w:t>
      </w:r>
      <w:r w:rsidR="00FE7444">
        <w:rPr>
          <w:rFonts w:ascii="宋体" w:hAnsi="宋体" w:cs="宋体" w:hint="eastAsia"/>
          <w:sz w:val="24"/>
        </w:rPr>
        <w:t>5</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三、支出决算情况说明</w:t>
      </w:r>
      <w:r>
        <w:rPr>
          <w:rFonts w:ascii="宋体" w:hAnsi="宋体" w:cs="宋体" w:hint="eastAsia"/>
          <w:sz w:val="24"/>
        </w:rPr>
        <w:t>………………………………………………</w:t>
      </w:r>
      <w:r w:rsidR="00FE7444">
        <w:rPr>
          <w:rFonts w:ascii="宋体" w:hAnsi="宋体" w:cs="宋体" w:hint="eastAsia"/>
          <w:sz w:val="24"/>
        </w:rPr>
        <w:t>6</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四、财政拨款收入支出决算总体情况说明</w:t>
      </w:r>
      <w:r>
        <w:rPr>
          <w:rFonts w:eastAsia="仿宋_GB2312" w:cs="仿宋_GB2312" w:hint="eastAsia"/>
          <w:sz w:val="32"/>
          <w:szCs w:val="32"/>
        </w:rPr>
        <w:t xml:space="preserve"> </w:t>
      </w:r>
      <w:r w:rsidR="00FE7444">
        <w:rPr>
          <w:rFonts w:ascii="宋体" w:hAnsi="宋体" w:cs="宋体" w:hint="eastAsia"/>
          <w:sz w:val="24"/>
        </w:rPr>
        <w:t>…………</w:t>
      </w:r>
      <w:r>
        <w:rPr>
          <w:rFonts w:ascii="宋体" w:hAnsi="宋体" w:cs="宋体" w:hint="eastAsia"/>
          <w:sz w:val="24"/>
        </w:rPr>
        <w:t>………</w:t>
      </w:r>
      <w:r w:rsidR="00FE7444">
        <w:rPr>
          <w:rFonts w:ascii="宋体" w:hAnsi="宋体" w:cs="宋体" w:hint="eastAsia"/>
          <w:sz w:val="24"/>
        </w:rPr>
        <w:t>7</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五、一般公共预算财政拨款支出决算情况说明</w:t>
      </w:r>
      <w:r>
        <w:rPr>
          <w:rFonts w:ascii="宋体" w:hAnsi="宋体" w:cs="宋体" w:hint="eastAsia"/>
          <w:sz w:val="24"/>
        </w:rPr>
        <w:t>……………</w:t>
      </w:r>
      <w:r w:rsidR="00FE7444">
        <w:rPr>
          <w:rFonts w:ascii="宋体" w:hAnsi="宋体" w:cs="宋体" w:hint="eastAsia"/>
          <w:sz w:val="24"/>
        </w:rPr>
        <w:t>7</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六、一般公共预算财政拨款基本支出决算情况说明</w:t>
      </w:r>
      <w:r w:rsidR="00FE7444">
        <w:rPr>
          <w:rFonts w:ascii="宋体" w:hAnsi="宋体" w:cs="宋体" w:hint="eastAsia"/>
          <w:sz w:val="24"/>
        </w:rPr>
        <w:t>……12</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七、财政拨款“三公”经费支出决算情况说明</w:t>
      </w:r>
      <w:r w:rsidR="00FE7444">
        <w:rPr>
          <w:rFonts w:ascii="宋体" w:hAnsi="宋体" w:cs="宋体" w:hint="eastAsia"/>
          <w:sz w:val="24"/>
        </w:rPr>
        <w:t>…………13</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八、政府性基金预算支出决算情况说明</w:t>
      </w:r>
      <w:r>
        <w:rPr>
          <w:rFonts w:ascii="宋体" w:hAnsi="宋体" w:cs="宋体" w:hint="eastAsia"/>
          <w:sz w:val="24"/>
        </w:rPr>
        <w:t>……………………</w:t>
      </w:r>
      <w:r w:rsidR="00FE7444">
        <w:rPr>
          <w:rFonts w:ascii="宋体" w:hAnsi="宋体" w:cs="宋体" w:hint="eastAsia"/>
          <w:sz w:val="24"/>
        </w:rPr>
        <w:t>15</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九、国有资本经营预算支出决算情况说明</w:t>
      </w:r>
      <w:r>
        <w:rPr>
          <w:rFonts w:eastAsia="仿宋_GB2312" w:cs="仿宋_GB2312" w:hint="eastAsia"/>
          <w:sz w:val="32"/>
          <w:szCs w:val="32"/>
        </w:rPr>
        <w:t xml:space="preserve"> </w:t>
      </w:r>
      <w:r>
        <w:rPr>
          <w:rFonts w:ascii="宋体" w:hAnsi="宋体" w:cs="宋体" w:hint="eastAsia"/>
          <w:sz w:val="24"/>
        </w:rPr>
        <w:t>………………</w:t>
      </w:r>
      <w:r w:rsidR="00FE7444">
        <w:rPr>
          <w:rFonts w:ascii="宋体" w:hAnsi="宋体" w:cs="宋体" w:hint="eastAsia"/>
          <w:sz w:val="24"/>
        </w:rPr>
        <w:t>15</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十、其他重要事项的情况说明</w:t>
      </w:r>
      <w:r>
        <w:rPr>
          <w:rFonts w:ascii="宋体" w:hAnsi="宋体" w:cs="宋体" w:hint="eastAsia"/>
          <w:sz w:val="24"/>
        </w:rPr>
        <w:t>…………………………………</w:t>
      </w:r>
      <w:r w:rsidR="00FE7444">
        <w:rPr>
          <w:rFonts w:ascii="宋体" w:hAnsi="宋体" w:cs="宋体" w:hint="eastAsia"/>
          <w:sz w:val="24"/>
        </w:rPr>
        <w:t>15</w:t>
      </w:r>
    </w:p>
    <w:p w:rsidR="00AB247A" w:rsidRDefault="00714F03">
      <w:pPr>
        <w:pStyle w:val="10"/>
        <w:adjustRightInd w:val="0"/>
        <w:snapToGrid w:val="0"/>
        <w:spacing w:before="0" w:line="560" w:lineRule="exact"/>
        <w:jc w:val="left"/>
        <w:rPr>
          <w:rFonts w:ascii="Times New Roman" w:eastAsia="黑体" w:hAnsi="Times New Roman" w:cs="黑体"/>
          <w:sz w:val="32"/>
          <w:szCs w:val="32"/>
        </w:rPr>
      </w:pPr>
      <w:r>
        <w:rPr>
          <w:rFonts w:ascii="Times New Roman" w:eastAsia="黑体" w:hAnsi="Times New Roman" w:cs="黑体" w:hint="eastAsia"/>
          <w:sz w:val="32"/>
          <w:szCs w:val="32"/>
        </w:rPr>
        <w:t>第三部分</w:t>
      </w:r>
      <w:r>
        <w:rPr>
          <w:rFonts w:ascii="Times New Roman" w:eastAsia="黑体" w:hAnsi="Times New Roman" w:cs="黑体" w:hint="eastAsia"/>
          <w:sz w:val="32"/>
          <w:szCs w:val="32"/>
        </w:rPr>
        <w:t xml:space="preserve"> </w:t>
      </w:r>
      <w:r>
        <w:rPr>
          <w:rFonts w:ascii="Times New Roman" w:eastAsia="黑体" w:hAnsi="Times New Roman" w:cs="黑体" w:hint="eastAsia"/>
          <w:sz w:val="32"/>
          <w:szCs w:val="32"/>
        </w:rPr>
        <w:t>名词解释</w:t>
      </w:r>
      <w:r>
        <w:rPr>
          <w:rFonts w:ascii="Times New Roman" w:eastAsia="黑体" w:hAnsi="Times New Roman" w:cs="黑体" w:hint="eastAsia"/>
          <w:sz w:val="32"/>
          <w:szCs w:val="32"/>
        </w:rPr>
        <w:t xml:space="preserve"> </w:t>
      </w:r>
      <w:r>
        <w:rPr>
          <w:rFonts w:ascii="宋体" w:hAnsi="宋体" w:cs="宋体" w:hint="eastAsia"/>
          <w:sz w:val="24"/>
        </w:rPr>
        <w:t>………………………………………………………</w:t>
      </w:r>
      <w:r w:rsidR="00FE7444">
        <w:rPr>
          <w:rFonts w:ascii="宋体" w:hAnsi="宋体" w:cs="宋体" w:hint="eastAsia"/>
          <w:sz w:val="24"/>
        </w:rPr>
        <w:t>17</w:t>
      </w:r>
    </w:p>
    <w:p w:rsidR="00AB247A" w:rsidRDefault="00714F03">
      <w:pPr>
        <w:pStyle w:val="10"/>
        <w:adjustRightInd w:val="0"/>
        <w:snapToGrid w:val="0"/>
        <w:spacing w:before="0" w:line="560" w:lineRule="exact"/>
        <w:jc w:val="left"/>
        <w:rPr>
          <w:rFonts w:ascii="Times New Roman" w:eastAsia="黑体" w:hAnsi="Times New Roman" w:cs="黑体"/>
          <w:sz w:val="32"/>
          <w:szCs w:val="32"/>
        </w:rPr>
      </w:pPr>
      <w:r>
        <w:rPr>
          <w:rFonts w:ascii="Times New Roman" w:eastAsia="黑体" w:hAnsi="Times New Roman" w:cs="黑体" w:hint="eastAsia"/>
          <w:sz w:val="32"/>
          <w:szCs w:val="32"/>
        </w:rPr>
        <w:t>第四部分</w:t>
      </w:r>
      <w:r>
        <w:rPr>
          <w:rFonts w:ascii="Times New Roman" w:eastAsia="黑体" w:hAnsi="Times New Roman" w:cs="黑体" w:hint="eastAsia"/>
          <w:sz w:val="32"/>
          <w:szCs w:val="32"/>
        </w:rPr>
        <w:t xml:space="preserve"> </w:t>
      </w:r>
      <w:r>
        <w:rPr>
          <w:rFonts w:ascii="Times New Roman" w:eastAsia="黑体" w:hAnsi="Times New Roman" w:cs="黑体" w:hint="eastAsia"/>
          <w:sz w:val="32"/>
          <w:szCs w:val="32"/>
        </w:rPr>
        <w:t>附件</w:t>
      </w:r>
      <w:r>
        <w:rPr>
          <w:rFonts w:ascii="宋体" w:hAnsi="宋体" w:cs="宋体" w:hint="eastAsia"/>
          <w:sz w:val="24"/>
        </w:rPr>
        <w:t>………………………………………………………………</w:t>
      </w:r>
      <w:r w:rsidR="00FE7444">
        <w:rPr>
          <w:rFonts w:ascii="宋体" w:hAnsi="宋体" w:cs="宋体" w:hint="eastAsia"/>
          <w:sz w:val="24"/>
        </w:rPr>
        <w:t>2</w:t>
      </w:r>
      <w:r w:rsidR="008320B6">
        <w:rPr>
          <w:rFonts w:ascii="宋体" w:hAnsi="宋体" w:cs="宋体" w:hint="eastAsia"/>
          <w:sz w:val="24"/>
        </w:rPr>
        <w:t>3</w:t>
      </w:r>
    </w:p>
    <w:p w:rsidR="00AB247A" w:rsidRDefault="00714F03">
      <w:pPr>
        <w:pStyle w:val="10"/>
        <w:adjustRightInd w:val="0"/>
        <w:snapToGrid w:val="0"/>
        <w:spacing w:before="0" w:line="560" w:lineRule="exact"/>
        <w:jc w:val="left"/>
        <w:rPr>
          <w:rFonts w:ascii="Times New Roman" w:eastAsia="黑体" w:hAnsi="Times New Roman" w:cs="黑体"/>
          <w:sz w:val="32"/>
          <w:szCs w:val="32"/>
        </w:rPr>
      </w:pPr>
      <w:r>
        <w:rPr>
          <w:rFonts w:ascii="Times New Roman" w:eastAsia="黑体" w:hAnsi="Times New Roman" w:cs="黑体" w:hint="eastAsia"/>
          <w:sz w:val="32"/>
          <w:szCs w:val="32"/>
        </w:rPr>
        <w:t>第五部分</w:t>
      </w:r>
      <w:r>
        <w:rPr>
          <w:rFonts w:ascii="Times New Roman" w:eastAsia="黑体" w:hAnsi="Times New Roman" w:cs="黑体" w:hint="eastAsia"/>
          <w:sz w:val="32"/>
          <w:szCs w:val="32"/>
        </w:rPr>
        <w:t xml:space="preserve"> </w:t>
      </w:r>
      <w:r>
        <w:rPr>
          <w:rFonts w:ascii="Times New Roman" w:eastAsia="黑体" w:hAnsi="Times New Roman" w:cs="黑体" w:hint="eastAsia"/>
          <w:sz w:val="32"/>
          <w:szCs w:val="32"/>
        </w:rPr>
        <w:t>附表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10"/>
        <w:adjustRightInd w:val="0"/>
        <w:snapToGrid w:val="0"/>
        <w:spacing w:before="0" w:line="560" w:lineRule="exact"/>
        <w:ind w:firstLineChars="200" w:firstLine="640"/>
        <w:jc w:val="left"/>
        <w:rPr>
          <w:rFonts w:ascii="Times New Roman" w:eastAsia="黑体" w:hAnsi="Times New Roman" w:cs="黑体"/>
          <w:sz w:val="32"/>
          <w:szCs w:val="32"/>
        </w:rPr>
      </w:pPr>
      <w:r>
        <w:rPr>
          <w:rFonts w:eastAsia="仿宋_GB2312" w:cs="仿宋_GB2312" w:hint="eastAsia"/>
          <w:sz w:val="32"/>
          <w:szCs w:val="32"/>
        </w:rPr>
        <w:t>一、收入支出决算总表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二、收入决算表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三、支出决算表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四、财政拨款收入支出决算总表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lastRenderedPageBreak/>
        <w:t>五、财政拨款支出决算明细表</w:t>
      </w:r>
      <w:r>
        <w:rPr>
          <w:rFonts w:ascii="宋体" w:hAnsi="宋体" w:cs="宋体" w:hint="eastAsia"/>
          <w:sz w:val="24"/>
        </w:rPr>
        <w:t>…………………………………</w:t>
      </w:r>
      <w:r w:rsidR="008320B6">
        <w:rPr>
          <w:rFonts w:ascii="宋体" w:hAnsi="宋体" w:cs="宋体" w:hint="eastAsia"/>
          <w:sz w:val="24"/>
        </w:rPr>
        <w:t>58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六、一般公共预算财政拨款支出决算表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七、一般公共预算财政拨款支出决算明细表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八、一般公共预算财政拨款基本支出决算明细表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九、一般公共预算财政拨款项目支出决算表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十、政府性基金预算财政拨款收入支出决算表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十一、国有资本经营预算财政拨款收入支出决算表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Default="00714F03">
      <w:pPr>
        <w:pStyle w:val="21"/>
        <w:adjustRightInd w:val="0"/>
        <w:snapToGrid w:val="0"/>
        <w:spacing w:line="560" w:lineRule="exact"/>
        <w:ind w:leftChars="0" w:left="0" w:firstLineChars="200" w:firstLine="640"/>
        <w:jc w:val="left"/>
        <w:rPr>
          <w:rFonts w:eastAsia="仿宋_GB2312" w:cs="仿宋_GB2312"/>
          <w:sz w:val="32"/>
          <w:szCs w:val="32"/>
        </w:rPr>
      </w:pPr>
      <w:r>
        <w:rPr>
          <w:rFonts w:eastAsia="仿宋_GB2312" w:cs="仿宋_GB2312" w:hint="eastAsia"/>
          <w:sz w:val="32"/>
          <w:szCs w:val="32"/>
        </w:rPr>
        <w:t>十二、国有资本经营预算财政拨款支出决算表</w:t>
      </w:r>
      <w:r>
        <w:rPr>
          <w:rFonts w:ascii="宋体" w:hAnsi="宋体" w:cs="宋体" w:hint="eastAsia"/>
          <w:sz w:val="24"/>
        </w:rPr>
        <w:t>…………</w:t>
      </w:r>
      <w:r w:rsidR="00FE7444">
        <w:rPr>
          <w:rFonts w:ascii="宋体" w:hAnsi="宋体" w:cs="宋体" w:hint="eastAsia"/>
          <w:sz w:val="24"/>
        </w:rPr>
        <w:t>5</w:t>
      </w:r>
      <w:r w:rsidR="008320B6">
        <w:rPr>
          <w:rFonts w:ascii="宋体" w:hAnsi="宋体" w:cs="宋体" w:hint="eastAsia"/>
          <w:sz w:val="24"/>
        </w:rPr>
        <w:t>8</w:t>
      </w:r>
    </w:p>
    <w:p w:rsidR="00AB247A" w:rsidRPr="00FE7444" w:rsidRDefault="00714F03" w:rsidP="00FE7444">
      <w:pPr>
        <w:pStyle w:val="21"/>
        <w:adjustRightInd w:val="0"/>
        <w:snapToGrid w:val="0"/>
        <w:spacing w:line="560" w:lineRule="exact"/>
        <w:ind w:leftChars="0" w:left="0" w:firstLineChars="200" w:firstLine="640"/>
        <w:jc w:val="left"/>
        <w:rPr>
          <w:rFonts w:eastAsia="仿宋_GB2312" w:cs="仿宋_GB2312"/>
          <w:sz w:val="32"/>
          <w:szCs w:val="32"/>
        </w:rPr>
        <w:sectPr w:rsidR="00AB247A" w:rsidRPr="00FE7444">
          <w:headerReference w:type="default" r:id="rId7"/>
          <w:footerReference w:type="default" r:id="rId8"/>
          <w:headerReference w:type="first" r:id="rId9"/>
          <w:footerReference w:type="first" r:id="rId10"/>
          <w:pgSz w:w="11906" w:h="16838"/>
          <w:pgMar w:top="1440" w:right="1800" w:bottom="1440" w:left="1800" w:header="851" w:footer="992" w:gutter="0"/>
          <w:pgNumType w:fmt="numberInDash" w:start="1"/>
          <w:cols w:space="425"/>
          <w:docGrid w:type="lines" w:linePitch="312"/>
        </w:sectPr>
      </w:pPr>
      <w:r>
        <w:rPr>
          <w:rFonts w:eastAsia="仿宋_GB2312" w:cs="仿宋_GB2312" w:hint="eastAsia"/>
          <w:sz w:val="32"/>
          <w:szCs w:val="32"/>
        </w:rPr>
        <w:t>十三、财政拨款“三公”经费支出决算表</w:t>
      </w:r>
      <w:r>
        <w:rPr>
          <w:rFonts w:ascii="宋体" w:hAnsi="宋体" w:cs="宋体" w:hint="eastAsia"/>
          <w:sz w:val="24"/>
        </w:rPr>
        <w:t>………………</w:t>
      </w:r>
      <w:bookmarkStart w:id="12" w:name="_Toc15377196"/>
      <w:bookmarkStart w:id="13" w:name="_Toc15396599"/>
      <w:r w:rsidR="008320B6">
        <w:rPr>
          <w:rFonts w:ascii="宋体" w:hAnsi="宋体" w:cs="宋体" w:hint="eastAsia"/>
          <w:sz w:val="24"/>
        </w:rPr>
        <w:t>58</w:t>
      </w:r>
    </w:p>
    <w:p w:rsidR="00AB247A" w:rsidRDefault="00714F03">
      <w:pPr>
        <w:pStyle w:val="1"/>
        <w:jc w:val="center"/>
        <w:rPr>
          <w:rFonts w:eastAsia="黑体"/>
          <w:sz w:val="32"/>
          <w:szCs w:val="32"/>
        </w:rPr>
      </w:pPr>
      <w:r>
        <w:rPr>
          <w:rFonts w:eastAsia="方正小标宋简体" w:cs="方正小标宋简体" w:hint="eastAsia"/>
          <w:b w:val="0"/>
        </w:rPr>
        <w:lastRenderedPageBreak/>
        <w:t>第一部分</w:t>
      </w:r>
      <w:r>
        <w:rPr>
          <w:rFonts w:eastAsia="方正小标宋简体" w:cs="方正小标宋简体" w:hint="eastAsia"/>
          <w:b w:val="0"/>
        </w:rPr>
        <w:t xml:space="preserve">  </w:t>
      </w:r>
      <w:r>
        <w:rPr>
          <w:rStyle w:val="1Char"/>
          <w:rFonts w:eastAsia="方正小标宋简体" w:cs="方正小标宋简体" w:hint="eastAsia"/>
        </w:rPr>
        <w:t>部门概况</w:t>
      </w:r>
      <w:bookmarkEnd w:id="12"/>
      <w:bookmarkEnd w:id="13"/>
    </w:p>
    <w:p w:rsidR="00AB247A" w:rsidRDefault="00714F03">
      <w:pPr>
        <w:pStyle w:val="2"/>
        <w:rPr>
          <w:rFonts w:ascii="Times New Roman" w:eastAsia="黑体" w:hAnsi="Times New Roman"/>
          <w:b w:val="0"/>
        </w:rPr>
      </w:pPr>
      <w:bookmarkStart w:id="14" w:name="_Toc15377197"/>
      <w:bookmarkStart w:id="15" w:name="_Toc15396600"/>
      <w:r>
        <w:rPr>
          <w:rFonts w:ascii="Times New Roman" w:eastAsia="黑体" w:hAnsi="Times New Roman" w:hint="eastAsia"/>
          <w:b w:val="0"/>
        </w:rPr>
        <w:t>一、</w:t>
      </w:r>
      <w:bookmarkEnd w:id="14"/>
      <w:bookmarkEnd w:id="15"/>
      <w:r>
        <w:rPr>
          <w:rFonts w:ascii="Times New Roman" w:eastAsia="黑体" w:hAnsi="Times New Roman" w:hint="eastAsia"/>
          <w:b w:val="0"/>
        </w:rPr>
        <w:t>部门职责</w:t>
      </w:r>
    </w:p>
    <w:p w:rsidR="00AB247A" w:rsidRDefault="00714F03">
      <w:pPr>
        <w:ind w:firstLineChars="200" w:firstLine="640"/>
        <w:rPr>
          <w:rFonts w:ascii="仿宋_GB2312" w:eastAsia="仿宋_GB2312" w:hAnsi="仿宋_GB2312" w:cs="仿宋_GB2312"/>
          <w:sz w:val="32"/>
          <w:szCs w:val="32"/>
        </w:rPr>
      </w:pPr>
      <w:bookmarkStart w:id="16" w:name="_Toc15396601"/>
      <w:bookmarkStart w:id="17" w:name="_Toc15377200"/>
      <w:r>
        <w:rPr>
          <w:rFonts w:ascii="仿宋_GB2312" w:eastAsia="仿宋_GB2312" w:hAnsi="仿宋_GB2312" w:cs="仿宋_GB2312" w:hint="eastAsia"/>
          <w:sz w:val="32"/>
          <w:szCs w:val="32"/>
        </w:rPr>
        <w:t>按照《乐山市市中区悦来镇人民政府职能配置、内设机构和人员编制规定》，悦来镇主要职能为：</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（一）负责贯彻执行党和国家的路线方针政策、法律法规规章，执行区委、区政府的决定，研究决定辖区内政治、经济、文化、社会、生态文明等领域事业发展的重大事项并组织实施。</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二）落实全面从严治党主体责任，负责加强基层党组织建设和基层政权建设，巩固党的执政基础；负责党风廉政建设和反腐败工作；负责统一战线工作；统筹协调辖区内各领域党建工作，推进社区党建、单位党建、行业党建和区域化党建互联互动，统筹抓好新领域新业态新群体党建工作。</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（三）加强基层宣传思想文化工作，推进基层精神文明建设，培养和弘扬社会主义核心价值观，创造良好社会环境。负责指导机关、群团组织和其他各类组织依法依规履行职责。</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（四）负责拟定经济发展规划并组织实施。指导经济发展，推进产业结构调整，促进经济增长方式转变，促进农民增收。</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lastRenderedPageBreak/>
        <w:t>（五）负责拟定社会事业发展规划并组织实施。负责教育、科技、文化旅游、体育、广播电视、民政、卫生健康、医疗保障、残疾人保障、社会保障、退役军人服务、拥军优属、优抚安置等工作，推进便民服务中心规范化建设，落实与群众密切相关的各项公共服务政策。</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（六）负责拟定乡村振兴发展规划并组织实施，负责农业产业升级转型、美丽乡村建设、农村文化生活繁荣、农村基础设施和公共服务能力提升、农村综合改革、脱贫攻坚等工作。</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七）负责城乡基层治理工作，深化党建引领城乡基层治理，形成共建共治共享的城乡基层治理工作格局，推进和谐宜居乡村建设；加强社会主义民主法治建设和精神文明建设，承担社会治理、信访维稳、法治建设、防邪、禁毒、民族宗教等工作。</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（八）负责辖区公共事务综合管理，参与辖区规划建设，负责拟定村镇国土空间规划并组织实施，承担重点工程建设、乡村道路建设及公共设施等管理工作，对辖区事关群众利益的重大决策和重大项目提出建议。</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（九）负责统筹协调综合执法、城镇和市场监管工作，统筹组织协调指挥辖区内派驻和基层执法力量。</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（十）负责应急管理和安全生产工作，落实安全生产责</w:t>
      </w:r>
      <w:r>
        <w:rPr>
          <w:rFonts w:hAnsi="仿宋_GB2312" w:cs="仿宋_GB2312" w:hint="eastAsia"/>
          <w:kern w:val="2"/>
          <w:sz w:val="32"/>
          <w:szCs w:val="32"/>
        </w:rPr>
        <w:lastRenderedPageBreak/>
        <w:t>任制，建立健全应对突发紧急事件的处置管理机制，构建公共安全防控体系。</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（十一）负责自然资源、生态环境保护工作，做好网格化环境监管，开展自然资源、环境保护隐患排查和治理，配合有关部门查处自然资源、环境违法行为。</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（十二）负责推进基层民主法治建设，加强普法依法治理，维护群众合法权益。负责协助武装部门做好辖区民兵训练和公民服兵役工作。</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（十三）按照干部管理权限，负责对干部的教育、培训、选拔、考核和监督工作。</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（十四）负责编制和执行本级预算、决算。加强本级财政、所属事业机构以及村（社区）财务的核算和监督。</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五）根据法定职责或受委托承担辖区内审批服务、公共服务、各类社会事务服务等职责。负责制定完善权力清单、责任清单、公共服务事项清单，建立清单动态调整和公示机制，推进党务政务公开，接受群众监督，增加公信力。</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（十六）履行法律、法规、规章规定的其他职责，承办区委、区政府交办的其他工作。</w:t>
      </w:r>
    </w:p>
    <w:p w:rsidR="00AB247A" w:rsidRDefault="00714F03">
      <w:pPr>
        <w:pStyle w:val="2"/>
        <w:rPr>
          <w:rStyle w:val="2Char"/>
          <w:rFonts w:ascii="Times New Roman" w:hAnsi="Times New Roman"/>
        </w:rPr>
      </w:pPr>
      <w:r>
        <w:rPr>
          <w:rFonts w:ascii="Times New Roman" w:eastAsia="黑体" w:hAnsi="Times New Roman" w:hint="eastAsia"/>
          <w:b w:val="0"/>
        </w:rPr>
        <w:t>二、机</w:t>
      </w:r>
      <w:r>
        <w:rPr>
          <w:rStyle w:val="2Char"/>
          <w:rFonts w:ascii="Times New Roman" w:eastAsia="黑体" w:hAnsi="Times New Roman" w:hint="eastAsia"/>
        </w:rPr>
        <w:t>构设置</w:t>
      </w:r>
      <w:bookmarkEnd w:id="16"/>
      <w:bookmarkEnd w:id="17"/>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乐山市市中区悦来镇人民政府下属二级预算单位2个，</w:t>
      </w:r>
      <w:r>
        <w:rPr>
          <w:rFonts w:hAnsi="仿宋_GB2312" w:cs="仿宋_GB2312" w:hint="eastAsia"/>
          <w:kern w:val="2"/>
          <w:sz w:val="32"/>
          <w:szCs w:val="32"/>
        </w:rPr>
        <w:lastRenderedPageBreak/>
        <w:t>其中行政单位0个，参照公务员法管理的事业单位0个，其他事业单位2个，未单独核算。</w:t>
      </w:r>
    </w:p>
    <w:p w:rsidR="00AB247A" w:rsidRDefault="00714F03">
      <w:pPr>
        <w:pStyle w:val="a5"/>
        <w:spacing w:before="93"/>
        <w:ind w:firstLineChars="200" w:firstLine="640"/>
        <w:rPr>
          <w:rFonts w:hAnsi="仿宋_GB2312" w:cs="仿宋_GB2312"/>
          <w:kern w:val="2"/>
          <w:sz w:val="32"/>
          <w:szCs w:val="32"/>
        </w:rPr>
      </w:pPr>
      <w:r>
        <w:rPr>
          <w:rFonts w:hAnsi="仿宋_GB2312" w:cs="仿宋_GB2312" w:hint="eastAsia"/>
          <w:kern w:val="2"/>
          <w:sz w:val="32"/>
          <w:szCs w:val="32"/>
        </w:rPr>
        <w:t>纳入乐山市市中区悦来镇人民政府2024年度部门决算编制范围的二级预算单位包括：</w:t>
      </w:r>
    </w:p>
    <w:p w:rsidR="00AB247A" w:rsidRDefault="00714F03">
      <w:pPr>
        <w:pStyle w:val="a5"/>
        <w:spacing w:before="93"/>
        <w:ind w:firstLineChars="200" w:firstLine="640"/>
        <w:rPr>
          <w:rFonts w:hAnsi="仿宋_GB2312" w:cs="仿宋_GB2312"/>
          <w:kern w:val="2"/>
          <w:sz w:val="32"/>
          <w:szCs w:val="32"/>
        </w:rPr>
      </w:pPr>
      <w:bookmarkStart w:id="18" w:name="_Toc15377433"/>
      <w:bookmarkStart w:id="19" w:name="_Toc15306276"/>
      <w:bookmarkStart w:id="20" w:name="_Toc15378449"/>
      <w:bookmarkStart w:id="21" w:name="_Toc15377202"/>
      <w:r>
        <w:rPr>
          <w:rFonts w:hAnsi="仿宋_GB2312" w:cs="仿宋_GB2312" w:hint="eastAsia"/>
          <w:kern w:val="2"/>
          <w:sz w:val="32"/>
          <w:szCs w:val="32"/>
        </w:rPr>
        <w:t>1.乐山市市中区悦来镇农业综合服务中心</w:t>
      </w:r>
      <w:bookmarkEnd w:id="18"/>
      <w:bookmarkEnd w:id="19"/>
      <w:bookmarkEnd w:id="20"/>
      <w:bookmarkEnd w:id="21"/>
    </w:p>
    <w:p w:rsidR="00AB247A" w:rsidRDefault="00714F03">
      <w:pPr>
        <w:pStyle w:val="a5"/>
        <w:spacing w:before="93"/>
        <w:ind w:firstLineChars="200" w:firstLine="640"/>
        <w:rPr>
          <w:rFonts w:hAnsi="仿宋_GB2312" w:cs="仿宋_GB2312"/>
          <w:kern w:val="2"/>
          <w:sz w:val="32"/>
          <w:szCs w:val="32"/>
        </w:rPr>
      </w:pPr>
      <w:bookmarkStart w:id="22" w:name="_Toc15377203"/>
      <w:bookmarkStart w:id="23" w:name="_Toc15377434"/>
      <w:bookmarkStart w:id="24" w:name="_Toc15306277"/>
      <w:bookmarkStart w:id="25" w:name="_Toc15378450"/>
      <w:r>
        <w:rPr>
          <w:rFonts w:hAnsi="仿宋_GB2312" w:cs="仿宋_GB2312" w:hint="eastAsia"/>
          <w:kern w:val="2"/>
          <w:sz w:val="32"/>
          <w:szCs w:val="32"/>
        </w:rPr>
        <w:t>2.乐山市市中区悦来镇人民政府便民服务中心</w:t>
      </w:r>
      <w:bookmarkEnd w:id="22"/>
      <w:bookmarkEnd w:id="23"/>
      <w:bookmarkEnd w:id="24"/>
      <w:bookmarkEnd w:id="25"/>
    </w:p>
    <w:p w:rsidR="00AB247A" w:rsidRDefault="00714F03">
      <w:pPr>
        <w:widowControl/>
        <w:jc w:val="left"/>
        <w:rPr>
          <w:rFonts w:eastAsia="仿宋"/>
          <w:kern w:val="0"/>
          <w:sz w:val="32"/>
          <w:szCs w:val="32"/>
        </w:rPr>
      </w:pPr>
      <w:r>
        <w:rPr>
          <w:rFonts w:eastAsia="仿宋"/>
          <w:sz w:val="32"/>
          <w:szCs w:val="32"/>
        </w:rPr>
        <w:br w:type="page"/>
      </w:r>
    </w:p>
    <w:p w:rsidR="00AB247A" w:rsidRDefault="00714F03">
      <w:pPr>
        <w:pStyle w:val="1"/>
        <w:jc w:val="center"/>
        <w:rPr>
          <w:rFonts w:eastAsia="方正小标宋简体" w:cs="方正小标宋简体"/>
          <w:b w:val="0"/>
        </w:rPr>
      </w:pPr>
      <w:bookmarkStart w:id="26" w:name="_Toc15396602"/>
      <w:bookmarkStart w:id="27" w:name="_Toc15377204"/>
      <w:r>
        <w:rPr>
          <w:rFonts w:eastAsia="方正小标宋简体" w:cs="方正小标宋简体" w:hint="eastAsia"/>
          <w:b w:val="0"/>
        </w:rPr>
        <w:lastRenderedPageBreak/>
        <w:t>第二部分</w:t>
      </w:r>
      <w:r>
        <w:rPr>
          <w:rFonts w:eastAsia="方正小标宋简体" w:cs="方正小标宋简体" w:hint="eastAsia"/>
          <w:b w:val="0"/>
        </w:rPr>
        <w:t xml:space="preserve">  2024</w:t>
      </w:r>
      <w:r>
        <w:rPr>
          <w:rFonts w:eastAsia="方正小标宋简体" w:cs="方正小标宋简体" w:hint="eastAsia"/>
          <w:b w:val="0"/>
        </w:rPr>
        <w:t>年度部门决算情况说明</w:t>
      </w:r>
      <w:bookmarkEnd w:id="26"/>
      <w:bookmarkEnd w:id="27"/>
    </w:p>
    <w:p w:rsidR="00AB247A" w:rsidRDefault="00714F03">
      <w:pPr>
        <w:pStyle w:val="ab"/>
        <w:spacing w:line="600" w:lineRule="exact"/>
        <w:ind w:firstLine="640"/>
        <w:outlineLvl w:val="1"/>
        <w:rPr>
          <w:rStyle w:val="2Char"/>
          <w:rFonts w:ascii="Times New Roman" w:eastAsia="黑体" w:hAnsi="Times New Roman"/>
          <w:b w:val="0"/>
        </w:rPr>
      </w:pPr>
      <w:bookmarkStart w:id="28" w:name="_Toc15396603"/>
      <w:bookmarkStart w:id="29" w:name="_Toc15377205"/>
      <w:r>
        <w:rPr>
          <w:rFonts w:eastAsia="黑体" w:hint="eastAsia"/>
          <w:sz w:val="32"/>
          <w:szCs w:val="32"/>
        </w:rPr>
        <w:t>一、收</w:t>
      </w:r>
      <w:r>
        <w:rPr>
          <w:rStyle w:val="2Char"/>
          <w:rFonts w:ascii="Times New Roman" w:eastAsia="黑体" w:hAnsi="Times New Roman" w:hint="eastAsia"/>
          <w:b w:val="0"/>
        </w:rPr>
        <w:t>入支出决算总体情况说明</w:t>
      </w:r>
      <w:bookmarkEnd w:id="28"/>
      <w:bookmarkEnd w:id="29"/>
    </w:p>
    <w:p w:rsidR="00AB247A" w:rsidRDefault="00714F03">
      <w:pPr>
        <w:pStyle w:val="ab"/>
        <w:spacing w:line="600" w:lineRule="exact"/>
        <w:ind w:firstLine="640"/>
        <w:outlineLvl w:val="1"/>
        <w:rPr>
          <w:rFonts w:hAnsi="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年度收入、支出总计均为</w:t>
      </w:r>
      <w:r>
        <w:rPr>
          <w:rFonts w:eastAsia="仿宋_GB2312" w:cs="仿宋_GB2312" w:hint="eastAsia"/>
          <w:sz w:val="32"/>
          <w:szCs w:val="32"/>
        </w:rPr>
        <w:t>3044.41</w:t>
      </w:r>
      <w:r>
        <w:rPr>
          <w:rFonts w:eastAsia="仿宋_GB2312" w:cs="仿宋_GB2312" w:hint="eastAsia"/>
          <w:sz w:val="32"/>
          <w:szCs w:val="32"/>
        </w:rPr>
        <w:t>万元。与</w:t>
      </w:r>
      <w:r>
        <w:rPr>
          <w:rFonts w:eastAsia="仿宋_GB2312" w:cs="仿宋_GB2312" w:hint="eastAsia"/>
          <w:sz w:val="32"/>
          <w:szCs w:val="32"/>
        </w:rPr>
        <w:t>2023</w:t>
      </w:r>
      <w:r>
        <w:rPr>
          <w:rFonts w:eastAsia="仿宋_GB2312" w:cs="仿宋_GB2312" w:hint="eastAsia"/>
          <w:sz w:val="32"/>
          <w:szCs w:val="32"/>
        </w:rPr>
        <w:t>年度</w:t>
      </w:r>
      <w:r>
        <w:rPr>
          <w:rFonts w:eastAsia="仿宋_GB2312" w:cs="仿宋_GB2312" w:hint="eastAsia"/>
          <w:sz w:val="32"/>
          <w:szCs w:val="32"/>
        </w:rPr>
        <w:t>1350.98</w:t>
      </w:r>
      <w:r>
        <w:rPr>
          <w:rFonts w:eastAsia="仿宋_GB2312" w:cs="仿宋_GB2312" w:hint="eastAsia"/>
          <w:sz w:val="32"/>
          <w:szCs w:val="32"/>
        </w:rPr>
        <w:t>万元相比，收入、支出总计各增加</w:t>
      </w:r>
      <w:r>
        <w:rPr>
          <w:rFonts w:eastAsia="仿宋_GB2312" w:cs="仿宋_GB2312" w:hint="eastAsia"/>
          <w:sz w:val="32"/>
          <w:szCs w:val="32"/>
        </w:rPr>
        <w:t>1693.43</w:t>
      </w:r>
      <w:r>
        <w:rPr>
          <w:rFonts w:eastAsia="仿宋_GB2312" w:cs="仿宋_GB2312" w:hint="eastAsia"/>
          <w:sz w:val="32"/>
          <w:szCs w:val="32"/>
        </w:rPr>
        <w:t>万元，增长</w:t>
      </w:r>
      <w:r>
        <w:rPr>
          <w:rFonts w:eastAsia="仿宋_GB2312" w:cs="仿宋_GB2312" w:hint="eastAsia"/>
          <w:sz w:val="32"/>
          <w:szCs w:val="32"/>
        </w:rPr>
        <w:t>125.35%</w:t>
      </w:r>
      <w:r>
        <w:rPr>
          <w:rFonts w:eastAsia="仿宋_GB2312" w:cs="仿宋_GB2312" w:hint="eastAsia"/>
          <w:sz w:val="32"/>
          <w:szCs w:val="32"/>
        </w:rPr>
        <w:t>。主要变动原因是全年工程项目较</w:t>
      </w:r>
      <w:r>
        <w:rPr>
          <w:rFonts w:eastAsia="仿宋_GB2312" w:cs="仿宋_GB2312" w:hint="eastAsia"/>
          <w:sz w:val="32"/>
          <w:szCs w:val="32"/>
        </w:rPr>
        <w:t>2023</w:t>
      </w:r>
      <w:r>
        <w:rPr>
          <w:rFonts w:eastAsia="仿宋_GB2312" w:cs="仿宋_GB2312" w:hint="eastAsia"/>
          <w:sz w:val="32"/>
          <w:szCs w:val="32"/>
        </w:rPr>
        <w:t>年项目投入较大，项目支出增加。</w:t>
      </w:r>
    </w:p>
    <w:p w:rsidR="00AB247A" w:rsidRDefault="00AB247A">
      <w:pPr>
        <w:pStyle w:val="ab"/>
        <w:spacing w:line="600" w:lineRule="exact"/>
        <w:ind w:firstLine="640"/>
        <w:outlineLvl w:val="1"/>
        <w:rPr>
          <w:rFonts w:eastAsia="仿宋_GB2312" w:cs="仿宋_GB2312"/>
          <w:bCs/>
          <w:sz w:val="32"/>
          <w:szCs w:val="32"/>
        </w:rPr>
      </w:pPr>
    </w:p>
    <w:p w:rsidR="00AB247A" w:rsidRDefault="00714F03">
      <w:pPr>
        <w:pStyle w:val="a0"/>
      </w:pPr>
      <w:r>
        <w:rPr>
          <w:noProof/>
        </w:rPr>
        <w:drawing>
          <wp:inline distT="0" distB="0" distL="0" distR="0">
            <wp:extent cx="5274310" cy="3203575"/>
            <wp:effectExtent l="19050" t="0" r="2540" b="0"/>
            <wp:docPr id="2" name="图片 2" descr="I:\财务\2025年财务\其他资料及日常工作\10.10开展2024年部门决算公开的通知（乐中财政库〔2025〕8号）\截图\有度即时通2025101315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财务\2025年财务\其他资料及日常工作\10.10开展2024年部门决算公开的通知（乐中财政库〔2025〕8号）\截图\有度即时通20251013150610.png"/>
                    <pic:cNvPicPr>
                      <a:picLocks noChangeAspect="1" noChangeArrowheads="1"/>
                    </pic:cNvPicPr>
                  </pic:nvPicPr>
                  <pic:blipFill>
                    <a:blip r:embed="rId11"/>
                    <a:srcRect/>
                    <a:stretch>
                      <a:fillRect/>
                    </a:stretch>
                  </pic:blipFill>
                  <pic:spPr>
                    <a:xfrm>
                      <a:off x="0" y="0"/>
                      <a:ext cx="5274310" cy="3203715"/>
                    </a:xfrm>
                    <a:prstGeom prst="rect">
                      <a:avLst/>
                    </a:prstGeom>
                    <a:noFill/>
                    <a:ln w="9525">
                      <a:noFill/>
                      <a:miter lim="800000"/>
                      <a:headEnd/>
                      <a:tailEnd/>
                    </a:ln>
                  </pic:spPr>
                </pic:pic>
              </a:graphicData>
            </a:graphic>
          </wp:inline>
        </w:drawing>
      </w:r>
    </w:p>
    <w:p w:rsidR="00AB247A" w:rsidRDefault="00AB247A">
      <w:pPr>
        <w:pStyle w:val="ab"/>
        <w:spacing w:line="600" w:lineRule="exact"/>
        <w:ind w:firstLine="640"/>
        <w:outlineLvl w:val="1"/>
        <w:rPr>
          <w:rFonts w:eastAsia="黑体"/>
          <w:sz w:val="32"/>
          <w:szCs w:val="32"/>
        </w:rPr>
      </w:pPr>
      <w:bookmarkStart w:id="30" w:name="_Toc15396604"/>
      <w:bookmarkStart w:id="31" w:name="_Toc15377206"/>
    </w:p>
    <w:p w:rsidR="00AB247A" w:rsidRDefault="00714F03">
      <w:pPr>
        <w:pStyle w:val="ab"/>
        <w:spacing w:line="600" w:lineRule="exact"/>
        <w:ind w:firstLine="640"/>
        <w:outlineLvl w:val="1"/>
        <w:rPr>
          <w:rFonts w:eastAsia="黑体"/>
          <w:sz w:val="32"/>
          <w:szCs w:val="32"/>
        </w:rPr>
      </w:pPr>
      <w:r>
        <w:rPr>
          <w:rFonts w:eastAsia="黑体" w:hint="eastAsia"/>
          <w:sz w:val="32"/>
          <w:szCs w:val="32"/>
        </w:rPr>
        <w:t>二、收入决算情况说明</w:t>
      </w:r>
      <w:bookmarkEnd w:id="30"/>
      <w:bookmarkEnd w:id="31"/>
    </w:p>
    <w:p w:rsidR="00AB247A" w:rsidRDefault="00714F03">
      <w:pPr>
        <w:pStyle w:val="ab"/>
        <w:spacing w:line="600" w:lineRule="exact"/>
        <w:ind w:firstLine="640"/>
        <w:jc w:val="left"/>
        <w:outlineLvl w:val="1"/>
        <w:rPr>
          <w:rFonts w:eastAsia="仿宋_GB2312" w:cs="仿宋_GB2312"/>
          <w:sz w:val="32"/>
          <w:szCs w:val="32"/>
        </w:rPr>
      </w:pPr>
      <w:r>
        <w:rPr>
          <w:rFonts w:ascii="仿宋_GB2312" w:eastAsia="仿宋_GB2312" w:hAnsi="仿宋_GB2312" w:cs="仿宋_GB2312" w:hint="eastAsia"/>
          <w:sz w:val="32"/>
          <w:szCs w:val="32"/>
        </w:rPr>
        <w:t>2024年度本年收入合计</w:t>
      </w:r>
      <w:r>
        <w:rPr>
          <w:rFonts w:eastAsia="仿宋_GB2312" w:cs="仿宋_GB2312" w:hint="eastAsia"/>
          <w:sz w:val="32"/>
          <w:szCs w:val="32"/>
        </w:rPr>
        <w:t>3008.57</w:t>
      </w:r>
      <w:r>
        <w:rPr>
          <w:rFonts w:ascii="仿宋_GB2312" w:eastAsia="仿宋_GB2312" w:hAnsi="仿宋_GB2312" w:cs="仿宋_GB2312" w:hint="eastAsia"/>
          <w:sz w:val="32"/>
          <w:szCs w:val="32"/>
        </w:rPr>
        <w:t>万元，其中：一般公共预算财政拨款收入</w:t>
      </w:r>
      <w:r>
        <w:rPr>
          <w:rFonts w:eastAsia="仿宋_GB2312" w:cs="仿宋_GB2312" w:hint="eastAsia"/>
          <w:sz w:val="32"/>
          <w:szCs w:val="32"/>
        </w:rPr>
        <w:t>2880.89</w:t>
      </w:r>
      <w:r>
        <w:rPr>
          <w:rFonts w:ascii="仿宋_GB2312" w:eastAsia="仿宋_GB2312" w:hAnsi="仿宋_GB2312" w:cs="仿宋_GB2312" w:hint="eastAsia"/>
          <w:sz w:val="32"/>
          <w:szCs w:val="32"/>
        </w:rPr>
        <w:t>万元，占</w:t>
      </w:r>
      <w:r>
        <w:rPr>
          <w:rFonts w:eastAsia="仿宋_GB2312" w:cs="仿宋_GB2312" w:hint="eastAsia"/>
          <w:sz w:val="32"/>
          <w:szCs w:val="32"/>
        </w:rPr>
        <w:t>95.76</w:t>
      </w:r>
      <w:r>
        <w:rPr>
          <w:rFonts w:ascii="仿宋_GB2312" w:eastAsia="仿宋_GB2312" w:hAnsi="仿宋_GB2312" w:cs="仿宋_GB2312" w:hint="eastAsia"/>
          <w:sz w:val="32"/>
          <w:szCs w:val="32"/>
        </w:rPr>
        <w:t>%；政府性基金预算财政拨款收入10.29万元，占0.34%；其他收入117.39万元，占3.9%。</w:t>
      </w:r>
    </w:p>
    <w:p w:rsidR="00AB247A" w:rsidRDefault="00AB247A">
      <w:pPr>
        <w:pStyle w:val="a0"/>
      </w:pPr>
    </w:p>
    <w:p w:rsidR="00AB247A" w:rsidRDefault="00714F03">
      <w:pPr>
        <w:pStyle w:val="20"/>
        <w:ind w:leftChars="0" w:left="0" w:firstLineChars="0" w:firstLine="0"/>
      </w:pPr>
      <w:r>
        <w:rPr>
          <w:noProof/>
        </w:rPr>
        <w:lastRenderedPageBreak/>
        <w:drawing>
          <wp:inline distT="0" distB="0" distL="0" distR="0">
            <wp:extent cx="5274310" cy="3634740"/>
            <wp:effectExtent l="19050" t="0" r="2540" b="0"/>
            <wp:docPr id="4" name="图片 4" descr="I:\财务\2025年财务\其他资料及日常工作\10.10开展2024年部门决算公开的通知（乐中财政库〔2025〕8号）\截图\有度即时通2025101315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财务\2025年财务\其他资料及日常工作\10.10开展2024年部门决算公开的通知（乐中财政库〔2025〕8号）\截图\有度即时通20251013152721.png"/>
                    <pic:cNvPicPr>
                      <a:picLocks noChangeAspect="1" noChangeArrowheads="1"/>
                    </pic:cNvPicPr>
                  </pic:nvPicPr>
                  <pic:blipFill>
                    <a:blip r:embed="rId12"/>
                    <a:srcRect/>
                    <a:stretch>
                      <a:fillRect/>
                    </a:stretch>
                  </pic:blipFill>
                  <pic:spPr>
                    <a:xfrm>
                      <a:off x="0" y="0"/>
                      <a:ext cx="5274310" cy="3635245"/>
                    </a:xfrm>
                    <a:prstGeom prst="rect">
                      <a:avLst/>
                    </a:prstGeom>
                    <a:noFill/>
                    <a:ln w="9525">
                      <a:noFill/>
                      <a:miter lim="800000"/>
                      <a:headEnd/>
                      <a:tailEnd/>
                    </a:ln>
                  </pic:spPr>
                </pic:pic>
              </a:graphicData>
            </a:graphic>
          </wp:inline>
        </w:drawing>
      </w:r>
    </w:p>
    <w:p w:rsidR="00AB247A" w:rsidRDefault="00714F03">
      <w:pPr>
        <w:pStyle w:val="ab"/>
        <w:spacing w:line="600" w:lineRule="exact"/>
        <w:ind w:firstLine="640"/>
        <w:outlineLvl w:val="1"/>
        <w:rPr>
          <w:rStyle w:val="2Char"/>
          <w:rFonts w:ascii="Times New Roman" w:eastAsia="黑体" w:hAnsi="Times New Roman"/>
          <w:b w:val="0"/>
        </w:rPr>
      </w:pPr>
      <w:bookmarkStart w:id="32" w:name="_Toc15396605"/>
      <w:bookmarkStart w:id="33" w:name="_Toc15377207"/>
      <w:r>
        <w:rPr>
          <w:rFonts w:eastAsia="黑体" w:hint="eastAsia"/>
          <w:sz w:val="32"/>
          <w:szCs w:val="32"/>
        </w:rPr>
        <w:t>三、支</w:t>
      </w:r>
      <w:r>
        <w:rPr>
          <w:rStyle w:val="2Char"/>
          <w:rFonts w:ascii="Times New Roman" w:eastAsia="黑体" w:hAnsi="Times New Roman" w:hint="eastAsia"/>
          <w:b w:val="0"/>
        </w:rPr>
        <w:t>出决算情况说明</w:t>
      </w:r>
      <w:bookmarkEnd w:id="32"/>
      <w:bookmarkEnd w:id="33"/>
    </w:p>
    <w:p w:rsidR="00AB247A" w:rsidRDefault="00714F03">
      <w:pPr>
        <w:pStyle w:val="ab"/>
        <w:spacing w:line="600" w:lineRule="exact"/>
        <w:ind w:firstLine="640"/>
        <w:jc w:val="left"/>
        <w:outlineLvl w:val="1"/>
        <w:rPr>
          <w:rFonts w:ascii="仿宋_GB2312" w:eastAsia="仿宋_GB2312" w:hAnsi="仿宋_GB2312" w:cs="仿宋_GB2312"/>
          <w:sz w:val="32"/>
          <w:szCs w:val="32"/>
        </w:rPr>
      </w:pPr>
      <w:r>
        <w:rPr>
          <w:rFonts w:ascii="仿宋_GB2312" w:eastAsia="仿宋_GB2312" w:hAnsi="仿宋_GB2312" w:cs="仿宋_GB2312" w:hint="eastAsia"/>
          <w:sz w:val="32"/>
          <w:szCs w:val="32"/>
        </w:rPr>
        <w:t>2024年度本年支出合计</w:t>
      </w:r>
      <w:r>
        <w:rPr>
          <w:rFonts w:eastAsia="仿宋_GB2312" w:cs="仿宋_GB2312" w:hint="eastAsia"/>
          <w:sz w:val="32"/>
          <w:szCs w:val="32"/>
        </w:rPr>
        <w:t>2950.06</w:t>
      </w:r>
      <w:r>
        <w:rPr>
          <w:rFonts w:ascii="仿宋_GB2312" w:eastAsia="仿宋_GB2312" w:hAnsi="仿宋_GB2312" w:cs="仿宋_GB2312" w:hint="eastAsia"/>
          <w:sz w:val="32"/>
          <w:szCs w:val="32"/>
        </w:rPr>
        <w:t>万元，其中：基本支出</w:t>
      </w:r>
      <w:r>
        <w:rPr>
          <w:rFonts w:eastAsia="仿宋_GB2312" w:cs="仿宋_GB2312" w:hint="eastAsia"/>
          <w:sz w:val="32"/>
          <w:szCs w:val="32"/>
        </w:rPr>
        <w:t>721.78</w:t>
      </w:r>
      <w:r>
        <w:rPr>
          <w:rFonts w:ascii="仿宋_GB2312" w:eastAsia="仿宋_GB2312" w:hAnsi="仿宋_GB2312" w:cs="仿宋_GB2312" w:hint="eastAsia"/>
          <w:sz w:val="32"/>
          <w:szCs w:val="32"/>
        </w:rPr>
        <w:t>万元，占</w:t>
      </w:r>
      <w:r>
        <w:rPr>
          <w:rFonts w:eastAsia="仿宋_GB2312" w:cs="仿宋_GB2312" w:hint="eastAsia"/>
          <w:sz w:val="32"/>
          <w:szCs w:val="32"/>
        </w:rPr>
        <w:t>24.47</w:t>
      </w:r>
      <w:r>
        <w:rPr>
          <w:rFonts w:ascii="仿宋_GB2312" w:eastAsia="仿宋_GB2312" w:hAnsi="仿宋_GB2312" w:cs="仿宋_GB2312" w:hint="eastAsia"/>
          <w:sz w:val="32"/>
          <w:szCs w:val="32"/>
        </w:rPr>
        <w:t>%；项目支出</w:t>
      </w:r>
      <w:r>
        <w:rPr>
          <w:rFonts w:eastAsia="仿宋_GB2312" w:cs="仿宋_GB2312" w:hint="eastAsia"/>
          <w:sz w:val="32"/>
          <w:szCs w:val="32"/>
        </w:rPr>
        <w:t>2228.28</w:t>
      </w:r>
      <w:r>
        <w:rPr>
          <w:rFonts w:ascii="仿宋_GB2312" w:eastAsia="仿宋_GB2312" w:hAnsi="仿宋_GB2312" w:cs="仿宋_GB2312" w:hint="eastAsia"/>
          <w:sz w:val="32"/>
          <w:szCs w:val="32"/>
        </w:rPr>
        <w:t>万元，占</w:t>
      </w:r>
      <w:r>
        <w:rPr>
          <w:rFonts w:eastAsia="仿宋_GB2312" w:cs="仿宋_GB2312" w:hint="eastAsia"/>
          <w:sz w:val="32"/>
          <w:szCs w:val="32"/>
        </w:rPr>
        <w:t>75.53</w:t>
      </w:r>
      <w:r>
        <w:rPr>
          <w:rFonts w:ascii="仿宋_GB2312" w:eastAsia="仿宋_GB2312" w:hAnsi="仿宋_GB2312" w:cs="仿宋_GB2312" w:hint="eastAsia"/>
          <w:sz w:val="32"/>
          <w:szCs w:val="32"/>
        </w:rPr>
        <w:t>%；</w:t>
      </w:r>
    </w:p>
    <w:p w:rsidR="00AB247A" w:rsidRDefault="00AB247A">
      <w:pPr>
        <w:pStyle w:val="ab"/>
        <w:spacing w:line="600" w:lineRule="exact"/>
        <w:ind w:firstLine="640"/>
        <w:jc w:val="left"/>
        <w:outlineLvl w:val="1"/>
        <w:rPr>
          <w:rFonts w:eastAsia="仿宋_GB2312" w:cs="仿宋_GB2312"/>
          <w:sz w:val="32"/>
          <w:szCs w:val="32"/>
        </w:rPr>
      </w:pPr>
    </w:p>
    <w:p w:rsidR="00AB247A" w:rsidRDefault="00714F03">
      <w:pPr>
        <w:rPr>
          <w:rFonts w:eastAsia="仿宋_GB2312" w:cs="仿宋_GB2312"/>
          <w:sz w:val="32"/>
          <w:szCs w:val="32"/>
        </w:rPr>
      </w:pPr>
      <w:r>
        <w:rPr>
          <w:rFonts w:eastAsia="仿宋_GB2312" w:cs="仿宋_GB2312"/>
          <w:noProof/>
          <w:sz w:val="32"/>
          <w:szCs w:val="32"/>
        </w:rPr>
        <w:drawing>
          <wp:inline distT="0" distB="0" distL="0" distR="0">
            <wp:extent cx="5274310" cy="3179445"/>
            <wp:effectExtent l="19050" t="0" r="2540" b="0"/>
            <wp:docPr id="6" name="图片 6" descr="I:\财务\2025年财务\其他资料及日常工作\10.10开展2024年部门决算公开的通知（乐中财政库〔2025〕8号）\截图\有度即时通2025101315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财务\2025年财务\其他资料及日常工作\10.10开展2024年部门决算公开的通知（乐中财政库〔2025〕8号）\截图\有度即时通20251013153601.png"/>
                    <pic:cNvPicPr>
                      <a:picLocks noChangeAspect="1" noChangeArrowheads="1"/>
                    </pic:cNvPicPr>
                  </pic:nvPicPr>
                  <pic:blipFill>
                    <a:blip r:embed="rId13"/>
                    <a:srcRect/>
                    <a:stretch>
                      <a:fillRect/>
                    </a:stretch>
                  </pic:blipFill>
                  <pic:spPr>
                    <a:xfrm>
                      <a:off x="0" y="0"/>
                      <a:ext cx="5274310" cy="3179549"/>
                    </a:xfrm>
                    <a:prstGeom prst="rect">
                      <a:avLst/>
                    </a:prstGeom>
                    <a:noFill/>
                    <a:ln w="9525">
                      <a:noFill/>
                      <a:miter lim="800000"/>
                      <a:headEnd/>
                      <a:tailEnd/>
                    </a:ln>
                  </pic:spPr>
                </pic:pic>
              </a:graphicData>
            </a:graphic>
          </wp:inline>
        </w:drawing>
      </w:r>
    </w:p>
    <w:p w:rsidR="00AB247A" w:rsidRDefault="00714F03">
      <w:pPr>
        <w:spacing w:line="600" w:lineRule="exact"/>
        <w:ind w:firstLineChars="200" w:firstLine="640"/>
        <w:outlineLvl w:val="1"/>
        <w:rPr>
          <w:rStyle w:val="2Char"/>
          <w:rFonts w:ascii="Times New Roman" w:eastAsia="黑体" w:hAnsi="Times New Roman"/>
          <w:b w:val="0"/>
        </w:rPr>
      </w:pPr>
      <w:bookmarkStart w:id="34" w:name="_Toc15377208"/>
      <w:bookmarkStart w:id="35" w:name="_Toc15396606"/>
      <w:r>
        <w:rPr>
          <w:rFonts w:eastAsia="黑体" w:hint="eastAsia"/>
          <w:sz w:val="32"/>
          <w:szCs w:val="32"/>
        </w:rPr>
        <w:lastRenderedPageBreak/>
        <w:t>四、财</w:t>
      </w:r>
      <w:r>
        <w:rPr>
          <w:rStyle w:val="2Char"/>
          <w:rFonts w:ascii="Times New Roman" w:eastAsia="黑体" w:hAnsi="Times New Roman" w:hint="eastAsia"/>
          <w:b w:val="0"/>
        </w:rPr>
        <w:t>政拨款收入支出决算总体情况说明</w:t>
      </w:r>
      <w:bookmarkEnd w:id="34"/>
      <w:bookmarkEnd w:id="35"/>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年度财政拨款收入、支出总计均为</w:t>
      </w:r>
      <w:r>
        <w:rPr>
          <w:rFonts w:eastAsia="仿宋_GB2312" w:cs="仿宋_GB2312" w:hint="eastAsia"/>
          <w:sz w:val="32"/>
          <w:szCs w:val="32"/>
        </w:rPr>
        <w:t>2891.17</w:t>
      </w:r>
      <w:r>
        <w:rPr>
          <w:rFonts w:eastAsia="仿宋_GB2312" w:cs="仿宋_GB2312" w:hint="eastAsia"/>
          <w:sz w:val="32"/>
          <w:szCs w:val="32"/>
        </w:rPr>
        <w:t>万元。与</w:t>
      </w:r>
      <w:r>
        <w:rPr>
          <w:rFonts w:eastAsia="仿宋_GB2312" w:cs="仿宋_GB2312" w:hint="eastAsia"/>
          <w:sz w:val="32"/>
          <w:szCs w:val="32"/>
        </w:rPr>
        <w:t>2023</w:t>
      </w:r>
      <w:r>
        <w:rPr>
          <w:rFonts w:eastAsia="仿宋_GB2312" w:cs="仿宋_GB2312" w:hint="eastAsia"/>
          <w:sz w:val="32"/>
          <w:szCs w:val="32"/>
        </w:rPr>
        <w:t>年度相比，财政拨款收入总计、支出总计各增加</w:t>
      </w:r>
      <w:r>
        <w:rPr>
          <w:rFonts w:eastAsia="仿宋_GB2312" w:cs="仿宋_GB2312" w:hint="eastAsia"/>
          <w:sz w:val="32"/>
          <w:szCs w:val="32"/>
        </w:rPr>
        <w:t>1730.25</w:t>
      </w:r>
      <w:r>
        <w:rPr>
          <w:rFonts w:eastAsia="仿宋_GB2312" w:cs="仿宋_GB2312" w:hint="eastAsia"/>
          <w:sz w:val="32"/>
          <w:szCs w:val="32"/>
        </w:rPr>
        <w:t>万元，增长</w:t>
      </w:r>
      <w:r>
        <w:rPr>
          <w:rFonts w:eastAsia="仿宋_GB2312" w:cs="仿宋_GB2312" w:hint="eastAsia"/>
          <w:sz w:val="32"/>
          <w:szCs w:val="32"/>
        </w:rPr>
        <w:t>149.04%</w:t>
      </w:r>
      <w:r>
        <w:rPr>
          <w:rFonts w:eastAsia="仿宋_GB2312" w:cs="仿宋_GB2312" w:hint="eastAsia"/>
          <w:sz w:val="32"/>
          <w:szCs w:val="32"/>
        </w:rPr>
        <w:t>。主要变动原因是全年工程项目较</w:t>
      </w:r>
      <w:r>
        <w:rPr>
          <w:rFonts w:eastAsia="仿宋_GB2312" w:cs="仿宋_GB2312" w:hint="eastAsia"/>
          <w:sz w:val="32"/>
          <w:szCs w:val="32"/>
        </w:rPr>
        <w:t>2023</w:t>
      </w:r>
      <w:r>
        <w:rPr>
          <w:rFonts w:eastAsia="仿宋_GB2312" w:cs="仿宋_GB2312" w:hint="eastAsia"/>
          <w:sz w:val="32"/>
          <w:szCs w:val="32"/>
        </w:rPr>
        <w:t>年项目投入较大，项目支出增加。</w:t>
      </w:r>
    </w:p>
    <w:p w:rsidR="00AB247A" w:rsidRDefault="00AB247A">
      <w:pPr>
        <w:pStyle w:val="20"/>
        <w:ind w:leftChars="0" w:left="0" w:firstLineChars="0" w:firstLine="0"/>
      </w:pPr>
    </w:p>
    <w:p w:rsidR="00AB247A" w:rsidRDefault="00AB247A"/>
    <w:p w:rsidR="00AB247A" w:rsidRDefault="00714F03">
      <w:pPr>
        <w:pStyle w:val="a0"/>
      </w:pPr>
      <w:r>
        <w:rPr>
          <w:noProof/>
        </w:rPr>
        <w:drawing>
          <wp:inline distT="0" distB="0" distL="0" distR="0">
            <wp:extent cx="5274310" cy="3052445"/>
            <wp:effectExtent l="19050" t="0" r="2540" b="0"/>
            <wp:docPr id="7" name="图片 7" descr="I:\财务\2025年财务\其他资料及日常工作\10.10开展2024年部门决算公开的通知（乐中财政库〔2025〕8号）\截图\有度即时通2025101315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财务\2025年财务\其他资料及日常工作\10.10开展2024年部门决算公开的通知（乐中财政库〔2025〕8号）\截图\有度即时通20251013154539.png"/>
                    <pic:cNvPicPr>
                      <a:picLocks noChangeAspect="1" noChangeArrowheads="1"/>
                    </pic:cNvPicPr>
                  </pic:nvPicPr>
                  <pic:blipFill>
                    <a:blip r:embed="rId14"/>
                    <a:srcRect/>
                    <a:stretch>
                      <a:fillRect/>
                    </a:stretch>
                  </pic:blipFill>
                  <pic:spPr>
                    <a:xfrm>
                      <a:off x="0" y="0"/>
                      <a:ext cx="5274310" cy="3053067"/>
                    </a:xfrm>
                    <a:prstGeom prst="rect">
                      <a:avLst/>
                    </a:prstGeom>
                    <a:noFill/>
                    <a:ln w="9525">
                      <a:noFill/>
                      <a:miter lim="800000"/>
                      <a:headEnd/>
                      <a:tailEnd/>
                    </a:ln>
                  </pic:spPr>
                </pic:pic>
              </a:graphicData>
            </a:graphic>
          </wp:inline>
        </w:drawing>
      </w:r>
    </w:p>
    <w:p w:rsidR="00AB247A" w:rsidRDefault="00AB247A">
      <w:pPr>
        <w:spacing w:line="600" w:lineRule="exact"/>
        <w:ind w:firstLineChars="200" w:firstLine="640"/>
        <w:outlineLvl w:val="1"/>
        <w:rPr>
          <w:rFonts w:eastAsia="黑体"/>
          <w:sz w:val="32"/>
          <w:szCs w:val="32"/>
        </w:rPr>
      </w:pPr>
      <w:bookmarkStart w:id="36" w:name="_Toc15396607"/>
      <w:bookmarkStart w:id="37" w:name="_Toc15377209"/>
    </w:p>
    <w:p w:rsidR="00AB247A" w:rsidRDefault="00714F03">
      <w:pPr>
        <w:spacing w:line="600" w:lineRule="exact"/>
        <w:ind w:firstLineChars="200" w:firstLine="640"/>
        <w:outlineLvl w:val="1"/>
        <w:rPr>
          <w:rStyle w:val="2Char"/>
          <w:rFonts w:ascii="Times New Roman" w:eastAsia="黑体" w:hAnsi="Times New Roman"/>
          <w:b w:val="0"/>
        </w:rPr>
      </w:pPr>
      <w:r>
        <w:rPr>
          <w:rFonts w:eastAsia="黑体" w:hint="eastAsia"/>
          <w:sz w:val="32"/>
          <w:szCs w:val="32"/>
        </w:rPr>
        <w:t>五、</w:t>
      </w:r>
      <w:r>
        <w:rPr>
          <w:rFonts w:eastAsia="黑体" w:hint="eastAsia"/>
          <w:b/>
          <w:sz w:val="32"/>
          <w:szCs w:val="32"/>
        </w:rPr>
        <w:t>一</w:t>
      </w:r>
      <w:r>
        <w:rPr>
          <w:rStyle w:val="2Char"/>
          <w:rFonts w:ascii="Times New Roman" w:eastAsia="黑体" w:hAnsi="Times New Roman" w:hint="eastAsia"/>
          <w:b w:val="0"/>
        </w:rPr>
        <w:t>般公共预算财政拨款支出决算情况说明</w:t>
      </w:r>
      <w:bookmarkEnd w:id="36"/>
      <w:bookmarkEnd w:id="37"/>
    </w:p>
    <w:p w:rsidR="00AB247A" w:rsidRDefault="00714F03">
      <w:pPr>
        <w:spacing w:line="600" w:lineRule="exact"/>
        <w:ind w:firstLineChars="200" w:firstLine="643"/>
        <w:outlineLvl w:val="2"/>
        <w:rPr>
          <w:rFonts w:eastAsia="楷体_GB2312" w:cs="楷体_GB2312"/>
          <w:b/>
          <w:sz w:val="32"/>
          <w:szCs w:val="32"/>
        </w:rPr>
      </w:pPr>
      <w:bookmarkStart w:id="38" w:name="_Toc15377210"/>
      <w:r>
        <w:rPr>
          <w:rFonts w:eastAsia="楷体_GB2312" w:cs="楷体_GB2312" w:hint="eastAsia"/>
          <w:b/>
          <w:sz w:val="32"/>
          <w:szCs w:val="32"/>
        </w:rPr>
        <w:t>（一）一般公共预算财政拨款支出决算总体情况</w:t>
      </w:r>
      <w:bookmarkEnd w:id="38"/>
    </w:p>
    <w:p w:rsidR="00AB247A" w:rsidRDefault="00714F03">
      <w:pPr>
        <w:spacing w:line="600" w:lineRule="exact"/>
        <w:ind w:firstLine="640"/>
        <w:rPr>
          <w:rFonts w:eastAsia="仿宋_GB2312" w:cs="仿宋_GB2312"/>
          <w:sz w:val="32"/>
          <w:szCs w:val="32"/>
        </w:rPr>
      </w:pPr>
      <w:r>
        <w:rPr>
          <w:rFonts w:ascii="仿宋_GB2312" w:eastAsia="仿宋_GB2312" w:hAnsi="仿宋_GB2312" w:cs="仿宋_GB2312" w:hint="eastAsia"/>
          <w:sz w:val="32"/>
          <w:szCs w:val="32"/>
        </w:rPr>
        <w:t>2024年度一般公共预算财政拨款支出</w:t>
      </w:r>
      <w:r>
        <w:rPr>
          <w:rFonts w:eastAsia="仿宋_GB2312" w:cs="仿宋_GB2312" w:hint="eastAsia"/>
          <w:sz w:val="32"/>
          <w:szCs w:val="32"/>
        </w:rPr>
        <w:t>2880.88</w:t>
      </w:r>
      <w:r>
        <w:rPr>
          <w:rFonts w:ascii="仿宋_GB2312" w:eastAsia="仿宋_GB2312" w:hAnsi="仿宋_GB2312" w:cs="仿宋_GB2312" w:hint="eastAsia"/>
          <w:sz w:val="32"/>
          <w:szCs w:val="32"/>
        </w:rPr>
        <w:t>万元，占本年支出合计的</w:t>
      </w:r>
      <w:r>
        <w:rPr>
          <w:rFonts w:ascii="仿宋" w:eastAsia="仿宋" w:hAnsi="仿宋" w:hint="eastAsia"/>
          <w:b/>
          <w:sz w:val="32"/>
          <w:szCs w:val="32"/>
        </w:rPr>
        <w:t>99.64</w:t>
      </w:r>
      <w:r>
        <w:rPr>
          <w:rFonts w:ascii="仿宋_GB2312" w:eastAsia="仿宋_GB2312" w:hAnsi="仿宋_GB2312" w:cs="仿宋_GB2312" w:hint="eastAsia"/>
          <w:sz w:val="32"/>
          <w:szCs w:val="32"/>
        </w:rPr>
        <w:t>%。与2023年度相比，一般公共预算财政拨款支出增加1728.8万元，增长150.06%。</w:t>
      </w:r>
      <w:r>
        <w:rPr>
          <w:rFonts w:eastAsia="仿宋_GB2312" w:cs="仿宋_GB2312" w:hint="eastAsia"/>
          <w:sz w:val="32"/>
          <w:szCs w:val="32"/>
        </w:rPr>
        <w:t>主要变动原因是全年工程项目较</w:t>
      </w:r>
      <w:r>
        <w:rPr>
          <w:rFonts w:eastAsia="仿宋_GB2312" w:cs="仿宋_GB2312" w:hint="eastAsia"/>
          <w:sz w:val="32"/>
          <w:szCs w:val="32"/>
        </w:rPr>
        <w:t>2023</w:t>
      </w:r>
      <w:r>
        <w:rPr>
          <w:rFonts w:eastAsia="仿宋_GB2312" w:cs="仿宋_GB2312" w:hint="eastAsia"/>
          <w:sz w:val="32"/>
          <w:szCs w:val="32"/>
        </w:rPr>
        <w:t>年项目投入较大，项目支出增加。</w:t>
      </w:r>
    </w:p>
    <w:p w:rsidR="00AB247A" w:rsidRDefault="00714F03">
      <w:pPr>
        <w:pStyle w:val="a0"/>
      </w:pPr>
      <w:r>
        <w:rPr>
          <w:noProof/>
        </w:rPr>
        <w:lastRenderedPageBreak/>
        <w:drawing>
          <wp:inline distT="0" distB="0" distL="0" distR="0">
            <wp:extent cx="5274310" cy="3046095"/>
            <wp:effectExtent l="19050" t="0" r="2540" b="0"/>
            <wp:docPr id="8" name="图片 8" descr="I:\财务\2025年财务\其他资料及日常工作\10.10开展2024年部门决算公开的通知（乐中财政库〔2025〕8号）\截图\有度即时通2025101315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财务\2025年财务\其他资料及日常工作\10.10开展2024年部门决算公开的通知（乐中财政库〔2025〕8号）\截图\有度即时通20251013155426.png"/>
                    <pic:cNvPicPr>
                      <a:picLocks noChangeAspect="1" noChangeArrowheads="1"/>
                    </pic:cNvPicPr>
                  </pic:nvPicPr>
                  <pic:blipFill>
                    <a:blip r:embed="rId15"/>
                    <a:srcRect/>
                    <a:stretch>
                      <a:fillRect/>
                    </a:stretch>
                  </pic:blipFill>
                  <pic:spPr>
                    <a:xfrm>
                      <a:off x="0" y="0"/>
                      <a:ext cx="5274310" cy="3046369"/>
                    </a:xfrm>
                    <a:prstGeom prst="rect">
                      <a:avLst/>
                    </a:prstGeom>
                    <a:noFill/>
                    <a:ln w="9525">
                      <a:noFill/>
                      <a:miter lim="800000"/>
                      <a:headEnd/>
                      <a:tailEnd/>
                    </a:ln>
                  </pic:spPr>
                </pic:pic>
              </a:graphicData>
            </a:graphic>
          </wp:inline>
        </w:drawing>
      </w:r>
    </w:p>
    <w:p w:rsidR="00AB247A" w:rsidRDefault="00AB247A">
      <w:pPr>
        <w:spacing w:line="600" w:lineRule="exact"/>
        <w:ind w:firstLine="640"/>
        <w:rPr>
          <w:rFonts w:eastAsia="仿宋_GB2312" w:cs="仿宋_GB2312"/>
          <w:sz w:val="32"/>
          <w:szCs w:val="32"/>
        </w:rPr>
      </w:pPr>
    </w:p>
    <w:p w:rsidR="00AB247A" w:rsidRDefault="00714F03">
      <w:pPr>
        <w:spacing w:line="600" w:lineRule="exact"/>
        <w:ind w:firstLineChars="200" w:firstLine="643"/>
        <w:outlineLvl w:val="2"/>
        <w:rPr>
          <w:rFonts w:eastAsia="楷体_GB2312" w:cs="楷体_GB2312"/>
          <w:b/>
          <w:sz w:val="32"/>
          <w:szCs w:val="32"/>
        </w:rPr>
      </w:pPr>
      <w:bookmarkStart w:id="39" w:name="_Toc15377211"/>
      <w:r>
        <w:rPr>
          <w:rFonts w:eastAsia="楷体_GB2312" w:cs="楷体_GB2312" w:hint="eastAsia"/>
          <w:b/>
          <w:sz w:val="32"/>
          <w:szCs w:val="32"/>
        </w:rPr>
        <w:t>（二）一般公共预算财政拨款支出决算结构情况</w:t>
      </w:r>
      <w:bookmarkEnd w:id="39"/>
    </w:p>
    <w:p w:rsidR="00AB247A" w:rsidRDefault="00714F03">
      <w:pPr>
        <w:pStyle w:val="ab"/>
        <w:spacing w:line="600" w:lineRule="exact"/>
        <w:ind w:firstLine="640"/>
        <w:jc w:val="left"/>
        <w:outlineLvl w:val="1"/>
        <w:rPr>
          <w:rFonts w:eastAsia="仿宋_GB2312" w:cs="仿宋_GB2312"/>
          <w:b/>
          <w:bCs/>
          <w:sz w:val="32"/>
          <w:szCs w:val="32"/>
          <w:highlight w:val="yellow"/>
        </w:rPr>
      </w:pPr>
      <w:r>
        <w:rPr>
          <w:rFonts w:eastAsia="仿宋_GB2312" w:cs="仿宋_GB2312" w:hint="eastAsia"/>
          <w:sz w:val="32"/>
          <w:szCs w:val="32"/>
        </w:rPr>
        <w:t>2024</w:t>
      </w:r>
      <w:r>
        <w:rPr>
          <w:rFonts w:eastAsia="仿宋_GB2312" w:cs="仿宋_GB2312" w:hint="eastAsia"/>
          <w:sz w:val="32"/>
          <w:szCs w:val="32"/>
        </w:rPr>
        <w:t>年度一般公共预算财政拨款支出</w:t>
      </w:r>
      <w:r>
        <w:rPr>
          <w:rFonts w:eastAsia="仿宋_GB2312" w:cs="仿宋_GB2312" w:hint="eastAsia"/>
          <w:sz w:val="32"/>
          <w:szCs w:val="32"/>
        </w:rPr>
        <w:t>2880.88</w:t>
      </w:r>
      <w:r>
        <w:rPr>
          <w:rFonts w:ascii="仿宋_GB2312" w:eastAsia="仿宋_GB2312" w:hAnsi="仿宋_GB2312" w:cs="仿宋_GB2312" w:hint="eastAsia"/>
          <w:sz w:val="32"/>
          <w:szCs w:val="32"/>
        </w:rPr>
        <w:t>万元</w:t>
      </w:r>
      <w:r>
        <w:rPr>
          <w:rFonts w:eastAsia="仿宋_GB2312" w:cs="仿宋_GB2312" w:hint="eastAsia"/>
          <w:sz w:val="32"/>
          <w:szCs w:val="32"/>
        </w:rPr>
        <w:t>，主要用于以下方面：一般公共服务支出</w:t>
      </w:r>
      <w:r>
        <w:rPr>
          <w:rFonts w:eastAsia="仿宋_GB2312" w:cs="仿宋_GB2312" w:hint="eastAsia"/>
          <w:sz w:val="32"/>
          <w:szCs w:val="32"/>
        </w:rPr>
        <w:t>385.15</w:t>
      </w:r>
      <w:r>
        <w:rPr>
          <w:rFonts w:eastAsia="仿宋_GB2312" w:cs="仿宋_GB2312" w:hint="eastAsia"/>
          <w:sz w:val="32"/>
          <w:szCs w:val="32"/>
        </w:rPr>
        <w:t>万元，占</w:t>
      </w:r>
      <w:r>
        <w:rPr>
          <w:rFonts w:eastAsia="仿宋_GB2312" w:cs="仿宋_GB2312" w:hint="eastAsia"/>
          <w:sz w:val="32"/>
          <w:szCs w:val="32"/>
        </w:rPr>
        <w:t>13.37%</w:t>
      </w:r>
      <w:r>
        <w:rPr>
          <w:rFonts w:eastAsia="仿宋_GB2312" w:cs="仿宋_GB2312" w:hint="eastAsia"/>
          <w:sz w:val="32"/>
          <w:szCs w:val="32"/>
        </w:rPr>
        <w:t>；公共安全支出</w:t>
      </w:r>
      <w:r>
        <w:rPr>
          <w:rFonts w:eastAsia="仿宋_GB2312" w:cs="仿宋_GB2312" w:hint="eastAsia"/>
          <w:sz w:val="32"/>
          <w:szCs w:val="32"/>
        </w:rPr>
        <w:t>1.02</w:t>
      </w:r>
      <w:r>
        <w:rPr>
          <w:rFonts w:eastAsia="仿宋_GB2312" w:cs="仿宋_GB2312" w:hint="eastAsia"/>
          <w:sz w:val="32"/>
          <w:szCs w:val="32"/>
        </w:rPr>
        <w:t>万元，占</w:t>
      </w:r>
      <w:r>
        <w:rPr>
          <w:rFonts w:eastAsia="仿宋_GB2312" w:cs="仿宋_GB2312" w:hint="eastAsia"/>
          <w:sz w:val="32"/>
          <w:szCs w:val="32"/>
        </w:rPr>
        <w:t>0.04%</w:t>
      </w:r>
      <w:r>
        <w:rPr>
          <w:rFonts w:eastAsia="仿宋_GB2312" w:cs="仿宋_GB2312" w:hint="eastAsia"/>
          <w:sz w:val="32"/>
          <w:szCs w:val="32"/>
        </w:rPr>
        <w:t>；文化旅游体育与传媒支出</w:t>
      </w:r>
      <w:r>
        <w:rPr>
          <w:rFonts w:eastAsia="仿宋_GB2312" w:cs="仿宋_GB2312" w:hint="eastAsia"/>
          <w:sz w:val="32"/>
          <w:szCs w:val="32"/>
        </w:rPr>
        <w:t>6.37</w:t>
      </w:r>
      <w:r>
        <w:rPr>
          <w:rFonts w:eastAsia="仿宋_GB2312" w:cs="仿宋_GB2312" w:hint="eastAsia"/>
          <w:sz w:val="32"/>
          <w:szCs w:val="32"/>
        </w:rPr>
        <w:t>万元，占</w:t>
      </w:r>
      <w:r>
        <w:rPr>
          <w:rFonts w:eastAsia="仿宋_GB2312" w:cs="仿宋_GB2312" w:hint="eastAsia"/>
          <w:sz w:val="32"/>
          <w:szCs w:val="32"/>
        </w:rPr>
        <w:t>0.22%</w:t>
      </w:r>
      <w:r>
        <w:rPr>
          <w:rFonts w:eastAsia="仿宋_GB2312" w:cs="仿宋_GB2312" w:hint="eastAsia"/>
          <w:sz w:val="32"/>
          <w:szCs w:val="32"/>
        </w:rPr>
        <w:t>；社会保障和就业支出</w:t>
      </w:r>
      <w:r>
        <w:rPr>
          <w:rFonts w:eastAsia="仿宋_GB2312" w:cs="仿宋_GB2312" w:hint="eastAsia"/>
          <w:sz w:val="32"/>
          <w:szCs w:val="32"/>
        </w:rPr>
        <w:t>106.33</w:t>
      </w:r>
      <w:r>
        <w:rPr>
          <w:rFonts w:eastAsia="仿宋_GB2312" w:cs="仿宋_GB2312" w:hint="eastAsia"/>
          <w:sz w:val="32"/>
          <w:szCs w:val="32"/>
        </w:rPr>
        <w:t>万元，占</w:t>
      </w:r>
      <w:r>
        <w:rPr>
          <w:rFonts w:eastAsia="仿宋_GB2312" w:cs="仿宋_GB2312" w:hint="eastAsia"/>
          <w:sz w:val="32"/>
          <w:szCs w:val="32"/>
        </w:rPr>
        <w:t>3.69%</w:t>
      </w:r>
      <w:r>
        <w:rPr>
          <w:rFonts w:eastAsia="仿宋_GB2312" w:cs="仿宋_GB2312" w:hint="eastAsia"/>
          <w:sz w:val="32"/>
          <w:szCs w:val="32"/>
        </w:rPr>
        <w:t>；卫生健康支出</w:t>
      </w:r>
      <w:r>
        <w:rPr>
          <w:rFonts w:eastAsia="仿宋_GB2312" w:cs="仿宋_GB2312" w:hint="eastAsia"/>
          <w:sz w:val="32"/>
          <w:szCs w:val="32"/>
        </w:rPr>
        <w:t>21.46</w:t>
      </w:r>
      <w:r>
        <w:rPr>
          <w:rFonts w:eastAsia="仿宋_GB2312" w:cs="仿宋_GB2312" w:hint="eastAsia"/>
          <w:sz w:val="32"/>
          <w:szCs w:val="32"/>
        </w:rPr>
        <w:t>万元，占</w:t>
      </w:r>
      <w:r>
        <w:rPr>
          <w:rFonts w:eastAsia="仿宋_GB2312" w:cs="仿宋_GB2312" w:hint="eastAsia"/>
          <w:sz w:val="32"/>
          <w:szCs w:val="32"/>
        </w:rPr>
        <w:t>0.74%</w:t>
      </w:r>
      <w:r>
        <w:rPr>
          <w:rFonts w:eastAsia="仿宋_GB2312" w:cs="仿宋_GB2312" w:hint="eastAsia"/>
          <w:sz w:val="32"/>
          <w:szCs w:val="32"/>
        </w:rPr>
        <w:t>；农林水支出</w:t>
      </w:r>
      <w:r>
        <w:rPr>
          <w:rFonts w:eastAsia="仿宋_GB2312" w:cs="仿宋_GB2312" w:hint="eastAsia"/>
          <w:sz w:val="32"/>
          <w:szCs w:val="32"/>
        </w:rPr>
        <w:t>2309.96</w:t>
      </w:r>
      <w:r>
        <w:rPr>
          <w:rFonts w:eastAsia="仿宋_GB2312" w:cs="仿宋_GB2312" w:hint="eastAsia"/>
          <w:sz w:val="32"/>
          <w:szCs w:val="32"/>
        </w:rPr>
        <w:t>万元，占</w:t>
      </w:r>
      <w:r>
        <w:rPr>
          <w:rFonts w:eastAsia="仿宋_GB2312" w:cs="仿宋_GB2312" w:hint="eastAsia"/>
          <w:sz w:val="32"/>
          <w:szCs w:val="32"/>
        </w:rPr>
        <w:t>80.18%</w:t>
      </w:r>
      <w:r>
        <w:rPr>
          <w:rFonts w:eastAsia="仿宋_GB2312" w:cs="仿宋_GB2312" w:hint="eastAsia"/>
          <w:sz w:val="32"/>
          <w:szCs w:val="32"/>
        </w:rPr>
        <w:t>；住房保障支出</w:t>
      </w:r>
      <w:r>
        <w:rPr>
          <w:rFonts w:eastAsia="仿宋_GB2312" w:cs="仿宋_GB2312" w:hint="eastAsia"/>
          <w:sz w:val="32"/>
          <w:szCs w:val="32"/>
        </w:rPr>
        <w:t>50.59</w:t>
      </w:r>
      <w:r>
        <w:rPr>
          <w:rFonts w:eastAsia="仿宋_GB2312" w:cs="仿宋_GB2312" w:hint="eastAsia"/>
          <w:sz w:val="32"/>
          <w:szCs w:val="32"/>
        </w:rPr>
        <w:t>万元，占</w:t>
      </w:r>
      <w:r>
        <w:rPr>
          <w:rFonts w:eastAsia="仿宋_GB2312" w:cs="仿宋_GB2312" w:hint="eastAsia"/>
          <w:sz w:val="32"/>
          <w:szCs w:val="32"/>
        </w:rPr>
        <w:t>1.76%</w:t>
      </w:r>
      <w:r>
        <w:rPr>
          <w:rFonts w:eastAsia="仿宋_GB2312" w:cs="仿宋_GB2312" w:hint="eastAsia"/>
          <w:sz w:val="32"/>
          <w:szCs w:val="32"/>
        </w:rPr>
        <w:t>。</w:t>
      </w:r>
    </w:p>
    <w:p w:rsidR="00AB247A" w:rsidRDefault="00714F03">
      <w:pPr>
        <w:pStyle w:val="20"/>
        <w:ind w:leftChars="0" w:left="0" w:firstLineChars="0" w:firstLine="0"/>
      </w:pPr>
      <w:r>
        <w:rPr>
          <w:noProof/>
        </w:rPr>
        <w:drawing>
          <wp:inline distT="0" distB="0" distL="0" distR="0">
            <wp:extent cx="5274310" cy="2724150"/>
            <wp:effectExtent l="19050" t="0" r="2540" b="0"/>
            <wp:docPr id="11" name="图片 11" descr="I:\财务\2025年财务\其他资料及日常工作\10.10开展2024年部门决算公开的通知（乐中财政库〔2025〕8号）\截图\有度即时通2025101316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财务\2025年财务\其他资料及日常工作\10.10开展2024年部门决算公开的通知（乐中财政库〔2025〕8号）\截图\有度即时通20251013161829.png"/>
                    <pic:cNvPicPr>
                      <a:picLocks noChangeAspect="1" noChangeArrowheads="1"/>
                    </pic:cNvPicPr>
                  </pic:nvPicPr>
                  <pic:blipFill>
                    <a:blip r:embed="rId16"/>
                    <a:srcRect/>
                    <a:stretch>
                      <a:fillRect/>
                    </a:stretch>
                  </pic:blipFill>
                  <pic:spPr>
                    <a:xfrm>
                      <a:off x="0" y="0"/>
                      <a:ext cx="5274310" cy="2724150"/>
                    </a:xfrm>
                    <a:prstGeom prst="rect">
                      <a:avLst/>
                    </a:prstGeom>
                    <a:noFill/>
                    <a:ln w="9525">
                      <a:noFill/>
                      <a:miter lim="800000"/>
                      <a:headEnd/>
                      <a:tailEnd/>
                    </a:ln>
                  </pic:spPr>
                </pic:pic>
              </a:graphicData>
            </a:graphic>
          </wp:inline>
        </w:drawing>
      </w:r>
    </w:p>
    <w:p w:rsidR="00AB247A" w:rsidRDefault="00714F03">
      <w:pPr>
        <w:spacing w:line="600" w:lineRule="exact"/>
        <w:ind w:firstLineChars="200" w:firstLine="643"/>
        <w:outlineLvl w:val="2"/>
        <w:rPr>
          <w:rFonts w:eastAsia="楷体_GB2312" w:cs="楷体_GB2312"/>
          <w:b/>
          <w:sz w:val="32"/>
          <w:szCs w:val="32"/>
        </w:rPr>
      </w:pPr>
      <w:bookmarkStart w:id="40" w:name="_Toc15377212"/>
      <w:r>
        <w:rPr>
          <w:rFonts w:eastAsia="楷体_GB2312" w:cs="楷体_GB2312" w:hint="eastAsia"/>
          <w:b/>
          <w:sz w:val="32"/>
          <w:szCs w:val="32"/>
        </w:rPr>
        <w:lastRenderedPageBreak/>
        <w:t>（三）一般公共预算财政拨款支出决算具体情况</w:t>
      </w:r>
      <w:bookmarkEnd w:id="40"/>
    </w:p>
    <w:p w:rsidR="00AB247A" w:rsidRDefault="00714F03">
      <w:pPr>
        <w:spacing w:line="600" w:lineRule="exact"/>
        <w:ind w:firstLine="640"/>
        <w:rPr>
          <w:rFonts w:eastAsia="仿宋_GB2312" w:cs="仿宋_GB2312"/>
          <w:sz w:val="32"/>
          <w:szCs w:val="32"/>
        </w:rPr>
      </w:pPr>
      <w:bookmarkStart w:id="41" w:name="_Toc15377213"/>
      <w:bookmarkStart w:id="42" w:name="_Toc15378460"/>
      <w:bookmarkStart w:id="43" w:name="_Toc15377444"/>
      <w:r>
        <w:rPr>
          <w:rFonts w:eastAsia="仿宋_GB2312" w:cs="仿宋_GB2312" w:hint="eastAsia"/>
          <w:sz w:val="32"/>
          <w:szCs w:val="32"/>
        </w:rPr>
        <w:t>2024</w:t>
      </w:r>
      <w:r>
        <w:rPr>
          <w:rFonts w:eastAsia="仿宋_GB2312" w:cs="仿宋_GB2312" w:hint="eastAsia"/>
          <w:sz w:val="32"/>
          <w:szCs w:val="32"/>
        </w:rPr>
        <w:t>年度一般公共预算财政拨款支出决算数为</w:t>
      </w:r>
      <w:r>
        <w:rPr>
          <w:rFonts w:eastAsia="仿宋_GB2312" w:cs="仿宋_GB2312" w:hint="eastAsia"/>
          <w:sz w:val="32"/>
          <w:szCs w:val="32"/>
        </w:rPr>
        <w:t>2880.88</w:t>
      </w:r>
      <w:r>
        <w:rPr>
          <w:rFonts w:eastAsia="仿宋_GB2312" w:cs="仿宋_GB2312" w:hint="eastAsia"/>
          <w:sz w:val="32"/>
          <w:szCs w:val="32"/>
        </w:rPr>
        <w:t>万元</w:t>
      </w:r>
      <w:r>
        <w:rPr>
          <w:rFonts w:ascii="仿宋_GB2312" w:eastAsia="仿宋_GB2312" w:hAnsi="仿宋_GB2312" w:cs="仿宋_GB2312" w:hint="eastAsia"/>
          <w:sz w:val="32"/>
          <w:szCs w:val="32"/>
        </w:rPr>
        <w:t>，</w:t>
      </w:r>
      <w:r>
        <w:rPr>
          <w:rFonts w:eastAsia="仿宋_GB2312" w:cs="仿宋_GB2312" w:hint="eastAsia"/>
          <w:sz w:val="32"/>
          <w:szCs w:val="32"/>
        </w:rPr>
        <w:t>完成预算</w:t>
      </w:r>
      <w:r>
        <w:rPr>
          <w:rFonts w:ascii="仿宋" w:eastAsia="仿宋" w:hAnsi="仿宋" w:hint="eastAsia"/>
          <w:b/>
          <w:sz w:val="32"/>
          <w:szCs w:val="32"/>
        </w:rPr>
        <w:t>100</w:t>
      </w:r>
      <w:r>
        <w:rPr>
          <w:rFonts w:eastAsia="仿宋_GB2312" w:cs="仿宋_GB2312" w:hint="eastAsia"/>
          <w:sz w:val="32"/>
          <w:szCs w:val="32"/>
        </w:rPr>
        <w:t>%</w:t>
      </w:r>
      <w:r>
        <w:rPr>
          <w:rFonts w:eastAsia="仿宋_GB2312" w:cs="仿宋_GB2312" w:hint="eastAsia"/>
          <w:sz w:val="32"/>
          <w:szCs w:val="32"/>
        </w:rPr>
        <w:t>。其中：</w:t>
      </w:r>
      <w:bookmarkEnd w:id="41"/>
      <w:bookmarkEnd w:id="42"/>
      <w:bookmarkEnd w:id="43"/>
    </w:p>
    <w:p w:rsidR="00AB247A" w:rsidRDefault="00714F03">
      <w:pPr>
        <w:spacing w:line="600" w:lineRule="exact"/>
        <w:ind w:firstLineChars="200" w:firstLine="643"/>
        <w:rPr>
          <w:rStyle w:val="a9"/>
          <w:rFonts w:ascii="仿宋_GB2312" w:eastAsia="仿宋_GB2312" w:hAnsi="仿宋_GB2312" w:cs="仿宋_GB2312"/>
          <w:b w:val="0"/>
          <w:bCs/>
          <w:sz w:val="32"/>
          <w:szCs w:val="32"/>
        </w:rPr>
      </w:pPr>
      <w:r>
        <w:rPr>
          <w:rStyle w:val="a9"/>
          <w:rFonts w:ascii="仿宋_GB2312" w:eastAsia="仿宋_GB2312" w:hAnsi="仿宋_GB2312" w:cs="仿宋_GB2312" w:hint="eastAsia"/>
          <w:bCs/>
          <w:sz w:val="32"/>
          <w:szCs w:val="32"/>
        </w:rPr>
        <w:t>1</w:t>
      </w:r>
      <w:r>
        <w:rPr>
          <w:rFonts w:eastAsia="仿宋_GB2312" w:cs="仿宋_GB2312" w:hint="eastAsia"/>
          <w:sz w:val="32"/>
          <w:szCs w:val="32"/>
        </w:rPr>
        <w:t>.</w:t>
      </w:r>
      <w:r>
        <w:rPr>
          <w:rFonts w:eastAsia="仿宋_GB2312" w:cs="仿宋_GB2312" w:hint="eastAsia"/>
          <w:sz w:val="32"/>
          <w:szCs w:val="32"/>
        </w:rPr>
        <w:t>一般公共服务（类）人大事务（款）一般行政管理事务（项）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2.56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一般公共服务（类）政府办公厅（室）及相关机构事务（款）行政运行（项）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222.80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ascii="仿宋_GB2312" w:eastAsia="仿宋_GB2312" w:hAnsi="仿宋_GB2312" w:cs="仿宋_GB2312"/>
          <w:b/>
          <w:sz w:val="32"/>
          <w:szCs w:val="32"/>
        </w:rPr>
      </w:pPr>
      <w:r>
        <w:rPr>
          <w:rFonts w:eastAsia="仿宋_GB2312" w:cs="仿宋_GB2312" w:hint="eastAsia"/>
          <w:sz w:val="32"/>
          <w:szCs w:val="32"/>
        </w:rPr>
        <w:t>3.</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一般公共服务（类）政府办公厅（室）及相关机构事务（款）一般行政管理事务（项）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35.62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4.</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一般公共服务（类）政府办公厅（室）及相关机构事务（款）事业运行（项）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122.55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AB247A">
      <w:pPr>
        <w:pStyle w:val="a0"/>
      </w:pPr>
    </w:p>
    <w:p w:rsidR="00AB247A" w:rsidRDefault="00714F03">
      <w:pPr>
        <w:pStyle w:val="a0"/>
      </w:pPr>
      <w:r>
        <w:rPr>
          <w:rFonts w:hint="eastAsia"/>
        </w:rPr>
        <w:t xml:space="preserve">     </w:t>
      </w:r>
      <w:r>
        <w:rPr>
          <w:rFonts w:eastAsia="仿宋_GB2312" w:cs="仿宋_GB2312" w:hint="eastAsia"/>
          <w:sz w:val="32"/>
          <w:szCs w:val="32"/>
        </w:rPr>
        <w:t xml:space="preserve">  5. </w:t>
      </w:r>
      <w:r>
        <w:rPr>
          <w:rFonts w:eastAsia="仿宋_GB2312" w:cs="仿宋_GB2312" w:hint="eastAsia"/>
          <w:sz w:val="32"/>
          <w:szCs w:val="32"/>
        </w:rPr>
        <w:t>一般公共服务（类）统计信息事务（款）专项普查活动（项）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0.77</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 xml:space="preserve">6. </w:t>
      </w:r>
      <w:r>
        <w:rPr>
          <w:rFonts w:eastAsia="仿宋_GB2312" w:cs="仿宋_GB2312" w:hint="eastAsia"/>
          <w:sz w:val="32"/>
          <w:szCs w:val="32"/>
        </w:rPr>
        <w:t>一般公共服务（类）信访事务（款）一般行政管理事务（项）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0.86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7.</w:t>
      </w:r>
      <w:r>
        <w:rPr>
          <w:rFonts w:hint="eastAsia"/>
        </w:rPr>
        <w:t xml:space="preserve"> </w:t>
      </w:r>
      <w:r>
        <w:rPr>
          <w:rFonts w:eastAsia="仿宋_GB2312" w:cs="仿宋_GB2312" w:hint="eastAsia"/>
          <w:sz w:val="32"/>
          <w:szCs w:val="32"/>
        </w:rPr>
        <w:t>公共安全支出（类）公安（款）其他公安支出（项）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1.02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AB247A">
      <w:pPr>
        <w:pStyle w:val="a0"/>
      </w:pPr>
    </w:p>
    <w:p w:rsidR="00AB247A" w:rsidRDefault="00714F03">
      <w:pPr>
        <w:pStyle w:val="a0"/>
        <w:rPr>
          <w:rFonts w:eastAsia="仿宋_GB2312" w:cs="仿宋_GB2312"/>
          <w:sz w:val="32"/>
          <w:szCs w:val="32"/>
        </w:rPr>
      </w:pPr>
      <w:r>
        <w:rPr>
          <w:rFonts w:hint="eastAsia"/>
        </w:rPr>
        <w:lastRenderedPageBreak/>
        <w:t xml:space="preserve">       </w:t>
      </w:r>
      <w:r>
        <w:rPr>
          <w:rFonts w:eastAsia="仿宋_GB2312" w:cs="仿宋_GB2312" w:hint="eastAsia"/>
          <w:sz w:val="32"/>
          <w:szCs w:val="32"/>
        </w:rPr>
        <w:t>8.</w:t>
      </w:r>
      <w:r>
        <w:rPr>
          <w:rFonts w:hint="eastAsia"/>
        </w:rPr>
        <w:t xml:space="preserve"> </w:t>
      </w:r>
      <w:r>
        <w:rPr>
          <w:rFonts w:eastAsia="仿宋_GB2312" w:cs="仿宋_GB2312" w:hint="eastAsia"/>
          <w:sz w:val="32"/>
          <w:szCs w:val="32"/>
        </w:rPr>
        <w:t>文化旅游体育与传媒（类）文化和旅游（款）其他文化和旅游支出（项）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6.37</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9.</w:t>
      </w:r>
      <w:r>
        <w:rPr>
          <w:rFonts w:hint="eastAsia"/>
        </w:rPr>
        <w:t xml:space="preserve"> </w:t>
      </w:r>
      <w:r>
        <w:rPr>
          <w:rFonts w:eastAsia="仿宋_GB2312" w:cs="仿宋_GB2312" w:hint="eastAsia"/>
          <w:sz w:val="32"/>
          <w:szCs w:val="32"/>
        </w:rPr>
        <w:t>社会保障和就业（类）行政事业单位养老支出（款）机关事业单位基本养老保险缴费支出（项）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56.14</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10.</w:t>
      </w:r>
      <w:r>
        <w:rPr>
          <w:rFonts w:hint="eastAsia"/>
        </w:rPr>
        <w:t xml:space="preserve"> </w:t>
      </w:r>
      <w:r>
        <w:rPr>
          <w:rFonts w:eastAsia="仿宋_GB2312" w:cs="仿宋_GB2312" w:hint="eastAsia"/>
          <w:sz w:val="32"/>
          <w:szCs w:val="32"/>
        </w:rPr>
        <w:t>社会保障和就业（类）行政事业单位养老支出（款）机关事业单位职业年金缴费支出（项）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28.07</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11.</w:t>
      </w:r>
      <w:r>
        <w:rPr>
          <w:rFonts w:hint="eastAsia"/>
        </w:rPr>
        <w:t xml:space="preserve"> </w:t>
      </w:r>
      <w:r>
        <w:rPr>
          <w:rFonts w:eastAsia="仿宋_GB2312" w:cs="仿宋_GB2312" w:hint="eastAsia"/>
          <w:sz w:val="32"/>
          <w:szCs w:val="32"/>
        </w:rPr>
        <w:t>社会保障和就业（类）行政事业单位养老支出（款）其他行政事业单位养老支出（项）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12.80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12.</w:t>
      </w:r>
      <w:r>
        <w:rPr>
          <w:rFonts w:hint="eastAsia"/>
        </w:rPr>
        <w:t xml:space="preserve"> </w:t>
      </w:r>
      <w:r>
        <w:rPr>
          <w:rFonts w:eastAsia="仿宋_GB2312" w:cs="仿宋_GB2312" w:hint="eastAsia"/>
          <w:sz w:val="32"/>
          <w:szCs w:val="32"/>
        </w:rPr>
        <w:t>社会保障和就业（类）抚恤（款）其他优抚支出（项）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4.51</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13.</w:t>
      </w:r>
      <w:r>
        <w:rPr>
          <w:rFonts w:hint="eastAsia"/>
        </w:rPr>
        <w:t xml:space="preserve"> </w:t>
      </w:r>
      <w:r>
        <w:rPr>
          <w:rFonts w:eastAsia="仿宋_GB2312" w:cs="仿宋_GB2312" w:hint="eastAsia"/>
          <w:sz w:val="32"/>
          <w:szCs w:val="32"/>
        </w:rPr>
        <w:t>社会保障和就业（类）退役安置（款）其他退役安置支出（项）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0.02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14.</w:t>
      </w:r>
      <w:r>
        <w:rPr>
          <w:rFonts w:hint="eastAsia"/>
        </w:rPr>
        <w:t xml:space="preserve"> </w:t>
      </w:r>
      <w:r>
        <w:rPr>
          <w:rFonts w:eastAsia="仿宋_GB2312" w:cs="仿宋_GB2312" w:hint="eastAsia"/>
          <w:sz w:val="32"/>
          <w:szCs w:val="32"/>
        </w:rPr>
        <w:t>社会保障和就业（类）其他社会保障和就业支出（款）其他社会保障和就业支出（项）</w:t>
      </w:r>
      <w:r>
        <w:rPr>
          <w:rFonts w:eastAsia="仿宋_GB2312" w:cs="仿宋_GB2312" w:hint="eastAsia"/>
          <w:sz w:val="32"/>
          <w:szCs w:val="32"/>
        </w:rPr>
        <w:t xml:space="preserve">: </w:t>
      </w:r>
      <w:r>
        <w:rPr>
          <w:rFonts w:eastAsia="仿宋_GB2312" w:cs="仿宋_GB2312" w:hint="eastAsia"/>
          <w:sz w:val="32"/>
          <w:szCs w:val="32"/>
        </w:rPr>
        <w:t>支出决算为</w:t>
      </w:r>
      <w:r>
        <w:rPr>
          <w:rFonts w:eastAsia="仿宋_GB2312" w:cs="仿宋_GB2312" w:hint="eastAsia"/>
          <w:sz w:val="32"/>
          <w:szCs w:val="32"/>
        </w:rPr>
        <w:t>4.80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15.</w:t>
      </w:r>
      <w:r>
        <w:rPr>
          <w:rFonts w:eastAsia="仿宋_GB2312" w:cs="仿宋_GB2312" w:hint="eastAsia"/>
          <w:sz w:val="32"/>
          <w:szCs w:val="32"/>
        </w:rPr>
        <w:t>卫生健康（类）行政事业单位医疗（款）行政单位医疗（项）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9.73</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16.</w:t>
      </w:r>
      <w:r>
        <w:rPr>
          <w:rFonts w:eastAsia="仿宋_GB2312" w:cs="仿宋_GB2312" w:hint="eastAsia"/>
          <w:sz w:val="32"/>
          <w:szCs w:val="32"/>
        </w:rPr>
        <w:t>卫生健康（类）行政事业单位医疗（款）事业单位医</w:t>
      </w:r>
      <w:r>
        <w:rPr>
          <w:rFonts w:eastAsia="仿宋_GB2312" w:cs="仿宋_GB2312" w:hint="eastAsia"/>
          <w:sz w:val="32"/>
          <w:szCs w:val="32"/>
        </w:rPr>
        <w:lastRenderedPageBreak/>
        <w:t>疗（项）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7.10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17.</w:t>
      </w:r>
      <w:r>
        <w:rPr>
          <w:rFonts w:eastAsia="仿宋_GB2312" w:cs="仿宋_GB2312" w:hint="eastAsia"/>
          <w:sz w:val="32"/>
          <w:szCs w:val="32"/>
        </w:rPr>
        <w:t>卫生健康（类）行政事业单位医疗（款）公务员医疗补助（项）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4.62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18.</w:t>
      </w:r>
      <w:r>
        <w:rPr>
          <w:rFonts w:ascii="仿宋_GB2312" w:eastAsia="仿宋_GB2312" w:hAnsi="仿宋_GB2312" w:cs="仿宋_GB2312" w:hint="eastAsia"/>
          <w:b/>
          <w:bCs/>
          <w:sz w:val="32"/>
          <w:szCs w:val="32"/>
        </w:rPr>
        <w:t xml:space="preserve"> </w:t>
      </w:r>
      <w:r>
        <w:rPr>
          <w:rFonts w:eastAsia="仿宋_GB2312" w:cs="仿宋_GB2312" w:hint="eastAsia"/>
          <w:sz w:val="32"/>
          <w:szCs w:val="32"/>
        </w:rPr>
        <w:t>农林水支出（类）农业农村（款）行政运行（项）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107.22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19.</w:t>
      </w:r>
      <w:r>
        <w:rPr>
          <w:rFonts w:eastAsia="仿宋_GB2312" w:cs="仿宋_GB2312" w:hint="eastAsia"/>
          <w:sz w:val="32"/>
          <w:szCs w:val="32"/>
        </w:rPr>
        <w:t>农林水支出（类）农业农村（款）事业运行（项）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90.86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20.</w:t>
      </w:r>
      <w:r>
        <w:rPr>
          <w:rFonts w:eastAsia="仿宋_GB2312" w:cs="仿宋_GB2312" w:hint="eastAsia"/>
          <w:sz w:val="32"/>
          <w:szCs w:val="32"/>
        </w:rPr>
        <w:t>农林水支出（类）农业农村（款）农业生态资源保护（项）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2.88</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21.</w:t>
      </w:r>
      <w:r>
        <w:rPr>
          <w:rFonts w:eastAsia="仿宋_GB2312" w:cs="仿宋_GB2312" w:hint="eastAsia"/>
          <w:sz w:val="32"/>
          <w:szCs w:val="32"/>
        </w:rPr>
        <w:t>农林水支出（类）农业农村（款）对高校毕业生到基层任职补助（项）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7.73</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22.</w:t>
      </w:r>
      <w:r>
        <w:rPr>
          <w:rFonts w:eastAsia="仿宋_GB2312" w:cs="仿宋_GB2312" w:hint="eastAsia"/>
          <w:sz w:val="32"/>
          <w:szCs w:val="32"/>
        </w:rPr>
        <w:t>农林水支出（类）农业农村（款）其他农业农村支出（项）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23.60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，决算数大于预算数。基础设施建设增加支出。</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23.</w:t>
      </w:r>
      <w:r>
        <w:rPr>
          <w:rFonts w:eastAsia="仿宋_GB2312" w:cs="仿宋_GB2312" w:hint="eastAsia"/>
          <w:sz w:val="32"/>
          <w:szCs w:val="32"/>
        </w:rPr>
        <w:t>农林水支出（类）水利（款）防汛（项）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9.49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24.</w:t>
      </w:r>
      <w:r>
        <w:rPr>
          <w:rFonts w:eastAsia="仿宋_GB2312" w:cs="仿宋_GB2312" w:hint="eastAsia"/>
          <w:sz w:val="32"/>
          <w:szCs w:val="32"/>
        </w:rPr>
        <w:t>农林水支出（类）水利（款）其他水利支出（项）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1.00</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AB247A">
      <w:pPr>
        <w:pStyle w:val="a0"/>
      </w:pP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25.</w:t>
      </w:r>
      <w:r>
        <w:rPr>
          <w:rFonts w:eastAsia="仿宋_GB2312" w:cs="仿宋_GB2312" w:hint="eastAsia"/>
          <w:sz w:val="32"/>
          <w:szCs w:val="32"/>
        </w:rPr>
        <w:t>农林水支出（类）巩固脱贫攻坚成果衔接支出（款）其他巩固脱贫攻坚成果衔接支出（项）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1860.55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26.</w:t>
      </w:r>
      <w:r>
        <w:rPr>
          <w:rFonts w:eastAsia="仿宋_GB2312" w:cs="仿宋_GB2312" w:hint="eastAsia"/>
          <w:sz w:val="32"/>
          <w:szCs w:val="32"/>
        </w:rPr>
        <w:t>农林水支出（类）农村综合改革（款）对村民委员会和党支部的补助（项）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206.62</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27.</w:t>
      </w:r>
      <w:r>
        <w:rPr>
          <w:rFonts w:ascii="仿宋_GB2312" w:eastAsia="仿宋_GB2312" w:hAnsi="仿宋_GB2312" w:cs="仿宋_GB2312" w:hint="eastAsia"/>
          <w:b/>
          <w:bCs/>
          <w:sz w:val="32"/>
          <w:szCs w:val="32"/>
        </w:rPr>
        <w:t xml:space="preserve"> </w:t>
      </w:r>
      <w:r>
        <w:rPr>
          <w:rFonts w:eastAsia="仿宋_GB2312" w:cs="仿宋_GB2312" w:hint="eastAsia"/>
          <w:sz w:val="32"/>
          <w:szCs w:val="32"/>
        </w:rPr>
        <w:t>住房保障支出（类）住房改革支出（款）住房公积金（项）</w:t>
      </w:r>
      <w:r>
        <w:rPr>
          <w:rFonts w:eastAsia="仿宋_GB2312" w:cs="仿宋_GB2312" w:hint="eastAsia"/>
          <w:sz w:val="32"/>
          <w:szCs w:val="32"/>
        </w:rPr>
        <w:t>:</w:t>
      </w:r>
      <w:r>
        <w:rPr>
          <w:rFonts w:eastAsia="仿宋_GB2312" w:cs="仿宋_GB2312" w:hint="eastAsia"/>
          <w:sz w:val="32"/>
          <w:szCs w:val="32"/>
        </w:rPr>
        <w:t>支出决算为</w:t>
      </w:r>
      <w:r>
        <w:rPr>
          <w:rFonts w:eastAsia="仿宋_GB2312" w:cs="仿宋_GB2312" w:hint="eastAsia"/>
          <w:sz w:val="32"/>
          <w:szCs w:val="32"/>
        </w:rPr>
        <w:t>50.59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，决算数等于预算数。</w:t>
      </w:r>
    </w:p>
    <w:p w:rsidR="00AB247A" w:rsidRDefault="00714F03">
      <w:pPr>
        <w:tabs>
          <w:tab w:val="right" w:pos="8306"/>
        </w:tabs>
        <w:spacing w:line="600" w:lineRule="exact"/>
        <w:ind w:firstLine="640"/>
        <w:outlineLvl w:val="1"/>
        <w:rPr>
          <w:rStyle w:val="2Char"/>
          <w:rFonts w:ascii="Times New Roman" w:hAnsi="Times New Roman"/>
        </w:rPr>
      </w:pPr>
      <w:bookmarkStart w:id="44" w:name="_Toc15377214"/>
      <w:bookmarkStart w:id="45" w:name="_Toc15396608"/>
      <w:r>
        <w:rPr>
          <w:rFonts w:eastAsia="黑体" w:hint="eastAsia"/>
          <w:sz w:val="32"/>
          <w:szCs w:val="32"/>
        </w:rPr>
        <w:t>六</w:t>
      </w:r>
      <w:r>
        <w:rPr>
          <w:rFonts w:eastAsia="黑体" w:hint="eastAsia"/>
          <w:b/>
          <w:sz w:val="32"/>
          <w:szCs w:val="32"/>
        </w:rPr>
        <w:t>、一</w:t>
      </w:r>
      <w:r>
        <w:rPr>
          <w:rStyle w:val="2Char"/>
          <w:rFonts w:ascii="Times New Roman" w:eastAsia="黑体" w:hAnsi="Times New Roman" w:hint="eastAsia"/>
          <w:b w:val="0"/>
        </w:rPr>
        <w:t>般公共预算财政拨款基本支出决算情况说明</w:t>
      </w:r>
      <w:bookmarkEnd w:id="44"/>
      <w:bookmarkEnd w:id="45"/>
      <w:r>
        <w:rPr>
          <w:rStyle w:val="2Char"/>
          <w:rFonts w:ascii="Times New Roman" w:eastAsia="黑体" w:hAnsi="Times New Roman"/>
          <w:b w:val="0"/>
        </w:rPr>
        <w:tab/>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年度一般公共预算财政拨款基本支出</w:t>
      </w:r>
      <w:r>
        <w:rPr>
          <w:rFonts w:eastAsia="仿宋_GB2312" w:cs="仿宋_GB2312" w:hint="eastAsia"/>
          <w:sz w:val="32"/>
          <w:szCs w:val="32"/>
        </w:rPr>
        <w:t>721.79</w:t>
      </w:r>
      <w:r>
        <w:rPr>
          <w:rFonts w:ascii="仿宋_GB2312" w:eastAsia="仿宋_GB2312" w:hAnsi="仿宋_GB2312" w:cs="仿宋_GB2312" w:hint="eastAsia"/>
          <w:sz w:val="32"/>
          <w:szCs w:val="32"/>
        </w:rPr>
        <w:t>万</w:t>
      </w:r>
      <w:r>
        <w:rPr>
          <w:rFonts w:eastAsia="仿宋_GB2312" w:cs="仿宋_GB2312" w:hint="eastAsia"/>
          <w:sz w:val="32"/>
          <w:szCs w:val="32"/>
        </w:rPr>
        <w:t>元，其中：</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人员经费</w:t>
      </w:r>
      <w:r>
        <w:rPr>
          <w:rFonts w:eastAsia="仿宋_GB2312" w:cs="仿宋_GB2312" w:hint="eastAsia"/>
          <w:sz w:val="32"/>
          <w:szCs w:val="32"/>
        </w:rPr>
        <w:t>642.48</w:t>
      </w:r>
      <w:r>
        <w:rPr>
          <w:rFonts w:ascii="仿宋_GB2312" w:eastAsia="仿宋_GB2312" w:hAnsi="仿宋_GB2312" w:cs="仿宋_GB2312" w:hint="eastAsia"/>
          <w:sz w:val="32"/>
          <w:szCs w:val="32"/>
        </w:rPr>
        <w:t>万</w:t>
      </w:r>
      <w:r>
        <w:rPr>
          <w:rFonts w:eastAsia="仿宋_GB2312" w:cs="仿宋_GB2312" w:hint="eastAsia"/>
          <w:sz w:val="32"/>
          <w:szCs w:val="32"/>
        </w:rPr>
        <w:t>元，主要包括：基本工资支出</w:t>
      </w:r>
      <w:r>
        <w:rPr>
          <w:rFonts w:eastAsia="仿宋_GB2312" w:cs="仿宋_GB2312" w:hint="eastAsia"/>
          <w:sz w:val="32"/>
          <w:szCs w:val="32"/>
        </w:rPr>
        <w:t>135.82</w:t>
      </w:r>
      <w:r>
        <w:rPr>
          <w:rFonts w:eastAsia="仿宋_GB2312" w:cs="仿宋_GB2312" w:hint="eastAsia"/>
          <w:sz w:val="32"/>
          <w:szCs w:val="32"/>
        </w:rPr>
        <w:t>万元、津贴补贴</w:t>
      </w:r>
      <w:r>
        <w:rPr>
          <w:rFonts w:eastAsia="仿宋_GB2312" w:cs="仿宋_GB2312" w:hint="eastAsia"/>
          <w:sz w:val="32"/>
          <w:szCs w:val="32"/>
        </w:rPr>
        <w:t>67.86</w:t>
      </w:r>
      <w:r>
        <w:rPr>
          <w:rFonts w:eastAsia="仿宋_GB2312" w:cs="仿宋_GB2312" w:hint="eastAsia"/>
          <w:sz w:val="32"/>
          <w:szCs w:val="32"/>
        </w:rPr>
        <w:t>万元、奖金</w:t>
      </w:r>
      <w:r>
        <w:rPr>
          <w:rFonts w:eastAsia="仿宋_GB2312" w:cs="仿宋_GB2312" w:hint="eastAsia"/>
          <w:sz w:val="32"/>
          <w:szCs w:val="32"/>
        </w:rPr>
        <w:t>112.72</w:t>
      </w:r>
      <w:r>
        <w:rPr>
          <w:rFonts w:eastAsia="仿宋_GB2312" w:cs="仿宋_GB2312" w:hint="eastAsia"/>
          <w:sz w:val="32"/>
          <w:szCs w:val="32"/>
        </w:rPr>
        <w:t>万元、伙食补助费</w:t>
      </w:r>
      <w:r>
        <w:rPr>
          <w:rFonts w:eastAsia="仿宋_GB2312" w:cs="仿宋_GB2312" w:hint="eastAsia"/>
          <w:sz w:val="32"/>
          <w:szCs w:val="32"/>
        </w:rPr>
        <w:t>10.35</w:t>
      </w:r>
      <w:r>
        <w:rPr>
          <w:rFonts w:eastAsia="仿宋_GB2312" w:cs="仿宋_GB2312" w:hint="eastAsia"/>
          <w:sz w:val="32"/>
          <w:szCs w:val="32"/>
        </w:rPr>
        <w:t>万元、绩效工资</w:t>
      </w:r>
      <w:r>
        <w:rPr>
          <w:rFonts w:eastAsia="仿宋_GB2312" w:cs="仿宋_GB2312" w:hint="eastAsia"/>
          <w:sz w:val="32"/>
          <w:szCs w:val="32"/>
        </w:rPr>
        <w:t>133.89</w:t>
      </w:r>
      <w:r>
        <w:rPr>
          <w:rFonts w:eastAsia="仿宋_GB2312" w:cs="仿宋_GB2312" w:hint="eastAsia"/>
          <w:sz w:val="32"/>
          <w:szCs w:val="32"/>
        </w:rPr>
        <w:t>万元、机关事业单位基本养老保险缴费</w:t>
      </w:r>
      <w:r>
        <w:rPr>
          <w:rFonts w:eastAsia="仿宋_GB2312" w:cs="仿宋_GB2312" w:hint="eastAsia"/>
          <w:sz w:val="32"/>
          <w:szCs w:val="32"/>
        </w:rPr>
        <w:t>56.14</w:t>
      </w:r>
      <w:r>
        <w:rPr>
          <w:rFonts w:eastAsia="仿宋_GB2312" w:cs="仿宋_GB2312" w:hint="eastAsia"/>
          <w:sz w:val="32"/>
          <w:szCs w:val="32"/>
        </w:rPr>
        <w:t>万元、职业年金缴费</w:t>
      </w:r>
      <w:r>
        <w:rPr>
          <w:rFonts w:eastAsia="仿宋_GB2312" w:cs="仿宋_GB2312" w:hint="eastAsia"/>
          <w:sz w:val="32"/>
          <w:szCs w:val="32"/>
        </w:rPr>
        <w:t>28.07</w:t>
      </w:r>
      <w:r>
        <w:rPr>
          <w:rFonts w:eastAsia="仿宋_GB2312" w:cs="仿宋_GB2312" w:hint="eastAsia"/>
          <w:sz w:val="32"/>
          <w:szCs w:val="32"/>
        </w:rPr>
        <w:t>万元、职工基本医疗保险缴费</w:t>
      </w:r>
      <w:r>
        <w:rPr>
          <w:rFonts w:eastAsia="仿宋_GB2312" w:cs="仿宋_GB2312" w:hint="eastAsia"/>
          <w:sz w:val="32"/>
          <w:szCs w:val="32"/>
        </w:rPr>
        <w:t>16.83</w:t>
      </w:r>
      <w:r>
        <w:rPr>
          <w:rFonts w:eastAsia="仿宋_GB2312" w:cs="仿宋_GB2312" w:hint="eastAsia"/>
          <w:sz w:val="32"/>
          <w:szCs w:val="32"/>
        </w:rPr>
        <w:t>万元、公务员医疗补助缴费</w:t>
      </w:r>
      <w:r>
        <w:rPr>
          <w:rFonts w:eastAsia="仿宋_GB2312" w:cs="仿宋_GB2312" w:hint="eastAsia"/>
          <w:sz w:val="32"/>
          <w:szCs w:val="32"/>
        </w:rPr>
        <w:t>4.62</w:t>
      </w:r>
      <w:r>
        <w:rPr>
          <w:rFonts w:eastAsia="仿宋_GB2312" w:cs="仿宋_GB2312" w:hint="eastAsia"/>
          <w:sz w:val="32"/>
          <w:szCs w:val="32"/>
        </w:rPr>
        <w:t>万元、其他社会保障缴费</w:t>
      </w:r>
      <w:r>
        <w:rPr>
          <w:rFonts w:eastAsia="仿宋_GB2312" w:cs="仿宋_GB2312" w:hint="eastAsia"/>
          <w:sz w:val="32"/>
          <w:szCs w:val="32"/>
        </w:rPr>
        <w:t>4.80</w:t>
      </w:r>
      <w:r>
        <w:rPr>
          <w:rFonts w:eastAsia="仿宋_GB2312" w:cs="仿宋_GB2312" w:hint="eastAsia"/>
          <w:sz w:val="32"/>
          <w:szCs w:val="32"/>
        </w:rPr>
        <w:t>万元、住房公积金</w:t>
      </w:r>
      <w:r>
        <w:rPr>
          <w:rFonts w:eastAsia="仿宋_GB2312" w:cs="仿宋_GB2312" w:hint="eastAsia"/>
          <w:sz w:val="32"/>
          <w:szCs w:val="32"/>
        </w:rPr>
        <w:t>50.59</w:t>
      </w:r>
      <w:r>
        <w:rPr>
          <w:rFonts w:eastAsia="仿宋_GB2312" w:cs="仿宋_GB2312" w:hint="eastAsia"/>
          <w:sz w:val="32"/>
          <w:szCs w:val="32"/>
        </w:rPr>
        <w:t>万元、其他工资福利支出</w:t>
      </w:r>
      <w:r>
        <w:rPr>
          <w:rFonts w:eastAsia="仿宋_GB2312" w:cs="仿宋_GB2312" w:hint="eastAsia"/>
          <w:sz w:val="32"/>
          <w:szCs w:val="32"/>
        </w:rPr>
        <w:t>3.48</w:t>
      </w:r>
      <w:r>
        <w:rPr>
          <w:rFonts w:eastAsia="仿宋_GB2312" w:cs="仿宋_GB2312" w:hint="eastAsia"/>
          <w:sz w:val="32"/>
          <w:szCs w:val="32"/>
        </w:rPr>
        <w:t>万元、生活补助</w:t>
      </w:r>
      <w:r>
        <w:rPr>
          <w:rFonts w:eastAsia="仿宋_GB2312" w:cs="仿宋_GB2312" w:hint="eastAsia"/>
          <w:sz w:val="32"/>
          <w:szCs w:val="32"/>
        </w:rPr>
        <w:t>4.51</w:t>
      </w:r>
      <w:r>
        <w:rPr>
          <w:rFonts w:eastAsia="仿宋_GB2312" w:cs="仿宋_GB2312" w:hint="eastAsia"/>
          <w:sz w:val="32"/>
          <w:szCs w:val="32"/>
        </w:rPr>
        <w:t>万元、其他对个人和家庭的补助</w:t>
      </w:r>
      <w:r>
        <w:rPr>
          <w:rFonts w:eastAsia="仿宋_GB2312" w:cs="仿宋_GB2312" w:hint="eastAsia"/>
          <w:sz w:val="32"/>
          <w:szCs w:val="32"/>
        </w:rPr>
        <w:t>12.80</w:t>
      </w:r>
      <w:r>
        <w:rPr>
          <w:rFonts w:eastAsia="仿宋_GB2312" w:cs="仿宋_GB2312" w:hint="eastAsia"/>
          <w:sz w:val="32"/>
          <w:szCs w:val="32"/>
        </w:rPr>
        <w:t>万元等。</w:t>
      </w:r>
    </w:p>
    <w:p w:rsidR="00AB247A" w:rsidRDefault="00714F03">
      <w:pPr>
        <w:spacing w:line="600" w:lineRule="exact"/>
        <w:ind w:firstLine="640"/>
        <w:rPr>
          <w:rFonts w:ascii="仿宋" w:eastAsia="仿宋" w:hAnsi="仿宋"/>
          <w:sz w:val="32"/>
          <w:szCs w:val="32"/>
          <w:highlight w:val="yellow"/>
        </w:rPr>
      </w:pPr>
      <w:r>
        <w:rPr>
          <w:rFonts w:eastAsia="仿宋_GB2312" w:cs="仿宋_GB2312" w:hint="eastAsia"/>
          <w:sz w:val="32"/>
          <w:szCs w:val="32"/>
        </w:rPr>
        <w:t>公用经费</w:t>
      </w:r>
      <w:r>
        <w:rPr>
          <w:rFonts w:eastAsia="仿宋_GB2312" w:cs="仿宋_GB2312" w:hint="eastAsia"/>
          <w:sz w:val="32"/>
          <w:szCs w:val="32"/>
        </w:rPr>
        <w:t>79.31</w:t>
      </w:r>
      <w:r>
        <w:rPr>
          <w:rFonts w:ascii="仿宋_GB2312" w:eastAsia="仿宋_GB2312" w:hAnsi="仿宋_GB2312" w:cs="仿宋_GB2312" w:hint="eastAsia"/>
          <w:sz w:val="32"/>
          <w:szCs w:val="32"/>
        </w:rPr>
        <w:t>万</w:t>
      </w:r>
      <w:r>
        <w:rPr>
          <w:rFonts w:eastAsia="仿宋_GB2312" w:cs="仿宋_GB2312" w:hint="eastAsia"/>
          <w:sz w:val="32"/>
          <w:szCs w:val="32"/>
        </w:rPr>
        <w:t>元，主要包括：办公费</w:t>
      </w:r>
      <w:r>
        <w:rPr>
          <w:rFonts w:eastAsia="仿宋_GB2312" w:cs="仿宋_GB2312" w:hint="eastAsia"/>
          <w:sz w:val="32"/>
          <w:szCs w:val="32"/>
        </w:rPr>
        <w:t>9.65</w:t>
      </w:r>
      <w:r>
        <w:rPr>
          <w:rFonts w:eastAsia="仿宋_GB2312" w:cs="仿宋_GB2312" w:hint="eastAsia"/>
          <w:sz w:val="32"/>
          <w:szCs w:val="32"/>
        </w:rPr>
        <w:t>万元、印刷费</w:t>
      </w:r>
      <w:r>
        <w:rPr>
          <w:rFonts w:eastAsia="仿宋_GB2312" w:cs="仿宋_GB2312" w:hint="eastAsia"/>
          <w:sz w:val="32"/>
          <w:szCs w:val="32"/>
        </w:rPr>
        <w:t>7.94</w:t>
      </w:r>
      <w:r>
        <w:rPr>
          <w:rFonts w:eastAsia="仿宋_GB2312" w:cs="仿宋_GB2312" w:hint="eastAsia"/>
          <w:sz w:val="32"/>
          <w:szCs w:val="32"/>
        </w:rPr>
        <w:t>万元、水费</w:t>
      </w:r>
      <w:r>
        <w:rPr>
          <w:rFonts w:eastAsia="仿宋_GB2312" w:cs="仿宋_GB2312" w:hint="eastAsia"/>
          <w:sz w:val="32"/>
          <w:szCs w:val="32"/>
        </w:rPr>
        <w:t>0.44</w:t>
      </w:r>
      <w:r>
        <w:rPr>
          <w:rFonts w:eastAsia="仿宋_GB2312" w:cs="仿宋_GB2312" w:hint="eastAsia"/>
          <w:sz w:val="32"/>
          <w:szCs w:val="32"/>
        </w:rPr>
        <w:t>万元、电费</w:t>
      </w:r>
      <w:r>
        <w:rPr>
          <w:rFonts w:eastAsia="仿宋_GB2312" w:cs="仿宋_GB2312" w:hint="eastAsia"/>
          <w:sz w:val="32"/>
          <w:szCs w:val="32"/>
        </w:rPr>
        <w:t>3.89</w:t>
      </w:r>
      <w:r>
        <w:rPr>
          <w:rFonts w:eastAsia="仿宋_GB2312" w:cs="仿宋_GB2312" w:hint="eastAsia"/>
          <w:sz w:val="32"/>
          <w:szCs w:val="32"/>
        </w:rPr>
        <w:t>万元、邮电费</w:t>
      </w:r>
      <w:r>
        <w:rPr>
          <w:rFonts w:eastAsia="仿宋_GB2312" w:cs="仿宋_GB2312" w:hint="eastAsia"/>
          <w:sz w:val="32"/>
          <w:szCs w:val="32"/>
        </w:rPr>
        <w:t>2.16</w:t>
      </w:r>
      <w:r>
        <w:rPr>
          <w:rFonts w:eastAsia="仿宋_GB2312" w:cs="仿宋_GB2312" w:hint="eastAsia"/>
          <w:sz w:val="32"/>
          <w:szCs w:val="32"/>
        </w:rPr>
        <w:lastRenderedPageBreak/>
        <w:t>万元、维修（护）费</w:t>
      </w:r>
      <w:r>
        <w:rPr>
          <w:rFonts w:eastAsia="仿宋_GB2312" w:cs="仿宋_GB2312" w:hint="eastAsia"/>
          <w:sz w:val="32"/>
          <w:szCs w:val="32"/>
        </w:rPr>
        <w:t>1.5</w:t>
      </w:r>
      <w:r>
        <w:rPr>
          <w:rFonts w:eastAsia="仿宋_GB2312" w:cs="仿宋_GB2312" w:hint="eastAsia"/>
          <w:sz w:val="32"/>
          <w:szCs w:val="32"/>
        </w:rPr>
        <w:t>万元、会议费</w:t>
      </w:r>
      <w:r>
        <w:rPr>
          <w:rFonts w:eastAsia="仿宋_GB2312" w:cs="仿宋_GB2312" w:hint="eastAsia"/>
          <w:sz w:val="32"/>
          <w:szCs w:val="32"/>
        </w:rPr>
        <w:t>1.92</w:t>
      </w:r>
      <w:r>
        <w:rPr>
          <w:rFonts w:eastAsia="仿宋_GB2312" w:cs="仿宋_GB2312" w:hint="eastAsia"/>
          <w:sz w:val="32"/>
          <w:szCs w:val="32"/>
        </w:rPr>
        <w:t>万元、公务接待费</w:t>
      </w:r>
      <w:r>
        <w:rPr>
          <w:rFonts w:eastAsia="仿宋_GB2312" w:cs="仿宋_GB2312" w:hint="eastAsia"/>
          <w:sz w:val="32"/>
          <w:szCs w:val="32"/>
        </w:rPr>
        <w:t>0.26</w:t>
      </w:r>
      <w:r>
        <w:rPr>
          <w:rFonts w:eastAsia="仿宋_GB2312" w:cs="仿宋_GB2312" w:hint="eastAsia"/>
          <w:sz w:val="32"/>
          <w:szCs w:val="32"/>
        </w:rPr>
        <w:t>万元、工会经费</w:t>
      </w:r>
      <w:r>
        <w:rPr>
          <w:rFonts w:eastAsia="仿宋_GB2312" w:cs="仿宋_GB2312" w:hint="eastAsia"/>
          <w:sz w:val="32"/>
          <w:szCs w:val="32"/>
        </w:rPr>
        <w:t>5.22</w:t>
      </w:r>
      <w:r>
        <w:rPr>
          <w:rFonts w:eastAsia="仿宋_GB2312" w:cs="仿宋_GB2312" w:hint="eastAsia"/>
          <w:sz w:val="32"/>
          <w:szCs w:val="32"/>
        </w:rPr>
        <w:t>万元、福利费</w:t>
      </w:r>
      <w:r>
        <w:rPr>
          <w:rFonts w:eastAsia="仿宋_GB2312" w:cs="仿宋_GB2312" w:hint="eastAsia"/>
          <w:sz w:val="32"/>
          <w:szCs w:val="32"/>
        </w:rPr>
        <w:t>7.91</w:t>
      </w:r>
      <w:r>
        <w:rPr>
          <w:rFonts w:eastAsia="仿宋_GB2312" w:cs="仿宋_GB2312" w:hint="eastAsia"/>
          <w:sz w:val="32"/>
          <w:szCs w:val="32"/>
        </w:rPr>
        <w:t>万元、公务用车运行维护费</w:t>
      </w:r>
      <w:r>
        <w:rPr>
          <w:rFonts w:eastAsia="仿宋_GB2312" w:cs="仿宋_GB2312" w:hint="eastAsia"/>
          <w:sz w:val="32"/>
          <w:szCs w:val="32"/>
        </w:rPr>
        <w:t>7.03</w:t>
      </w:r>
      <w:r>
        <w:rPr>
          <w:rFonts w:eastAsia="仿宋_GB2312" w:cs="仿宋_GB2312" w:hint="eastAsia"/>
          <w:sz w:val="32"/>
          <w:szCs w:val="32"/>
        </w:rPr>
        <w:t>万元、其他交通费</w:t>
      </w:r>
      <w:r>
        <w:rPr>
          <w:rFonts w:eastAsia="仿宋_GB2312" w:cs="仿宋_GB2312" w:hint="eastAsia"/>
          <w:sz w:val="32"/>
          <w:szCs w:val="32"/>
        </w:rPr>
        <w:t>13.65</w:t>
      </w:r>
      <w:r>
        <w:rPr>
          <w:rFonts w:eastAsia="仿宋_GB2312" w:cs="仿宋_GB2312" w:hint="eastAsia"/>
          <w:sz w:val="32"/>
          <w:szCs w:val="32"/>
        </w:rPr>
        <w:t>万元、其他商品和服务支出</w:t>
      </w:r>
      <w:r>
        <w:rPr>
          <w:rFonts w:eastAsia="仿宋_GB2312" w:cs="仿宋_GB2312" w:hint="eastAsia"/>
          <w:sz w:val="32"/>
          <w:szCs w:val="32"/>
        </w:rPr>
        <w:t>16.48</w:t>
      </w:r>
      <w:r>
        <w:rPr>
          <w:rFonts w:eastAsia="仿宋_GB2312" w:cs="仿宋_GB2312" w:hint="eastAsia"/>
          <w:sz w:val="32"/>
          <w:szCs w:val="32"/>
        </w:rPr>
        <w:t>万元、办公设备购置</w:t>
      </w:r>
      <w:r>
        <w:rPr>
          <w:rFonts w:eastAsia="仿宋_GB2312" w:cs="仿宋_GB2312" w:hint="eastAsia"/>
          <w:sz w:val="32"/>
          <w:szCs w:val="32"/>
        </w:rPr>
        <w:t>1.27</w:t>
      </w:r>
      <w:r>
        <w:rPr>
          <w:rFonts w:eastAsia="仿宋_GB2312" w:cs="仿宋_GB2312" w:hint="eastAsia"/>
          <w:sz w:val="32"/>
          <w:szCs w:val="32"/>
        </w:rPr>
        <w:t>万元等。</w:t>
      </w:r>
    </w:p>
    <w:p w:rsidR="00AB247A" w:rsidRDefault="00714F03">
      <w:pPr>
        <w:spacing w:line="600" w:lineRule="exact"/>
        <w:ind w:firstLine="640"/>
        <w:outlineLvl w:val="1"/>
        <w:rPr>
          <w:rStyle w:val="2Char"/>
          <w:rFonts w:ascii="Times New Roman" w:eastAsia="黑体" w:hAnsi="Times New Roman"/>
          <w:b w:val="0"/>
        </w:rPr>
      </w:pPr>
      <w:bookmarkStart w:id="46" w:name="_Toc15377215"/>
      <w:bookmarkStart w:id="47" w:name="_Toc15396609"/>
      <w:r>
        <w:rPr>
          <w:rFonts w:eastAsia="黑体" w:hint="eastAsia"/>
          <w:sz w:val="32"/>
          <w:szCs w:val="32"/>
        </w:rPr>
        <w:t>七、</w:t>
      </w:r>
      <w:r>
        <w:rPr>
          <w:rStyle w:val="2Char"/>
          <w:rFonts w:ascii="Times New Roman" w:eastAsia="黑体" w:hAnsi="Times New Roman" w:hint="eastAsia"/>
          <w:b w:val="0"/>
        </w:rPr>
        <w:t>财政拨款</w:t>
      </w:r>
      <w:r>
        <w:rPr>
          <w:rStyle w:val="2Char"/>
          <w:rFonts w:ascii="Times New Roman" w:eastAsia="黑体" w:hAnsi="Times New Roman" w:hint="eastAsia"/>
        </w:rPr>
        <w:t>“</w:t>
      </w:r>
      <w:r>
        <w:rPr>
          <w:rStyle w:val="2Char"/>
          <w:rFonts w:ascii="Times New Roman" w:eastAsia="黑体" w:hAnsi="Times New Roman" w:hint="eastAsia"/>
          <w:b w:val="0"/>
        </w:rPr>
        <w:t>三公”经费支出决算情况说明</w:t>
      </w:r>
      <w:bookmarkEnd w:id="46"/>
      <w:bookmarkEnd w:id="47"/>
    </w:p>
    <w:p w:rsidR="00AB247A" w:rsidRDefault="00714F03">
      <w:pPr>
        <w:spacing w:line="600" w:lineRule="exact"/>
        <w:ind w:firstLineChars="200" w:firstLine="643"/>
        <w:outlineLvl w:val="2"/>
        <w:rPr>
          <w:rFonts w:eastAsia="楷体_GB2312" w:cs="楷体_GB2312"/>
          <w:b/>
          <w:sz w:val="32"/>
          <w:szCs w:val="32"/>
        </w:rPr>
      </w:pPr>
      <w:bookmarkStart w:id="48" w:name="_Toc15377216"/>
      <w:r>
        <w:rPr>
          <w:rFonts w:eastAsia="楷体_GB2312" w:cs="楷体_GB2312" w:hint="eastAsia"/>
          <w:b/>
          <w:sz w:val="32"/>
          <w:szCs w:val="32"/>
        </w:rPr>
        <w:t>（一）“三公”经费财政拨款支出决算总体情况说明</w:t>
      </w:r>
      <w:bookmarkEnd w:id="48"/>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年度“三公”经费财政拨款支出决算为</w:t>
      </w:r>
      <w:r>
        <w:rPr>
          <w:rFonts w:eastAsia="仿宋_GB2312" w:cs="仿宋_GB2312" w:hint="eastAsia"/>
          <w:sz w:val="32"/>
          <w:szCs w:val="32"/>
        </w:rPr>
        <w:t>7.28</w:t>
      </w:r>
      <w:r>
        <w:rPr>
          <w:rFonts w:ascii="仿宋_GB2312" w:eastAsia="仿宋_GB2312" w:hAnsi="仿宋_GB2312" w:cs="仿宋_GB2312" w:hint="eastAsia"/>
          <w:sz w:val="32"/>
          <w:szCs w:val="32"/>
        </w:rPr>
        <w:t>万元，完成预算</w:t>
      </w:r>
      <w:r>
        <w:rPr>
          <w:rFonts w:eastAsia="仿宋_GB2312" w:cs="仿宋_GB2312" w:hint="eastAsia"/>
          <w:sz w:val="32"/>
          <w:szCs w:val="32"/>
        </w:rPr>
        <w:t>100</w:t>
      </w:r>
      <w:r>
        <w:rPr>
          <w:rFonts w:ascii="仿宋_GB2312" w:eastAsia="仿宋_GB2312" w:hAnsi="仿宋_GB2312" w:cs="仿宋_GB2312" w:hint="eastAsia"/>
          <w:sz w:val="32"/>
          <w:szCs w:val="32"/>
        </w:rPr>
        <w:t>%，</w:t>
      </w:r>
      <w:r>
        <w:rPr>
          <w:rFonts w:eastAsia="仿宋_GB2312" w:cs="仿宋_GB2312" w:hint="eastAsia"/>
          <w:sz w:val="32"/>
          <w:szCs w:val="32"/>
        </w:rPr>
        <w:t>较上年度增加</w:t>
      </w:r>
      <w:r>
        <w:rPr>
          <w:rFonts w:eastAsia="仿宋_GB2312" w:cs="仿宋_GB2312" w:hint="eastAsia"/>
          <w:sz w:val="32"/>
          <w:szCs w:val="32"/>
        </w:rPr>
        <w:t>2.3</w:t>
      </w:r>
      <w:r>
        <w:rPr>
          <w:rFonts w:eastAsia="仿宋_GB2312" w:cs="仿宋_GB2312" w:hint="eastAsia"/>
          <w:sz w:val="32"/>
          <w:szCs w:val="32"/>
        </w:rPr>
        <w:t>万元，增长</w:t>
      </w:r>
      <w:r>
        <w:rPr>
          <w:rFonts w:eastAsia="仿宋_GB2312" w:cs="仿宋_GB2312" w:hint="eastAsia"/>
          <w:sz w:val="32"/>
          <w:szCs w:val="32"/>
        </w:rPr>
        <w:t>46.18%</w:t>
      </w:r>
      <w:r>
        <w:rPr>
          <w:rFonts w:eastAsia="仿宋_GB2312" w:cs="仿宋_GB2312" w:hint="eastAsia"/>
          <w:sz w:val="32"/>
          <w:szCs w:val="32"/>
        </w:rPr>
        <w:t>。决算数与预算数持平。增长的主要原因是</w:t>
      </w:r>
      <w:r>
        <w:rPr>
          <w:rFonts w:ascii="仿宋_GB2312" w:eastAsia="仿宋_GB2312" w:hAnsi="仿宋_GB2312" w:cs="仿宋_GB2312" w:hint="eastAsia"/>
          <w:sz w:val="32"/>
          <w:szCs w:val="32"/>
        </w:rPr>
        <w:t>公务用车购置及运行维护费增加。</w:t>
      </w:r>
    </w:p>
    <w:p w:rsidR="00AB247A" w:rsidRDefault="00714F03">
      <w:pPr>
        <w:spacing w:line="600" w:lineRule="exact"/>
        <w:ind w:firstLineChars="200" w:firstLine="643"/>
        <w:outlineLvl w:val="2"/>
        <w:rPr>
          <w:rFonts w:eastAsia="楷体_GB2312" w:cs="楷体_GB2312"/>
          <w:b/>
          <w:sz w:val="32"/>
          <w:szCs w:val="32"/>
        </w:rPr>
      </w:pPr>
      <w:bookmarkStart w:id="49" w:name="_Toc15377217"/>
      <w:r>
        <w:rPr>
          <w:rFonts w:eastAsia="楷体_GB2312" w:cs="楷体_GB2312" w:hint="eastAsia"/>
          <w:b/>
          <w:sz w:val="32"/>
          <w:szCs w:val="32"/>
        </w:rPr>
        <w:t>（二）“三公”经费财政拨款支出决算具体情况说明</w:t>
      </w:r>
      <w:bookmarkEnd w:id="49"/>
    </w:p>
    <w:p w:rsidR="00AB247A" w:rsidRDefault="00714F03">
      <w:pPr>
        <w:spacing w:line="600" w:lineRule="exact"/>
        <w:ind w:firstLine="640"/>
        <w:rPr>
          <w:rFonts w:ascii="仿宋" w:eastAsia="仿宋" w:hAnsi="仿宋"/>
          <w:b/>
          <w:sz w:val="32"/>
          <w:szCs w:val="32"/>
        </w:rPr>
      </w:pPr>
      <w:r>
        <w:rPr>
          <w:rFonts w:ascii="仿宋_GB2312" w:eastAsia="仿宋_GB2312" w:hAnsi="仿宋_GB2312" w:cs="仿宋_GB2312" w:hint="eastAsia"/>
          <w:sz w:val="32"/>
          <w:szCs w:val="32"/>
        </w:rPr>
        <w:t>2024年度“三公”经费财政拨款支出决算中，因公出国（境）费支出决算0万元，占0%；公务用车购置及运行维护费支出决算</w:t>
      </w:r>
      <w:r>
        <w:rPr>
          <w:rFonts w:eastAsia="仿宋_GB2312" w:cs="仿宋_GB2312" w:hint="eastAsia"/>
          <w:sz w:val="32"/>
          <w:szCs w:val="32"/>
        </w:rPr>
        <w:t>7.03</w:t>
      </w:r>
      <w:r>
        <w:rPr>
          <w:rFonts w:ascii="仿宋_GB2312" w:eastAsia="仿宋_GB2312" w:hAnsi="仿宋_GB2312" w:cs="仿宋_GB2312" w:hint="eastAsia"/>
          <w:sz w:val="32"/>
          <w:szCs w:val="32"/>
        </w:rPr>
        <w:t>万元，占96.56%；公务接待费支出决算</w:t>
      </w:r>
      <w:r>
        <w:rPr>
          <w:rFonts w:eastAsia="仿宋_GB2312" w:cs="仿宋_GB2312" w:hint="eastAsia"/>
          <w:sz w:val="32"/>
          <w:szCs w:val="32"/>
        </w:rPr>
        <w:t>0.26</w:t>
      </w:r>
      <w:r>
        <w:rPr>
          <w:rFonts w:ascii="仿宋_GB2312" w:eastAsia="仿宋_GB2312" w:hAnsi="仿宋_GB2312" w:cs="仿宋_GB2312" w:hint="eastAsia"/>
          <w:sz w:val="32"/>
          <w:szCs w:val="32"/>
        </w:rPr>
        <w:t>万元，占3.44%。具体情况如下：</w:t>
      </w:r>
    </w:p>
    <w:p w:rsidR="00AB247A" w:rsidRDefault="00AB247A"/>
    <w:p w:rsidR="00AB247A" w:rsidRDefault="00714F03">
      <w:pPr>
        <w:pStyle w:val="20"/>
        <w:ind w:leftChars="0" w:left="0" w:firstLineChars="0" w:firstLine="0"/>
      </w:pPr>
      <w:r>
        <w:rPr>
          <w:noProof/>
        </w:rPr>
        <w:drawing>
          <wp:inline distT="0" distB="0" distL="0" distR="0">
            <wp:extent cx="5274310" cy="2914650"/>
            <wp:effectExtent l="19050" t="0" r="2540" b="0"/>
            <wp:docPr id="1" name="图片 1" descr="I:\财务\2025年财务\其他资料及日常工作\10.10开展2024年部门决算公开的通知（乐中财政库〔2025〕8号）\截图\有度即时通2025101616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财务\2025年财务\其他资料及日常工作\10.10开展2024年部门决算公开的通知（乐中财政库〔2025〕8号）\截图\有度即时通20251016162720.png"/>
                    <pic:cNvPicPr>
                      <a:picLocks noChangeAspect="1" noChangeArrowheads="1"/>
                    </pic:cNvPicPr>
                  </pic:nvPicPr>
                  <pic:blipFill>
                    <a:blip r:embed="rId17"/>
                    <a:srcRect/>
                    <a:stretch>
                      <a:fillRect/>
                    </a:stretch>
                  </pic:blipFill>
                  <pic:spPr>
                    <a:xfrm>
                      <a:off x="0" y="0"/>
                      <a:ext cx="5274310" cy="2914650"/>
                    </a:xfrm>
                    <a:prstGeom prst="rect">
                      <a:avLst/>
                    </a:prstGeom>
                    <a:noFill/>
                    <a:ln w="9525">
                      <a:noFill/>
                      <a:miter lim="800000"/>
                      <a:headEnd/>
                      <a:tailEnd/>
                    </a:ln>
                  </pic:spPr>
                </pic:pic>
              </a:graphicData>
            </a:graphic>
          </wp:inline>
        </w:drawing>
      </w:r>
    </w:p>
    <w:p w:rsidR="00AB247A" w:rsidRDefault="00714F03">
      <w:pPr>
        <w:spacing w:line="600" w:lineRule="exact"/>
        <w:ind w:firstLine="640"/>
        <w:rPr>
          <w:rFonts w:eastAsia="仿宋_GB2312" w:cs="仿宋_GB2312"/>
          <w:sz w:val="32"/>
          <w:szCs w:val="32"/>
        </w:rPr>
      </w:pPr>
      <w:r>
        <w:rPr>
          <w:rFonts w:eastAsia="仿宋_GB2312" w:cs="仿宋_GB2312" w:hint="eastAsia"/>
          <w:b/>
          <w:bCs/>
          <w:sz w:val="32"/>
          <w:szCs w:val="32"/>
        </w:rPr>
        <w:lastRenderedPageBreak/>
        <w:t>1.</w:t>
      </w:r>
      <w:r>
        <w:rPr>
          <w:rFonts w:eastAsia="仿宋_GB2312" w:cs="仿宋_GB2312" w:hint="eastAsia"/>
          <w:b/>
          <w:bCs/>
          <w:sz w:val="32"/>
          <w:szCs w:val="32"/>
        </w:rPr>
        <w:t>因公出国（境）经费支出</w:t>
      </w:r>
      <w:r>
        <w:rPr>
          <w:rFonts w:eastAsia="仿宋_GB2312" w:cs="仿宋_GB2312" w:hint="eastAsia"/>
          <w:b/>
          <w:bCs/>
          <w:sz w:val="32"/>
          <w:szCs w:val="32"/>
        </w:rPr>
        <w:t>0</w:t>
      </w:r>
      <w:r>
        <w:rPr>
          <w:rFonts w:eastAsia="仿宋_GB2312" w:cs="仿宋_GB2312" w:hint="eastAsia"/>
          <w:b/>
          <w:bCs/>
          <w:sz w:val="32"/>
          <w:szCs w:val="32"/>
        </w:rPr>
        <w:t>万元，完成预算</w:t>
      </w:r>
      <w:r>
        <w:rPr>
          <w:rFonts w:eastAsia="仿宋_GB2312" w:cs="仿宋_GB2312" w:hint="eastAsia"/>
          <w:b/>
          <w:bCs/>
          <w:sz w:val="32"/>
          <w:szCs w:val="32"/>
        </w:rPr>
        <w:t>0%</w:t>
      </w:r>
      <w:r>
        <w:rPr>
          <w:rFonts w:eastAsia="仿宋_GB2312" w:cs="仿宋_GB2312" w:hint="eastAsia"/>
          <w:b/>
          <w:bCs/>
          <w:sz w:val="32"/>
          <w:szCs w:val="32"/>
        </w:rPr>
        <w:t>。</w:t>
      </w:r>
      <w:r>
        <w:rPr>
          <w:rFonts w:eastAsia="仿宋_GB2312" w:cs="仿宋_GB2312" w:hint="eastAsia"/>
          <w:sz w:val="32"/>
          <w:szCs w:val="32"/>
        </w:rPr>
        <w:t>全年安排因公出国（境）团</w:t>
      </w:r>
      <w:r>
        <w:rPr>
          <w:rFonts w:ascii="仿宋_GB2312" w:eastAsia="仿宋_GB2312" w:hAnsi="仿宋_GB2312" w:cs="仿宋_GB2312" w:hint="eastAsia"/>
          <w:sz w:val="32"/>
          <w:szCs w:val="32"/>
        </w:rPr>
        <w:t>组0</w:t>
      </w:r>
      <w:r>
        <w:rPr>
          <w:rFonts w:eastAsia="仿宋_GB2312" w:cs="仿宋_GB2312" w:hint="eastAsia"/>
          <w:sz w:val="32"/>
          <w:szCs w:val="32"/>
        </w:rPr>
        <w:t>次，出国（境）</w:t>
      </w:r>
      <w:r>
        <w:rPr>
          <w:rFonts w:ascii="仿宋_GB2312" w:eastAsia="仿宋_GB2312" w:hAnsi="仿宋_GB2312" w:cs="仿宋_GB2312" w:hint="eastAsia"/>
          <w:sz w:val="32"/>
          <w:szCs w:val="32"/>
        </w:rPr>
        <w:t>0人</w:t>
      </w:r>
      <w:r>
        <w:rPr>
          <w:rFonts w:eastAsia="仿宋_GB2312" w:cs="仿宋_GB2312" w:hint="eastAsia"/>
          <w:sz w:val="32"/>
          <w:szCs w:val="32"/>
        </w:rPr>
        <w:t>。因公出国（境）支出决算与</w:t>
      </w:r>
      <w:r>
        <w:rPr>
          <w:rFonts w:eastAsia="仿宋_GB2312" w:cs="仿宋_GB2312" w:hint="eastAsia"/>
          <w:sz w:val="32"/>
          <w:szCs w:val="32"/>
        </w:rPr>
        <w:t>2023</w:t>
      </w:r>
      <w:r>
        <w:rPr>
          <w:rFonts w:eastAsia="仿宋_GB2312" w:cs="仿宋_GB2312" w:hint="eastAsia"/>
          <w:sz w:val="32"/>
          <w:szCs w:val="32"/>
        </w:rPr>
        <w:t>年持平。</w:t>
      </w:r>
    </w:p>
    <w:p w:rsidR="00AB247A" w:rsidRDefault="00714F03">
      <w:pPr>
        <w:spacing w:line="600" w:lineRule="exact"/>
        <w:ind w:firstLine="640"/>
        <w:rPr>
          <w:rFonts w:eastAsia="仿宋_GB2312" w:cs="仿宋_GB2312"/>
          <w:sz w:val="32"/>
          <w:szCs w:val="32"/>
        </w:rPr>
      </w:pPr>
      <w:r>
        <w:rPr>
          <w:rFonts w:eastAsia="仿宋_GB2312" w:cs="仿宋_GB2312" w:hint="eastAsia"/>
          <w:b/>
          <w:bCs/>
          <w:sz w:val="32"/>
          <w:szCs w:val="32"/>
        </w:rPr>
        <w:t>2.</w:t>
      </w:r>
      <w:r>
        <w:rPr>
          <w:rFonts w:eastAsia="仿宋_GB2312" w:cs="仿宋_GB2312" w:hint="eastAsia"/>
          <w:b/>
          <w:bCs/>
          <w:sz w:val="32"/>
          <w:szCs w:val="32"/>
        </w:rPr>
        <w:t>公务用车购置及运行维护费支出</w:t>
      </w:r>
      <w:r>
        <w:rPr>
          <w:rFonts w:eastAsia="仿宋_GB2312" w:cs="仿宋_GB2312" w:hint="eastAsia"/>
          <w:sz w:val="32"/>
          <w:szCs w:val="32"/>
        </w:rPr>
        <w:t>7.03</w:t>
      </w:r>
      <w:r>
        <w:rPr>
          <w:rFonts w:ascii="仿宋_GB2312" w:eastAsia="仿宋_GB2312" w:hAnsi="仿宋_GB2312" w:cs="仿宋_GB2312" w:hint="eastAsia"/>
          <w:b/>
          <w:bCs/>
          <w:sz w:val="32"/>
          <w:szCs w:val="32"/>
        </w:rPr>
        <w:t>万</w:t>
      </w:r>
      <w:r>
        <w:rPr>
          <w:rFonts w:eastAsia="仿宋_GB2312" w:cs="仿宋_GB2312" w:hint="eastAsia"/>
          <w:b/>
          <w:bCs/>
          <w:sz w:val="32"/>
          <w:szCs w:val="32"/>
        </w:rPr>
        <w:t>元，完成预算</w:t>
      </w:r>
      <w:r>
        <w:rPr>
          <w:rFonts w:eastAsia="仿宋_GB2312" w:cs="仿宋_GB2312" w:hint="eastAsia"/>
          <w:b/>
          <w:bCs/>
          <w:sz w:val="32"/>
          <w:szCs w:val="32"/>
        </w:rPr>
        <w:t>100%</w:t>
      </w:r>
      <w:r>
        <w:rPr>
          <w:rFonts w:eastAsia="仿宋_GB2312" w:cs="仿宋_GB2312" w:hint="eastAsia"/>
          <w:b/>
          <w:bCs/>
          <w:sz w:val="32"/>
          <w:szCs w:val="32"/>
        </w:rPr>
        <w:t>。</w:t>
      </w:r>
      <w:r>
        <w:rPr>
          <w:rFonts w:eastAsia="仿宋_GB2312" w:cs="仿宋_GB2312" w:hint="eastAsia"/>
          <w:sz w:val="32"/>
          <w:szCs w:val="32"/>
        </w:rPr>
        <w:t>公务用车购置及运行维护费支出决算比</w:t>
      </w:r>
      <w:r>
        <w:rPr>
          <w:rFonts w:eastAsia="仿宋_GB2312" w:cs="仿宋_GB2312" w:hint="eastAsia"/>
          <w:sz w:val="32"/>
          <w:szCs w:val="32"/>
        </w:rPr>
        <w:t>2023</w:t>
      </w:r>
      <w:r>
        <w:rPr>
          <w:rFonts w:eastAsia="仿宋_GB2312" w:cs="仿宋_GB2312" w:hint="eastAsia"/>
          <w:sz w:val="32"/>
          <w:szCs w:val="32"/>
        </w:rPr>
        <w:t>年度增加</w:t>
      </w:r>
      <w:r>
        <w:rPr>
          <w:rFonts w:eastAsia="仿宋_GB2312" w:cs="仿宋_GB2312" w:hint="eastAsia"/>
          <w:sz w:val="32"/>
          <w:szCs w:val="32"/>
        </w:rPr>
        <w:t>2.69</w:t>
      </w:r>
      <w:r>
        <w:rPr>
          <w:rFonts w:eastAsia="仿宋_GB2312" w:cs="仿宋_GB2312" w:hint="eastAsia"/>
          <w:sz w:val="32"/>
          <w:szCs w:val="32"/>
        </w:rPr>
        <w:t>万元，增长</w:t>
      </w:r>
      <w:r>
        <w:rPr>
          <w:rFonts w:eastAsia="仿宋_GB2312" w:cs="仿宋_GB2312" w:hint="eastAsia"/>
          <w:sz w:val="32"/>
          <w:szCs w:val="32"/>
        </w:rPr>
        <w:t>61.98%</w:t>
      </w:r>
      <w:r>
        <w:rPr>
          <w:rFonts w:eastAsia="仿宋_GB2312" w:cs="仿宋_GB2312" w:hint="eastAsia"/>
          <w:sz w:val="32"/>
          <w:szCs w:val="32"/>
        </w:rPr>
        <w:t>。主要原因是公务车购置年限较长，维修成本增加。</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其中：公务用车购置支</w:t>
      </w:r>
      <w:r>
        <w:rPr>
          <w:rFonts w:ascii="仿宋_GB2312" w:eastAsia="仿宋_GB2312" w:hAnsi="仿宋_GB2312" w:cs="仿宋_GB2312" w:hint="eastAsia"/>
          <w:sz w:val="32"/>
          <w:szCs w:val="32"/>
        </w:rPr>
        <w:t>出0万元</w:t>
      </w:r>
      <w:r>
        <w:rPr>
          <w:rFonts w:eastAsia="仿宋_GB2312" w:cs="仿宋_GB2312" w:hint="eastAsia"/>
          <w:sz w:val="32"/>
          <w:szCs w:val="32"/>
        </w:rPr>
        <w:t>。全年按规定更新购置公务用车</w:t>
      </w:r>
      <w:r>
        <w:rPr>
          <w:rFonts w:eastAsia="仿宋_GB2312" w:cs="仿宋_GB2312" w:hint="eastAsia"/>
          <w:sz w:val="32"/>
          <w:szCs w:val="32"/>
        </w:rPr>
        <w:t>0</w:t>
      </w:r>
      <w:r>
        <w:rPr>
          <w:rFonts w:eastAsia="仿宋_GB2312" w:cs="仿宋_GB2312" w:hint="eastAsia"/>
          <w:sz w:val="32"/>
          <w:szCs w:val="32"/>
        </w:rPr>
        <w:t>辆，其中：轿车</w:t>
      </w:r>
      <w:r>
        <w:rPr>
          <w:rFonts w:eastAsia="仿宋_GB2312" w:cs="仿宋_GB2312" w:hint="eastAsia"/>
          <w:sz w:val="32"/>
          <w:szCs w:val="32"/>
        </w:rPr>
        <w:t>0</w:t>
      </w:r>
      <w:r>
        <w:rPr>
          <w:rFonts w:eastAsia="仿宋_GB2312" w:cs="仿宋_GB2312" w:hint="eastAsia"/>
          <w:sz w:val="32"/>
          <w:szCs w:val="32"/>
        </w:rPr>
        <w:t>辆、金额</w:t>
      </w:r>
      <w:r>
        <w:rPr>
          <w:rFonts w:eastAsia="仿宋_GB2312" w:cs="仿宋_GB2312" w:hint="eastAsia"/>
          <w:sz w:val="32"/>
          <w:szCs w:val="32"/>
        </w:rPr>
        <w:t>0</w:t>
      </w:r>
      <w:r>
        <w:rPr>
          <w:rFonts w:eastAsia="仿宋_GB2312" w:cs="仿宋_GB2312" w:hint="eastAsia"/>
          <w:sz w:val="32"/>
          <w:szCs w:val="32"/>
        </w:rPr>
        <w:t>万元，越野车</w:t>
      </w:r>
      <w:r>
        <w:rPr>
          <w:rFonts w:eastAsia="仿宋_GB2312" w:cs="仿宋_GB2312" w:hint="eastAsia"/>
          <w:sz w:val="32"/>
          <w:szCs w:val="32"/>
        </w:rPr>
        <w:t>0</w:t>
      </w:r>
      <w:r>
        <w:rPr>
          <w:rFonts w:eastAsia="仿宋_GB2312" w:cs="仿宋_GB2312" w:hint="eastAsia"/>
          <w:sz w:val="32"/>
          <w:szCs w:val="32"/>
        </w:rPr>
        <w:t>辆、金额</w:t>
      </w:r>
      <w:r>
        <w:rPr>
          <w:rFonts w:eastAsia="仿宋_GB2312" w:cs="仿宋_GB2312" w:hint="eastAsia"/>
          <w:sz w:val="32"/>
          <w:szCs w:val="32"/>
        </w:rPr>
        <w:t>0</w:t>
      </w:r>
      <w:r>
        <w:rPr>
          <w:rFonts w:eastAsia="仿宋_GB2312" w:cs="仿宋_GB2312" w:hint="eastAsia"/>
          <w:sz w:val="32"/>
          <w:szCs w:val="32"/>
        </w:rPr>
        <w:t>万元，载客汽车</w:t>
      </w:r>
      <w:r>
        <w:rPr>
          <w:rFonts w:eastAsia="仿宋_GB2312" w:cs="仿宋_GB2312" w:hint="eastAsia"/>
          <w:sz w:val="32"/>
          <w:szCs w:val="32"/>
        </w:rPr>
        <w:t>0</w:t>
      </w:r>
      <w:r>
        <w:rPr>
          <w:rFonts w:eastAsia="仿宋_GB2312" w:cs="仿宋_GB2312" w:hint="eastAsia"/>
          <w:sz w:val="32"/>
          <w:szCs w:val="32"/>
        </w:rPr>
        <w:t>辆、金额</w:t>
      </w:r>
      <w:r>
        <w:rPr>
          <w:rFonts w:eastAsia="仿宋_GB2312" w:cs="仿宋_GB2312" w:hint="eastAsia"/>
          <w:sz w:val="32"/>
          <w:szCs w:val="32"/>
        </w:rPr>
        <w:t>0</w:t>
      </w:r>
      <w:r>
        <w:rPr>
          <w:rFonts w:eastAsia="仿宋_GB2312" w:cs="仿宋_GB2312" w:hint="eastAsia"/>
          <w:sz w:val="32"/>
          <w:szCs w:val="32"/>
        </w:rPr>
        <w:t>万元。截至</w:t>
      </w:r>
      <w:r>
        <w:rPr>
          <w:rFonts w:eastAsia="仿宋_GB2312" w:cs="仿宋_GB2312" w:hint="eastAsia"/>
          <w:sz w:val="32"/>
          <w:szCs w:val="32"/>
        </w:rPr>
        <w:t>2024</w:t>
      </w:r>
      <w:r>
        <w:rPr>
          <w:rFonts w:eastAsia="仿宋_GB2312" w:cs="仿宋_GB2312" w:hint="eastAsia"/>
          <w:sz w:val="32"/>
          <w:szCs w:val="32"/>
        </w:rPr>
        <w:t>年</w:t>
      </w:r>
      <w:r>
        <w:rPr>
          <w:rFonts w:eastAsia="仿宋_GB2312" w:cs="仿宋_GB2312" w:hint="eastAsia"/>
          <w:sz w:val="32"/>
          <w:szCs w:val="32"/>
        </w:rPr>
        <w:t>12</w:t>
      </w:r>
      <w:r>
        <w:rPr>
          <w:rFonts w:eastAsia="仿宋_GB2312" w:cs="仿宋_GB2312" w:hint="eastAsia"/>
          <w:sz w:val="32"/>
          <w:szCs w:val="32"/>
        </w:rPr>
        <w:t>月</w:t>
      </w:r>
      <w:r>
        <w:rPr>
          <w:rFonts w:eastAsia="仿宋_GB2312" w:cs="仿宋_GB2312" w:hint="eastAsia"/>
          <w:sz w:val="32"/>
          <w:szCs w:val="32"/>
        </w:rPr>
        <w:t>31</w:t>
      </w:r>
      <w:r>
        <w:rPr>
          <w:rFonts w:eastAsia="仿宋_GB2312" w:cs="仿宋_GB2312" w:hint="eastAsia"/>
          <w:sz w:val="32"/>
          <w:szCs w:val="32"/>
        </w:rPr>
        <w:t>日，单位共有公务用车</w:t>
      </w:r>
      <w:r>
        <w:rPr>
          <w:rFonts w:eastAsia="仿宋_GB2312" w:cs="仿宋_GB2312" w:hint="eastAsia"/>
          <w:sz w:val="32"/>
          <w:szCs w:val="32"/>
        </w:rPr>
        <w:t>2</w:t>
      </w:r>
      <w:r>
        <w:rPr>
          <w:rFonts w:eastAsia="仿宋_GB2312" w:cs="仿宋_GB2312" w:hint="eastAsia"/>
          <w:sz w:val="32"/>
          <w:szCs w:val="32"/>
        </w:rPr>
        <w:t>辆，其中：轿车</w:t>
      </w:r>
      <w:r>
        <w:rPr>
          <w:rFonts w:eastAsia="仿宋_GB2312" w:cs="仿宋_GB2312" w:hint="eastAsia"/>
          <w:sz w:val="32"/>
          <w:szCs w:val="32"/>
        </w:rPr>
        <w:t>2</w:t>
      </w:r>
      <w:r>
        <w:rPr>
          <w:rFonts w:eastAsia="仿宋_GB2312" w:cs="仿宋_GB2312" w:hint="eastAsia"/>
          <w:sz w:val="32"/>
          <w:szCs w:val="32"/>
        </w:rPr>
        <w:t>辆、越野车</w:t>
      </w:r>
      <w:r>
        <w:rPr>
          <w:rFonts w:eastAsia="仿宋_GB2312" w:cs="仿宋_GB2312" w:hint="eastAsia"/>
          <w:sz w:val="32"/>
          <w:szCs w:val="32"/>
        </w:rPr>
        <w:t>0</w:t>
      </w:r>
      <w:r>
        <w:rPr>
          <w:rFonts w:eastAsia="仿宋_GB2312" w:cs="仿宋_GB2312" w:hint="eastAsia"/>
          <w:sz w:val="32"/>
          <w:szCs w:val="32"/>
        </w:rPr>
        <w:t>辆、载客汽车</w:t>
      </w:r>
      <w:r>
        <w:rPr>
          <w:rFonts w:eastAsia="仿宋_GB2312" w:cs="仿宋_GB2312" w:hint="eastAsia"/>
          <w:sz w:val="32"/>
          <w:szCs w:val="32"/>
        </w:rPr>
        <w:t>0</w:t>
      </w:r>
      <w:r>
        <w:rPr>
          <w:rFonts w:eastAsia="仿宋_GB2312" w:cs="仿宋_GB2312" w:hint="eastAsia"/>
          <w:sz w:val="32"/>
          <w:szCs w:val="32"/>
        </w:rPr>
        <w:t>辆。</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公务用车运行维护费支</w:t>
      </w:r>
      <w:r>
        <w:rPr>
          <w:rFonts w:ascii="仿宋_GB2312" w:eastAsia="仿宋_GB2312" w:hAnsi="仿宋_GB2312" w:cs="仿宋_GB2312" w:hint="eastAsia"/>
          <w:sz w:val="32"/>
          <w:szCs w:val="32"/>
        </w:rPr>
        <w:t>出</w:t>
      </w:r>
      <w:r>
        <w:rPr>
          <w:rFonts w:eastAsia="仿宋_GB2312" w:cs="仿宋_GB2312" w:hint="eastAsia"/>
          <w:sz w:val="32"/>
          <w:szCs w:val="32"/>
        </w:rPr>
        <w:t>7.03</w:t>
      </w:r>
      <w:r>
        <w:rPr>
          <w:rFonts w:eastAsia="仿宋_GB2312" w:cs="仿宋_GB2312" w:hint="eastAsia"/>
          <w:sz w:val="32"/>
          <w:szCs w:val="32"/>
        </w:rPr>
        <w:t>万元。主要用于所需的公务用车燃料费、维修费、保险费等支出。</w:t>
      </w:r>
    </w:p>
    <w:p w:rsidR="00AB247A" w:rsidRDefault="00714F03">
      <w:pPr>
        <w:spacing w:line="600" w:lineRule="exact"/>
        <w:ind w:firstLine="640"/>
        <w:rPr>
          <w:rFonts w:eastAsia="仿宋_GB2312" w:cs="仿宋_GB2312"/>
          <w:sz w:val="32"/>
          <w:szCs w:val="32"/>
        </w:rPr>
      </w:pPr>
      <w:r>
        <w:rPr>
          <w:rFonts w:eastAsia="仿宋_GB2312" w:cs="仿宋_GB2312" w:hint="eastAsia"/>
          <w:b/>
          <w:bCs/>
          <w:sz w:val="32"/>
          <w:szCs w:val="32"/>
        </w:rPr>
        <w:t>3.</w:t>
      </w:r>
      <w:r>
        <w:rPr>
          <w:rFonts w:eastAsia="仿宋_GB2312" w:cs="仿宋_GB2312" w:hint="eastAsia"/>
          <w:b/>
          <w:bCs/>
          <w:sz w:val="32"/>
          <w:szCs w:val="32"/>
        </w:rPr>
        <w:t>公务接待费支出</w:t>
      </w:r>
      <w:r>
        <w:rPr>
          <w:rFonts w:eastAsia="仿宋_GB2312" w:cs="仿宋_GB2312" w:hint="eastAsia"/>
          <w:sz w:val="32"/>
          <w:szCs w:val="32"/>
        </w:rPr>
        <w:t>0.26</w:t>
      </w:r>
      <w:r>
        <w:rPr>
          <w:rFonts w:ascii="仿宋_GB2312" w:eastAsia="仿宋_GB2312" w:hAnsi="仿宋_GB2312" w:cs="仿宋_GB2312" w:hint="eastAsia"/>
          <w:b/>
          <w:bCs/>
          <w:sz w:val="32"/>
          <w:szCs w:val="32"/>
        </w:rPr>
        <w:t>万</w:t>
      </w:r>
      <w:r>
        <w:rPr>
          <w:rFonts w:eastAsia="仿宋_GB2312" w:cs="仿宋_GB2312" w:hint="eastAsia"/>
          <w:b/>
          <w:bCs/>
          <w:sz w:val="32"/>
          <w:szCs w:val="32"/>
        </w:rPr>
        <w:t>元，完成预算</w:t>
      </w:r>
      <w:r>
        <w:rPr>
          <w:rFonts w:eastAsia="仿宋_GB2312" w:cs="仿宋_GB2312" w:hint="eastAsia"/>
          <w:b/>
          <w:bCs/>
          <w:sz w:val="32"/>
          <w:szCs w:val="32"/>
        </w:rPr>
        <w:t>100%</w:t>
      </w:r>
      <w:r>
        <w:rPr>
          <w:rFonts w:eastAsia="仿宋_GB2312" w:cs="仿宋_GB2312" w:hint="eastAsia"/>
          <w:b/>
          <w:bCs/>
          <w:sz w:val="32"/>
          <w:szCs w:val="32"/>
        </w:rPr>
        <w:t>。</w:t>
      </w:r>
      <w:r>
        <w:rPr>
          <w:rFonts w:eastAsia="仿宋_GB2312" w:cs="仿宋_GB2312" w:hint="eastAsia"/>
          <w:sz w:val="32"/>
          <w:szCs w:val="32"/>
        </w:rPr>
        <w:t>公务接待费支出决算比</w:t>
      </w:r>
      <w:r>
        <w:rPr>
          <w:rFonts w:eastAsia="仿宋_GB2312" w:cs="仿宋_GB2312" w:hint="eastAsia"/>
          <w:sz w:val="32"/>
          <w:szCs w:val="32"/>
        </w:rPr>
        <w:t>2023</w:t>
      </w:r>
      <w:r>
        <w:rPr>
          <w:rFonts w:eastAsia="仿宋_GB2312" w:cs="仿宋_GB2312" w:hint="eastAsia"/>
          <w:sz w:val="32"/>
          <w:szCs w:val="32"/>
        </w:rPr>
        <w:t>年度减少</w:t>
      </w:r>
      <w:r>
        <w:rPr>
          <w:rFonts w:eastAsia="仿宋_GB2312" w:cs="仿宋_GB2312" w:hint="eastAsia"/>
          <w:sz w:val="32"/>
          <w:szCs w:val="32"/>
        </w:rPr>
        <w:t>0.38</w:t>
      </w:r>
      <w:r>
        <w:rPr>
          <w:rFonts w:eastAsia="仿宋_GB2312" w:cs="仿宋_GB2312" w:hint="eastAsia"/>
          <w:sz w:val="32"/>
          <w:szCs w:val="32"/>
        </w:rPr>
        <w:t>万元，下降</w:t>
      </w:r>
      <w:r>
        <w:rPr>
          <w:rFonts w:eastAsia="仿宋_GB2312" w:cs="仿宋_GB2312" w:hint="eastAsia"/>
          <w:sz w:val="32"/>
          <w:szCs w:val="32"/>
        </w:rPr>
        <w:t>29.37%</w:t>
      </w:r>
      <w:r>
        <w:rPr>
          <w:rFonts w:eastAsia="仿宋_GB2312" w:cs="仿宋_GB2312" w:hint="eastAsia"/>
          <w:sz w:val="32"/>
          <w:szCs w:val="32"/>
        </w:rPr>
        <w:t>。主要原因是公务接待批次减少。其中：</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国内公务接待支</w:t>
      </w:r>
      <w:r>
        <w:rPr>
          <w:rFonts w:ascii="仿宋_GB2312" w:eastAsia="仿宋_GB2312" w:hAnsi="仿宋_GB2312" w:cs="仿宋_GB2312" w:hint="eastAsia"/>
          <w:sz w:val="32"/>
          <w:szCs w:val="32"/>
        </w:rPr>
        <w:t>出</w:t>
      </w:r>
      <w:r>
        <w:rPr>
          <w:rFonts w:eastAsia="仿宋_GB2312" w:cs="仿宋_GB2312" w:hint="eastAsia"/>
          <w:sz w:val="32"/>
          <w:szCs w:val="32"/>
        </w:rPr>
        <w:t>0.26</w:t>
      </w:r>
      <w:r>
        <w:rPr>
          <w:rFonts w:ascii="仿宋_GB2312" w:eastAsia="仿宋_GB2312" w:hAnsi="仿宋_GB2312" w:cs="仿宋_GB2312" w:hint="eastAsia"/>
          <w:sz w:val="32"/>
          <w:szCs w:val="32"/>
        </w:rPr>
        <w:t>万</w:t>
      </w:r>
      <w:r>
        <w:rPr>
          <w:rFonts w:eastAsia="仿宋_GB2312" w:cs="仿宋_GB2312" w:hint="eastAsia"/>
          <w:sz w:val="32"/>
          <w:szCs w:val="32"/>
        </w:rPr>
        <w:t>元，主要用于</w:t>
      </w:r>
      <w:r>
        <w:rPr>
          <w:rFonts w:ascii="仿宋_GB2312" w:eastAsia="仿宋_GB2312" w:hint="eastAsia"/>
          <w:sz w:val="32"/>
          <w:szCs w:val="32"/>
        </w:rPr>
        <w:t>马边烟峰镇政府一行考察调研荔枝湾村公务接待</w:t>
      </w:r>
      <w:r>
        <w:rPr>
          <w:rFonts w:eastAsia="仿宋_GB2312" w:cs="仿宋_GB2312" w:hint="eastAsia"/>
          <w:sz w:val="32"/>
          <w:szCs w:val="32"/>
        </w:rPr>
        <w:t>。国内公务接</w:t>
      </w:r>
      <w:r>
        <w:rPr>
          <w:rFonts w:ascii="仿宋_GB2312" w:eastAsia="仿宋_GB2312" w:hAnsi="仿宋_GB2312" w:cs="仿宋_GB2312" w:hint="eastAsia"/>
          <w:sz w:val="32"/>
          <w:szCs w:val="32"/>
        </w:rPr>
        <w:t>待</w:t>
      </w:r>
      <w:r>
        <w:rPr>
          <w:rFonts w:eastAsia="仿宋_GB2312" w:cs="仿宋_GB2312" w:hint="eastAsia"/>
          <w:sz w:val="32"/>
          <w:szCs w:val="32"/>
        </w:rPr>
        <w:t>1</w:t>
      </w:r>
      <w:r>
        <w:rPr>
          <w:rFonts w:ascii="仿宋_GB2312" w:eastAsia="仿宋_GB2312" w:hAnsi="仿宋_GB2312" w:cs="仿宋_GB2312" w:hint="eastAsia"/>
          <w:sz w:val="32"/>
          <w:szCs w:val="32"/>
        </w:rPr>
        <w:t>批次，</w:t>
      </w:r>
      <w:r>
        <w:rPr>
          <w:rFonts w:eastAsia="仿宋_GB2312" w:cs="仿宋_GB2312" w:hint="eastAsia"/>
          <w:sz w:val="32"/>
          <w:szCs w:val="32"/>
        </w:rPr>
        <w:t>26</w:t>
      </w:r>
      <w:r>
        <w:rPr>
          <w:rFonts w:eastAsia="仿宋_GB2312" w:cs="仿宋_GB2312" w:hint="eastAsia"/>
          <w:sz w:val="32"/>
          <w:szCs w:val="32"/>
        </w:rPr>
        <w:t>人次（不包括陪同人员），共计支出</w:t>
      </w:r>
      <w:r>
        <w:rPr>
          <w:rFonts w:eastAsia="仿宋_GB2312" w:cs="仿宋_GB2312" w:hint="eastAsia"/>
          <w:sz w:val="32"/>
          <w:szCs w:val="32"/>
        </w:rPr>
        <w:t>0.26</w:t>
      </w:r>
      <w:r>
        <w:rPr>
          <w:rFonts w:eastAsia="仿宋_GB2312" w:cs="仿宋_GB2312" w:hint="eastAsia"/>
          <w:sz w:val="32"/>
          <w:szCs w:val="32"/>
        </w:rPr>
        <w:t>万元，具体内容包括：</w:t>
      </w:r>
      <w:r>
        <w:rPr>
          <w:rFonts w:ascii="仿宋_GB2312" w:eastAsia="仿宋_GB2312" w:hint="eastAsia"/>
          <w:sz w:val="32"/>
          <w:szCs w:val="32"/>
        </w:rPr>
        <w:t>马边烟峰镇政府一行考察调研荔枝湾村公务接待0.26万元</w:t>
      </w:r>
      <w:r>
        <w:rPr>
          <w:rFonts w:eastAsia="仿宋_GB2312" w:cs="仿宋_GB2312" w:hint="eastAsia"/>
          <w:sz w:val="32"/>
          <w:szCs w:val="32"/>
        </w:rPr>
        <w:t>。</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外事接待支</w:t>
      </w:r>
      <w:r>
        <w:rPr>
          <w:rFonts w:ascii="仿宋_GB2312" w:eastAsia="仿宋_GB2312" w:hAnsi="仿宋_GB2312" w:cs="仿宋_GB2312" w:hint="eastAsia"/>
          <w:sz w:val="32"/>
          <w:szCs w:val="32"/>
        </w:rPr>
        <w:t>出0万元。外事接待</w:t>
      </w:r>
      <w:r>
        <w:rPr>
          <w:rFonts w:eastAsia="仿宋_GB2312" w:cs="仿宋_GB2312" w:hint="eastAsia"/>
          <w:sz w:val="32"/>
          <w:szCs w:val="32"/>
        </w:rPr>
        <w:t>0</w:t>
      </w:r>
      <w:r>
        <w:rPr>
          <w:rFonts w:ascii="仿宋_GB2312" w:eastAsia="仿宋_GB2312" w:hAnsi="仿宋_GB2312" w:cs="仿宋_GB2312" w:hint="eastAsia"/>
          <w:sz w:val="32"/>
          <w:szCs w:val="32"/>
        </w:rPr>
        <w:t>批次，</w:t>
      </w:r>
      <w:r>
        <w:rPr>
          <w:rFonts w:eastAsia="仿宋_GB2312" w:cs="仿宋_GB2312" w:hint="eastAsia"/>
          <w:sz w:val="32"/>
          <w:szCs w:val="32"/>
        </w:rPr>
        <w:t>0</w:t>
      </w:r>
      <w:r>
        <w:rPr>
          <w:rFonts w:ascii="仿宋_GB2312" w:eastAsia="仿宋_GB2312" w:hAnsi="仿宋_GB2312" w:cs="仿宋_GB2312" w:hint="eastAsia"/>
          <w:sz w:val="32"/>
          <w:szCs w:val="32"/>
        </w:rPr>
        <w:t>人次（不包</w:t>
      </w:r>
      <w:r>
        <w:rPr>
          <w:rFonts w:ascii="仿宋_GB2312" w:eastAsia="仿宋_GB2312" w:hAnsi="仿宋_GB2312" w:cs="仿宋_GB2312" w:hint="eastAsia"/>
          <w:sz w:val="32"/>
          <w:szCs w:val="32"/>
        </w:rPr>
        <w:lastRenderedPageBreak/>
        <w:t>括陪同人员），共计支出0万</w:t>
      </w:r>
      <w:r>
        <w:rPr>
          <w:rFonts w:eastAsia="仿宋_GB2312" w:cs="仿宋_GB2312" w:hint="eastAsia"/>
          <w:sz w:val="32"/>
          <w:szCs w:val="32"/>
        </w:rPr>
        <w:t>元。</w:t>
      </w:r>
      <w:bookmarkStart w:id="50" w:name="_Toc15377218"/>
      <w:bookmarkStart w:id="51" w:name="_Toc15396610"/>
    </w:p>
    <w:p w:rsidR="00AB247A" w:rsidRDefault="00714F03">
      <w:pPr>
        <w:spacing w:line="600" w:lineRule="exact"/>
        <w:ind w:firstLine="640"/>
        <w:outlineLvl w:val="1"/>
        <w:rPr>
          <w:rStyle w:val="2Char"/>
          <w:rFonts w:ascii="Times New Roman" w:eastAsia="黑体" w:hAnsi="Times New Roman"/>
        </w:rPr>
      </w:pPr>
      <w:r>
        <w:rPr>
          <w:rFonts w:eastAsia="黑体" w:hint="eastAsia"/>
          <w:sz w:val="32"/>
          <w:szCs w:val="32"/>
        </w:rPr>
        <w:t>八、</w:t>
      </w:r>
      <w:r>
        <w:rPr>
          <w:rStyle w:val="2Char"/>
          <w:rFonts w:ascii="Times New Roman" w:eastAsia="黑体" w:hAnsi="Times New Roman" w:hint="eastAsia"/>
          <w:b w:val="0"/>
        </w:rPr>
        <w:t>政府性基金预算支出决算情况说明</w:t>
      </w:r>
      <w:bookmarkEnd w:id="50"/>
      <w:bookmarkEnd w:id="51"/>
    </w:p>
    <w:p w:rsidR="00AB247A" w:rsidRDefault="00714F03">
      <w:pPr>
        <w:spacing w:line="600" w:lineRule="exact"/>
        <w:ind w:firstLine="640"/>
        <w:rPr>
          <w:rFonts w:eastAsia="仿宋_GB2312" w:cs="仿宋_GB2312"/>
          <w:sz w:val="32"/>
          <w:szCs w:val="32"/>
        </w:rPr>
      </w:pPr>
      <w:r>
        <w:rPr>
          <w:rFonts w:ascii="仿宋_GB2312" w:eastAsia="仿宋_GB2312" w:hAnsi="仿宋_GB2312" w:cs="仿宋_GB2312" w:hint="eastAsia"/>
          <w:sz w:val="32"/>
          <w:szCs w:val="32"/>
        </w:rPr>
        <w:t>2024年度政府性基金预算财政拨款支出10.29万元，占本年支出合计的0.36%</w:t>
      </w:r>
      <w:r>
        <w:rPr>
          <w:rFonts w:eastAsia="仿宋_GB2312" w:cs="仿宋_GB2312" w:hint="eastAsia"/>
          <w:sz w:val="32"/>
          <w:szCs w:val="32"/>
        </w:rPr>
        <w:t>。与</w:t>
      </w:r>
      <w:r>
        <w:rPr>
          <w:rFonts w:eastAsia="仿宋_GB2312" w:cs="仿宋_GB2312" w:hint="eastAsia"/>
          <w:sz w:val="32"/>
          <w:szCs w:val="32"/>
        </w:rPr>
        <w:t>2023</w:t>
      </w:r>
      <w:r>
        <w:rPr>
          <w:rFonts w:eastAsia="仿宋_GB2312" w:cs="仿宋_GB2312" w:hint="eastAsia"/>
          <w:sz w:val="32"/>
          <w:szCs w:val="32"/>
        </w:rPr>
        <w:t>年度相比，政府性基金预算财政拨款支出增加</w:t>
      </w:r>
      <w:r>
        <w:rPr>
          <w:rFonts w:eastAsia="仿宋_GB2312" w:cs="仿宋_GB2312" w:hint="eastAsia"/>
          <w:sz w:val="32"/>
          <w:szCs w:val="32"/>
        </w:rPr>
        <w:t>2.1</w:t>
      </w:r>
      <w:r>
        <w:rPr>
          <w:rFonts w:eastAsia="仿宋_GB2312" w:cs="仿宋_GB2312" w:hint="eastAsia"/>
          <w:sz w:val="32"/>
          <w:szCs w:val="32"/>
        </w:rPr>
        <w:t>万元，增长</w:t>
      </w:r>
      <w:r>
        <w:rPr>
          <w:rFonts w:eastAsia="仿宋_GB2312" w:cs="仿宋_GB2312" w:hint="eastAsia"/>
          <w:sz w:val="32"/>
          <w:szCs w:val="32"/>
        </w:rPr>
        <w:t>25.64%</w:t>
      </w:r>
      <w:r>
        <w:rPr>
          <w:rFonts w:eastAsia="仿宋_GB2312" w:cs="仿宋_GB2312" w:hint="eastAsia"/>
          <w:sz w:val="32"/>
          <w:szCs w:val="32"/>
        </w:rPr>
        <w:t>。主要变动原因是增加了用于体育事业的彩票公益金支出</w:t>
      </w:r>
    </w:p>
    <w:p w:rsidR="00AB247A" w:rsidRDefault="00714F03">
      <w:pPr>
        <w:spacing w:line="600" w:lineRule="exact"/>
        <w:ind w:left="630"/>
        <w:outlineLvl w:val="1"/>
        <w:rPr>
          <w:rStyle w:val="2Char"/>
          <w:rFonts w:ascii="Times New Roman" w:eastAsia="黑体" w:hAnsi="Times New Roman"/>
          <w:b w:val="0"/>
        </w:rPr>
      </w:pPr>
      <w:bookmarkStart w:id="52" w:name="_Toc15377219"/>
      <w:bookmarkStart w:id="53" w:name="_Toc15396611"/>
      <w:r>
        <w:rPr>
          <w:rStyle w:val="2Char"/>
          <w:rFonts w:ascii="Times New Roman" w:eastAsia="黑体" w:hAnsi="Times New Roman" w:hint="eastAsia"/>
          <w:b w:val="0"/>
        </w:rPr>
        <w:t>九、国有资本经营预算支出决算情况说明</w:t>
      </w:r>
      <w:bookmarkEnd w:id="52"/>
      <w:bookmarkEnd w:id="53"/>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年度国有资本经营预算财政拨款支出</w:t>
      </w:r>
      <w:r>
        <w:rPr>
          <w:rFonts w:ascii="仿宋" w:eastAsia="仿宋" w:hAnsi="仿宋" w:hint="eastAsia"/>
          <w:b/>
          <w:sz w:val="32"/>
          <w:szCs w:val="32"/>
        </w:rPr>
        <w:t>0</w:t>
      </w:r>
      <w:r>
        <w:rPr>
          <w:rFonts w:ascii="仿宋_GB2312" w:eastAsia="仿宋_GB2312" w:hAnsi="仿宋_GB2312" w:cs="仿宋_GB2312" w:hint="eastAsia"/>
          <w:sz w:val="32"/>
          <w:szCs w:val="32"/>
        </w:rPr>
        <w:t>万元，占本年支出合计的</w:t>
      </w:r>
      <w:r>
        <w:rPr>
          <w:rFonts w:eastAsia="仿宋_GB2312" w:cs="仿宋_GB2312" w:hint="eastAsia"/>
          <w:sz w:val="32"/>
          <w:szCs w:val="32"/>
        </w:rPr>
        <w:t>0</w:t>
      </w:r>
      <w:r>
        <w:rPr>
          <w:rFonts w:ascii="仿宋_GB2312" w:eastAsia="仿宋_GB2312" w:hAnsi="仿宋_GB2312" w:cs="仿宋_GB2312" w:hint="eastAsia"/>
          <w:sz w:val="32"/>
          <w:szCs w:val="32"/>
        </w:rPr>
        <w:t>%</w:t>
      </w:r>
      <w:r>
        <w:rPr>
          <w:rFonts w:eastAsia="仿宋_GB2312" w:cs="仿宋_GB2312" w:hint="eastAsia"/>
          <w:sz w:val="32"/>
          <w:szCs w:val="32"/>
        </w:rPr>
        <w:t>。与</w:t>
      </w:r>
      <w:r>
        <w:rPr>
          <w:rFonts w:eastAsia="仿宋_GB2312" w:cs="仿宋_GB2312" w:hint="eastAsia"/>
          <w:sz w:val="32"/>
          <w:szCs w:val="32"/>
        </w:rPr>
        <w:t>2023</w:t>
      </w:r>
      <w:r>
        <w:rPr>
          <w:rFonts w:eastAsia="仿宋_GB2312" w:cs="仿宋_GB2312" w:hint="eastAsia"/>
          <w:sz w:val="32"/>
          <w:szCs w:val="32"/>
        </w:rPr>
        <w:t>年度相比，国有资本经营预算财政拨款支出减少</w:t>
      </w:r>
      <w:r>
        <w:rPr>
          <w:rFonts w:eastAsia="仿宋_GB2312" w:cs="仿宋_GB2312" w:hint="eastAsia"/>
          <w:sz w:val="32"/>
          <w:szCs w:val="32"/>
        </w:rPr>
        <w:t>0.65</w:t>
      </w:r>
      <w:r>
        <w:rPr>
          <w:rFonts w:eastAsia="仿宋_GB2312" w:cs="仿宋_GB2312" w:hint="eastAsia"/>
          <w:sz w:val="32"/>
          <w:szCs w:val="32"/>
        </w:rPr>
        <w:t>万元，下降</w:t>
      </w:r>
      <w:r>
        <w:rPr>
          <w:rFonts w:eastAsia="仿宋_GB2312" w:cs="仿宋_GB2312" w:hint="eastAsia"/>
          <w:sz w:val="32"/>
          <w:szCs w:val="32"/>
        </w:rPr>
        <w:t>100%</w:t>
      </w:r>
      <w:r>
        <w:rPr>
          <w:rFonts w:eastAsia="仿宋_GB2312" w:cs="仿宋_GB2312" w:hint="eastAsia"/>
          <w:sz w:val="32"/>
          <w:szCs w:val="32"/>
        </w:rPr>
        <w:t>。主要变动原因是本年度无国有资本经营支出。</w:t>
      </w:r>
    </w:p>
    <w:p w:rsidR="00AB247A" w:rsidRDefault="00714F03">
      <w:pPr>
        <w:spacing w:line="600" w:lineRule="exact"/>
        <w:ind w:left="630"/>
        <w:outlineLvl w:val="1"/>
        <w:rPr>
          <w:rStyle w:val="2Char"/>
          <w:rFonts w:ascii="Times New Roman" w:eastAsia="黑体" w:hAnsi="Times New Roman"/>
          <w:b w:val="0"/>
        </w:rPr>
      </w:pPr>
      <w:bookmarkStart w:id="54" w:name="_Toc15377221"/>
      <w:bookmarkStart w:id="55" w:name="_Toc15396612"/>
      <w:r>
        <w:rPr>
          <w:rStyle w:val="2Char"/>
          <w:rFonts w:ascii="Times New Roman" w:eastAsia="黑体" w:hAnsi="Times New Roman" w:hint="eastAsia"/>
          <w:b w:val="0"/>
        </w:rPr>
        <w:t>十、其他重要事项的情况说明</w:t>
      </w:r>
      <w:bookmarkEnd w:id="54"/>
      <w:bookmarkEnd w:id="55"/>
    </w:p>
    <w:p w:rsidR="00AB247A" w:rsidRDefault="00714F03">
      <w:pPr>
        <w:spacing w:line="600" w:lineRule="exact"/>
        <w:ind w:firstLineChars="200" w:firstLine="643"/>
        <w:outlineLvl w:val="2"/>
        <w:rPr>
          <w:rFonts w:eastAsia="楷体_GB2312" w:cs="楷体_GB2312"/>
          <w:b/>
          <w:sz w:val="32"/>
          <w:szCs w:val="32"/>
        </w:rPr>
      </w:pPr>
      <w:bookmarkStart w:id="56" w:name="_Toc15377222"/>
      <w:r>
        <w:rPr>
          <w:rFonts w:eastAsia="楷体_GB2312" w:cs="楷体_GB2312" w:hint="eastAsia"/>
          <w:b/>
          <w:sz w:val="32"/>
          <w:szCs w:val="32"/>
        </w:rPr>
        <w:t>（一）机关运行经费支出情况</w:t>
      </w:r>
      <w:bookmarkEnd w:id="56"/>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w:t>
      </w:r>
      <w:r>
        <w:rPr>
          <w:rFonts w:ascii="仿宋_GB2312" w:eastAsia="仿宋_GB2312" w:hAnsi="仿宋_GB2312" w:cs="仿宋_GB2312" w:hint="eastAsia"/>
          <w:sz w:val="32"/>
          <w:szCs w:val="32"/>
        </w:rPr>
        <w:t>，机关运行经费支出</w:t>
      </w:r>
      <w:r>
        <w:rPr>
          <w:rFonts w:eastAsia="仿宋_GB2312" w:cs="仿宋_GB2312" w:hint="eastAsia"/>
          <w:sz w:val="32"/>
          <w:szCs w:val="32"/>
        </w:rPr>
        <w:t>79.3</w:t>
      </w:r>
      <w:r>
        <w:rPr>
          <w:rFonts w:ascii="仿宋_GB2312" w:eastAsia="仿宋_GB2312" w:hAnsi="仿宋_GB2312" w:cs="仿宋_GB2312" w:hint="eastAsia"/>
          <w:sz w:val="32"/>
          <w:szCs w:val="32"/>
        </w:rPr>
        <w:t>万</w:t>
      </w:r>
      <w:r>
        <w:rPr>
          <w:rFonts w:eastAsia="仿宋_GB2312" w:cs="仿宋_GB2312" w:hint="eastAsia"/>
          <w:sz w:val="32"/>
          <w:szCs w:val="32"/>
        </w:rPr>
        <w:t>元，比</w:t>
      </w:r>
      <w:r>
        <w:rPr>
          <w:rFonts w:eastAsia="仿宋_GB2312" w:cs="仿宋_GB2312" w:hint="eastAsia"/>
          <w:sz w:val="32"/>
          <w:szCs w:val="32"/>
        </w:rPr>
        <w:t>2023</w:t>
      </w:r>
      <w:r>
        <w:rPr>
          <w:rFonts w:eastAsia="仿宋_GB2312" w:cs="仿宋_GB2312" w:hint="eastAsia"/>
          <w:sz w:val="32"/>
          <w:szCs w:val="32"/>
        </w:rPr>
        <w:t>年度增加</w:t>
      </w:r>
      <w:r>
        <w:rPr>
          <w:rFonts w:eastAsia="仿宋_GB2312" w:cs="仿宋_GB2312" w:hint="eastAsia"/>
          <w:sz w:val="32"/>
          <w:szCs w:val="32"/>
        </w:rPr>
        <w:t>4.15</w:t>
      </w:r>
      <w:r>
        <w:rPr>
          <w:rFonts w:eastAsia="仿宋_GB2312" w:cs="仿宋_GB2312" w:hint="eastAsia"/>
          <w:sz w:val="32"/>
          <w:szCs w:val="32"/>
        </w:rPr>
        <w:t>万元，增长</w:t>
      </w:r>
      <w:r>
        <w:rPr>
          <w:rFonts w:eastAsia="仿宋_GB2312" w:cs="仿宋_GB2312" w:hint="eastAsia"/>
          <w:sz w:val="32"/>
          <w:szCs w:val="32"/>
        </w:rPr>
        <w:t>5.52%</w:t>
      </w:r>
      <w:r>
        <w:rPr>
          <w:rFonts w:eastAsia="仿宋_GB2312" w:cs="仿宋_GB2312" w:hint="eastAsia"/>
          <w:sz w:val="32"/>
          <w:szCs w:val="32"/>
        </w:rPr>
        <w:t>。主要原因是机关人员增加，公务员增加</w:t>
      </w:r>
      <w:r>
        <w:rPr>
          <w:rFonts w:eastAsia="仿宋_GB2312" w:cs="仿宋_GB2312" w:hint="eastAsia"/>
          <w:sz w:val="32"/>
          <w:szCs w:val="32"/>
        </w:rPr>
        <w:t>2</w:t>
      </w:r>
      <w:r>
        <w:rPr>
          <w:rFonts w:eastAsia="仿宋_GB2312" w:cs="仿宋_GB2312" w:hint="eastAsia"/>
          <w:sz w:val="32"/>
          <w:szCs w:val="32"/>
        </w:rPr>
        <w:t>名，事业人员增加</w:t>
      </w:r>
      <w:r>
        <w:rPr>
          <w:rFonts w:eastAsia="仿宋_GB2312" w:cs="仿宋_GB2312" w:hint="eastAsia"/>
          <w:sz w:val="32"/>
          <w:szCs w:val="32"/>
        </w:rPr>
        <w:t>1</w:t>
      </w:r>
      <w:r>
        <w:rPr>
          <w:rFonts w:eastAsia="仿宋_GB2312" w:cs="仿宋_GB2312" w:hint="eastAsia"/>
          <w:sz w:val="32"/>
          <w:szCs w:val="32"/>
        </w:rPr>
        <w:t>名。</w:t>
      </w:r>
    </w:p>
    <w:p w:rsidR="00AB247A" w:rsidRDefault="00714F03">
      <w:pPr>
        <w:spacing w:line="600" w:lineRule="exact"/>
        <w:ind w:firstLineChars="200" w:firstLine="643"/>
        <w:outlineLvl w:val="2"/>
        <w:rPr>
          <w:rFonts w:eastAsia="楷体_GB2312" w:cs="楷体_GB2312"/>
          <w:b/>
          <w:sz w:val="32"/>
          <w:szCs w:val="32"/>
        </w:rPr>
      </w:pPr>
      <w:bookmarkStart w:id="57" w:name="_Toc15377223"/>
      <w:r>
        <w:rPr>
          <w:rFonts w:eastAsia="楷体_GB2312" w:cs="楷体_GB2312" w:hint="eastAsia"/>
          <w:b/>
          <w:sz w:val="32"/>
          <w:szCs w:val="32"/>
        </w:rPr>
        <w:t>（二）政府采购支出情况</w:t>
      </w:r>
      <w:bookmarkEnd w:id="57"/>
    </w:p>
    <w:p w:rsidR="00AB247A" w:rsidRDefault="00714F03">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2024年度，政府采购支出总额</w:t>
      </w:r>
      <w:r>
        <w:rPr>
          <w:rFonts w:eastAsia="仿宋_GB2312" w:cs="仿宋_GB2312" w:hint="eastAsia"/>
          <w:sz w:val="32"/>
          <w:szCs w:val="32"/>
        </w:rPr>
        <w:t>1.3</w:t>
      </w:r>
      <w:r>
        <w:rPr>
          <w:rFonts w:ascii="仿宋_GB2312" w:eastAsia="仿宋_GB2312" w:hAnsi="仿宋_GB2312" w:cs="仿宋_GB2312" w:hint="eastAsia"/>
          <w:sz w:val="32"/>
          <w:szCs w:val="32"/>
        </w:rPr>
        <w:t>万元，其中：政府采购货物支出</w:t>
      </w:r>
      <w:r>
        <w:rPr>
          <w:rFonts w:eastAsia="仿宋_GB2312" w:cs="仿宋_GB2312" w:hint="eastAsia"/>
          <w:sz w:val="32"/>
          <w:szCs w:val="32"/>
        </w:rPr>
        <w:t>1.3</w:t>
      </w:r>
      <w:r>
        <w:rPr>
          <w:rFonts w:ascii="仿宋_GB2312" w:eastAsia="仿宋_GB2312" w:hAnsi="仿宋_GB2312" w:cs="仿宋_GB2312" w:hint="eastAsia"/>
          <w:sz w:val="32"/>
          <w:szCs w:val="32"/>
        </w:rPr>
        <w:t>万元、政府采购工程支出0万元、政府采购服务支出0万元。主要用于办公电脑及打印机购置。授予中小企业合同金额0万元，占政府采购支出总额的0%，其中：授予小微企业合同金额0万元，占政府采购支出总额的0%。</w:t>
      </w:r>
    </w:p>
    <w:p w:rsidR="00AB247A" w:rsidRDefault="00AB247A">
      <w:pPr>
        <w:spacing w:line="600" w:lineRule="exact"/>
        <w:ind w:firstLine="640"/>
        <w:rPr>
          <w:rFonts w:eastAsia="仿宋_GB2312" w:cs="仿宋_GB2312"/>
          <w:sz w:val="32"/>
          <w:szCs w:val="32"/>
        </w:rPr>
      </w:pPr>
    </w:p>
    <w:p w:rsidR="00AB247A" w:rsidRDefault="00714F03">
      <w:pPr>
        <w:spacing w:line="600" w:lineRule="exact"/>
        <w:ind w:firstLineChars="200" w:firstLine="643"/>
        <w:outlineLvl w:val="2"/>
        <w:rPr>
          <w:rFonts w:eastAsia="楷体_GB2312" w:cs="楷体_GB2312"/>
          <w:b/>
          <w:sz w:val="32"/>
          <w:szCs w:val="32"/>
        </w:rPr>
      </w:pPr>
      <w:bookmarkStart w:id="58" w:name="_Toc15377224"/>
      <w:r>
        <w:rPr>
          <w:rFonts w:eastAsia="楷体_GB2312" w:cs="楷体_GB2312" w:hint="eastAsia"/>
          <w:b/>
          <w:sz w:val="32"/>
          <w:szCs w:val="32"/>
        </w:rPr>
        <w:lastRenderedPageBreak/>
        <w:t>（三）国有资产占有使用情况</w:t>
      </w:r>
      <w:bookmarkEnd w:id="58"/>
    </w:p>
    <w:p w:rsidR="00AB247A" w:rsidRDefault="00714F03">
      <w:pPr>
        <w:spacing w:line="600" w:lineRule="exact"/>
        <w:ind w:firstLine="640"/>
        <w:rPr>
          <w:rFonts w:eastAsia="仿宋_GB2312" w:cs="仿宋_GB2312"/>
          <w:sz w:val="32"/>
          <w:szCs w:val="32"/>
        </w:rPr>
      </w:pPr>
      <w:r>
        <w:rPr>
          <w:rFonts w:ascii="仿宋_GB2312" w:eastAsia="仿宋_GB2312" w:hAnsi="仿宋_GB2312" w:cs="仿宋_GB2312" w:hint="eastAsia"/>
          <w:sz w:val="32"/>
          <w:szCs w:val="32"/>
        </w:rPr>
        <w:t>截至2024年12月31日，共有车辆</w:t>
      </w:r>
      <w:r>
        <w:rPr>
          <w:rFonts w:eastAsia="仿宋_GB2312" w:cs="仿宋_GB2312" w:hint="eastAsia"/>
          <w:sz w:val="32"/>
          <w:szCs w:val="32"/>
        </w:rPr>
        <w:t>2</w:t>
      </w:r>
      <w:r>
        <w:rPr>
          <w:rFonts w:ascii="仿宋_GB2312" w:eastAsia="仿宋_GB2312" w:hAnsi="仿宋_GB2312" w:cs="仿宋_GB2312" w:hint="eastAsia"/>
          <w:sz w:val="32"/>
          <w:szCs w:val="32"/>
        </w:rPr>
        <w:t>辆，其中：主要负责人用车</w:t>
      </w:r>
      <w:r>
        <w:rPr>
          <w:rFonts w:eastAsia="仿宋_GB2312" w:cs="仿宋_GB2312" w:hint="eastAsia"/>
          <w:sz w:val="32"/>
          <w:szCs w:val="32"/>
        </w:rPr>
        <w:t>0</w:t>
      </w:r>
      <w:r>
        <w:rPr>
          <w:rFonts w:ascii="仿宋_GB2312" w:eastAsia="仿宋_GB2312" w:hAnsi="仿宋_GB2312" w:cs="仿宋_GB2312" w:hint="eastAsia"/>
          <w:sz w:val="32"/>
          <w:szCs w:val="32"/>
        </w:rPr>
        <w:t>辆、机要通信用车</w:t>
      </w:r>
      <w:r>
        <w:rPr>
          <w:rFonts w:eastAsia="仿宋_GB2312" w:cs="仿宋_GB2312" w:hint="eastAsia"/>
          <w:sz w:val="32"/>
          <w:szCs w:val="32"/>
        </w:rPr>
        <w:t>0</w:t>
      </w:r>
      <w:r>
        <w:rPr>
          <w:rFonts w:ascii="仿宋_GB2312" w:eastAsia="仿宋_GB2312" w:hAnsi="仿宋_GB2312" w:cs="仿宋_GB2312" w:hint="eastAsia"/>
          <w:sz w:val="32"/>
          <w:szCs w:val="32"/>
        </w:rPr>
        <w:t>辆、应急保障用车</w:t>
      </w:r>
      <w:r>
        <w:rPr>
          <w:rFonts w:eastAsia="仿宋_GB2312" w:cs="仿宋_GB2312" w:hint="eastAsia"/>
          <w:sz w:val="32"/>
          <w:szCs w:val="32"/>
        </w:rPr>
        <w:t>2</w:t>
      </w:r>
      <w:r>
        <w:rPr>
          <w:rFonts w:ascii="仿宋_GB2312" w:eastAsia="仿宋_GB2312" w:hAnsi="仿宋_GB2312" w:cs="仿宋_GB2312" w:hint="eastAsia"/>
          <w:sz w:val="32"/>
          <w:szCs w:val="32"/>
        </w:rPr>
        <w:t>辆、其他用车</w:t>
      </w:r>
      <w:r>
        <w:rPr>
          <w:rFonts w:eastAsia="仿宋_GB2312" w:cs="仿宋_GB2312" w:hint="eastAsia"/>
          <w:sz w:val="32"/>
          <w:szCs w:val="32"/>
        </w:rPr>
        <w:t>0</w:t>
      </w:r>
      <w:r>
        <w:rPr>
          <w:rFonts w:ascii="仿宋_GB2312" w:eastAsia="仿宋_GB2312" w:hAnsi="仿宋_GB2312" w:cs="仿宋_GB2312" w:hint="eastAsia"/>
          <w:sz w:val="32"/>
          <w:szCs w:val="32"/>
        </w:rPr>
        <w:t>辆。单价100万元（含）以上设备（不含车辆）</w:t>
      </w:r>
      <w:r>
        <w:rPr>
          <w:rFonts w:eastAsia="仿宋_GB2312" w:cs="仿宋_GB2312" w:hint="eastAsia"/>
          <w:sz w:val="32"/>
          <w:szCs w:val="32"/>
        </w:rPr>
        <w:t>0</w:t>
      </w:r>
      <w:r>
        <w:rPr>
          <w:rFonts w:ascii="仿宋_GB2312" w:eastAsia="仿宋_GB2312" w:hAnsi="仿宋_GB2312" w:cs="仿宋_GB2312" w:hint="eastAsia"/>
          <w:sz w:val="32"/>
          <w:szCs w:val="32"/>
        </w:rPr>
        <w:t>台（套）</w:t>
      </w:r>
      <w:r>
        <w:rPr>
          <w:rFonts w:eastAsia="仿宋_GB2312" w:cs="仿宋_GB2312" w:hint="eastAsia"/>
          <w:sz w:val="32"/>
          <w:szCs w:val="32"/>
        </w:rPr>
        <w:t>。</w:t>
      </w:r>
    </w:p>
    <w:p w:rsidR="00AB247A" w:rsidRDefault="00714F03">
      <w:pPr>
        <w:spacing w:line="600" w:lineRule="exact"/>
        <w:ind w:firstLineChars="200" w:firstLine="643"/>
        <w:outlineLvl w:val="2"/>
        <w:rPr>
          <w:rFonts w:eastAsia="楷体_GB2312" w:cs="楷体_GB2312"/>
          <w:b/>
          <w:sz w:val="32"/>
          <w:szCs w:val="32"/>
        </w:rPr>
      </w:pPr>
      <w:r>
        <w:rPr>
          <w:rFonts w:eastAsia="楷体_GB2312" w:cs="楷体_GB2312" w:hint="eastAsia"/>
          <w:b/>
          <w:sz w:val="32"/>
          <w:szCs w:val="32"/>
        </w:rPr>
        <w:t>（四）预算绩效管理情况</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根据预算绩效管理要求，本部门在</w:t>
      </w:r>
      <w:r>
        <w:rPr>
          <w:rFonts w:eastAsia="仿宋_GB2312" w:cs="仿宋_GB2312" w:hint="eastAsia"/>
          <w:sz w:val="32"/>
          <w:szCs w:val="32"/>
        </w:rPr>
        <w:t>2024</w:t>
      </w:r>
      <w:r>
        <w:rPr>
          <w:rFonts w:eastAsia="仿宋_GB2312" w:cs="仿宋_GB2312" w:hint="eastAsia"/>
          <w:sz w:val="32"/>
          <w:szCs w:val="32"/>
        </w:rPr>
        <w:t>年度预算编制阶段，组织对</w:t>
      </w:r>
      <w:r>
        <w:rPr>
          <w:rFonts w:eastAsia="仿宋_GB2312" w:cs="仿宋_GB2312" w:hint="eastAsia"/>
          <w:sz w:val="32"/>
          <w:szCs w:val="32"/>
        </w:rPr>
        <w:t>2024</w:t>
      </w:r>
      <w:r>
        <w:rPr>
          <w:rFonts w:eastAsia="仿宋_GB2312" w:cs="仿宋_GB2312" w:hint="eastAsia"/>
          <w:sz w:val="32"/>
          <w:szCs w:val="32"/>
        </w:rPr>
        <w:t>年村干部工资保险等</w:t>
      </w:r>
      <w:r>
        <w:rPr>
          <w:rFonts w:eastAsia="仿宋_GB2312" w:cs="仿宋_GB2312" w:hint="eastAsia"/>
          <w:sz w:val="32"/>
          <w:szCs w:val="32"/>
        </w:rPr>
        <w:t>18</w:t>
      </w:r>
      <w:r>
        <w:rPr>
          <w:rFonts w:eastAsia="仿宋_GB2312" w:cs="仿宋_GB2312" w:hint="eastAsia"/>
          <w:sz w:val="32"/>
          <w:szCs w:val="32"/>
        </w:rPr>
        <w:t>个项目开展了预算事前绩效评估，对</w:t>
      </w:r>
      <w:r>
        <w:rPr>
          <w:rFonts w:eastAsia="仿宋_GB2312" w:cs="仿宋_GB2312" w:hint="eastAsia"/>
          <w:sz w:val="32"/>
          <w:szCs w:val="32"/>
        </w:rPr>
        <w:t>18</w:t>
      </w:r>
      <w:r>
        <w:rPr>
          <w:rFonts w:eastAsia="仿宋_GB2312" w:cs="仿宋_GB2312" w:hint="eastAsia"/>
          <w:sz w:val="32"/>
          <w:szCs w:val="32"/>
        </w:rPr>
        <w:t>个项目编制了绩效目标，预算执行过程中，选取</w:t>
      </w:r>
      <w:r>
        <w:rPr>
          <w:rFonts w:eastAsia="仿宋_GB2312" w:cs="仿宋_GB2312" w:hint="eastAsia"/>
          <w:sz w:val="32"/>
          <w:szCs w:val="32"/>
        </w:rPr>
        <w:t>18</w:t>
      </w:r>
      <w:r>
        <w:rPr>
          <w:rFonts w:eastAsia="仿宋_GB2312" w:cs="仿宋_GB2312" w:hint="eastAsia"/>
          <w:sz w:val="32"/>
          <w:szCs w:val="32"/>
        </w:rPr>
        <w:t>个项目开展绩效监控。</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组织对</w:t>
      </w:r>
      <w:r>
        <w:rPr>
          <w:rFonts w:eastAsia="仿宋_GB2312" w:cs="仿宋_GB2312" w:hint="eastAsia"/>
          <w:sz w:val="32"/>
          <w:szCs w:val="32"/>
        </w:rPr>
        <w:t>2024</w:t>
      </w:r>
      <w:r>
        <w:rPr>
          <w:rFonts w:eastAsia="仿宋_GB2312" w:cs="仿宋_GB2312" w:hint="eastAsia"/>
          <w:sz w:val="32"/>
          <w:szCs w:val="32"/>
        </w:rPr>
        <w:t>年度一般公共预算、政府性基金预算、国有资本经营预算、社会保险基金预算以及资本资产、债券资金等全面开展绩效自评，形成乐山市市中区悦来镇人民政府部门整体（含部门预算项目）绩效自评报告，</w:t>
      </w:r>
      <w:r>
        <w:rPr>
          <w:rFonts w:eastAsia="仿宋_GB2312" w:cs="仿宋_GB2312" w:hint="eastAsia"/>
          <w:sz w:val="32"/>
          <w:szCs w:val="32"/>
        </w:rPr>
        <w:t>2024</w:t>
      </w:r>
      <w:r>
        <w:rPr>
          <w:rFonts w:eastAsia="仿宋_GB2312" w:cs="仿宋_GB2312" w:hint="eastAsia"/>
          <w:sz w:val="32"/>
          <w:szCs w:val="32"/>
        </w:rPr>
        <w:t>年村干部工资保险支出等预算项目绩效自评表。其中，乐山市市中区悦来镇人民政府部门整体（含部门预算项目）绩效自评得分为</w:t>
      </w:r>
      <w:r>
        <w:rPr>
          <w:rFonts w:eastAsia="仿宋_GB2312" w:cs="仿宋_GB2312" w:hint="eastAsia"/>
          <w:sz w:val="32"/>
          <w:szCs w:val="32"/>
        </w:rPr>
        <w:t>98.4</w:t>
      </w:r>
      <w:r>
        <w:rPr>
          <w:rFonts w:eastAsia="仿宋_GB2312" w:cs="仿宋_GB2312" w:hint="eastAsia"/>
          <w:sz w:val="32"/>
          <w:szCs w:val="32"/>
        </w:rPr>
        <w:t>分。</w:t>
      </w:r>
      <w:r>
        <w:rPr>
          <w:rFonts w:eastAsia="仿宋_GB2312" w:cs="仿宋_GB2312" w:hint="eastAsia"/>
          <w:sz w:val="32"/>
          <w:szCs w:val="32"/>
        </w:rPr>
        <w:t>2024</w:t>
      </w:r>
      <w:r>
        <w:rPr>
          <w:rFonts w:eastAsia="仿宋_GB2312" w:cs="仿宋_GB2312" w:hint="eastAsia"/>
          <w:sz w:val="32"/>
          <w:szCs w:val="32"/>
        </w:rPr>
        <w:t>年部门整体绩效自评报告及</w:t>
      </w:r>
      <w:r>
        <w:rPr>
          <w:rFonts w:eastAsia="仿宋_GB2312" w:cs="仿宋_GB2312" w:hint="eastAsia"/>
          <w:sz w:val="32"/>
          <w:szCs w:val="32"/>
        </w:rPr>
        <w:t>2024</w:t>
      </w:r>
      <w:r>
        <w:rPr>
          <w:rFonts w:eastAsia="仿宋_GB2312" w:cs="仿宋_GB2312" w:hint="eastAsia"/>
          <w:sz w:val="32"/>
          <w:szCs w:val="32"/>
        </w:rPr>
        <w:t>年项目支出绩效自评报告详见附件</w:t>
      </w:r>
      <w:r>
        <w:rPr>
          <w:rFonts w:eastAsia="仿宋_GB2312" w:cs="仿宋_GB2312" w:hint="eastAsia"/>
          <w:sz w:val="32"/>
          <w:szCs w:val="32"/>
        </w:rPr>
        <w:t>(</w:t>
      </w:r>
      <w:r>
        <w:rPr>
          <w:rFonts w:eastAsia="仿宋_GB2312" w:cs="仿宋_GB2312" w:hint="eastAsia"/>
          <w:sz w:val="32"/>
          <w:szCs w:val="32"/>
        </w:rPr>
        <w:t>第四部分</w:t>
      </w:r>
      <w:r>
        <w:rPr>
          <w:rFonts w:eastAsia="仿宋_GB2312" w:cs="仿宋_GB2312" w:hint="eastAsia"/>
          <w:sz w:val="32"/>
          <w:szCs w:val="32"/>
        </w:rPr>
        <w:t>)</w:t>
      </w:r>
      <w:r>
        <w:rPr>
          <w:rFonts w:eastAsia="仿宋_GB2312" w:cs="仿宋_GB2312" w:hint="eastAsia"/>
          <w:sz w:val="32"/>
          <w:szCs w:val="32"/>
        </w:rPr>
        <w:t>。</w:t>
      </w:r>
    </w:p>
    <w:p w:rsidR="00AB247A" w:rsidRDefault="00AB247A">
      <w:pPr>
        <w:spacing w:line="600" w:lineRule="exact"/>
        <w:ind w:firstLine="640"/>
        <w:rPr>
          <w:rFonts w:eastAsia="仿宋_GB2312" w:cs="仿宋_GB2312"/>
          <w:sz w:val="32"/>
          <w:szCs w:val="32"/>
        </w:rPr>
      </w:pPr>
    </w:p>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714F03">
      <w:pPr>
        <w:spacing w:line="600" w:lineRule="exact"/>
        <w:jc w:val="center"/>
        <w:outlineLvl w:val="0"/>
        <w:rPr>
          <w:rFonts w:eastAsia="黑体"/>
          <w:sz w:val="44"/>
          <w:szCs w:val="44"/>
        </w:rPr>
      </w:pPr>
      <w:bookmarkStart w:id="59" w:name="_Toc15396613"/>
      <w:bookmarkStart w:id="60" w:name="_Toc15377225"/>
      <w:r>
        <w:rPr>
          <w:rFonts w:eastAsia="黑体" w:hint="eastAsia"/>
          <w:sz w:val="44"/>
          <w:szCs w:val="44"/>
        </w:rPr>
        <w:lastRenderedPageBreak/>
        <w:t>第三部分</w:t>
      </w:r>
      <w:r>
        <w:rPr>
          <w:rFonts w:eastAsia="黑体" w:hint="eastAsia"/>
          <w:sz w:val="44"/>
          <w:szCs w:val="44"/>
        </w:rPr>
        <w:t xml:space="preserve">  </w:t>
      </w:r>
      <w:r>
        <w:rPr>
          <w:rFonts w:eastAsia="黑体" w:hint="eastAsia"/>
          <w:sz w:val="44"/>
          <w:szCs w:val="44"/>
        </w:rPr>
        <w:t>名词解释</w:t>
      </w:r>
      <w:bookmarkEnd w:id="59"/>
      <w:bookmarkEnd w:id="60"/>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w:t>
      </w:r>
      <w:r>
        <w:rPr>
          <w:rFonts w:eastAsia="仿宋_GB2312" w:cs="仿宋_GB2312" w:hint="eastAsia"/>
          <w:sz w:val="32"/>
          <w:szCs w:val="32"/>
        </w:rPr>
        <w:t>财政拨款收入：指单位从同级财政部门取得的财政预算资金。</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w:t>
      </w:r>
      <w:r>
        <w:rPr>
          <w:rFonts w:eastAsia="仿宋_GB2312" w:cs="仿宋_GB2312" w:hint="eastAsia"/>
          <w:sz w:val="32"/>
          <w:szCs w:val="32"/>
        </w:rPr>
        <w:t>事业收入：指事业单位开展专业业务活动及辅助活动取得的收入。</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3.</w:t>
      </w:r>
      <w:r>
        <w:rPr>
          <w:rFonts w:eastAsia="仿宋_GB2312" w:cs="仿宋_GB2312" w:hint="eastAsia"/>
          <w:sz w:val="32"/>
          <w:szCs w:val="32"/>
        </w:rPr>
        <w:t>经营收入：指事业单位在专业业务活动及其辅助活动之外开展非独立核算经营活动取得的收入。</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4.</w:t>
      </w:r>
      <w:r>
        <w:rPr>
          <w:rFonts w:eastAsia="仿宋_GB2312" w:cs="仿宋_GB2312" w:hint="eastAsia"/>
          <w:sz w:val="32"/>
          <w:szCs w:val="32"/>
        </w:rPr>
        <w:t>其他收入：指单位取得的除上述收入以外的各项收入。</w:t>
      </w:r>
      <w:r>
        <w:rPr>
          <w:rFonts w:eastAsia="仿宋_GB2312" w:cs="仿宋_GB2312" w:hint="eastAsia"/>
          <w:sz w:val="32"/>
          <w:szCs w:val="32"/>
        </w:rPr>
        <w:t xml:space="preserve"> </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5.</w:t>
      </w:r>
      <w:r>
        <w:rPr>
          <w:rFonts w:eastAsia="仿宋_GB2312" w:cs="仿宋_GB2312" w:hint="eastAsia"/>
          <w:sz w:val="32"/>
          <w:szCs w:val="32"/>
        </w:rPr>
        <w:t>使用非财政拨款结余（含专用结余）：指事业单位使用以前年度积累的非财政拨款结余弥补当年收支差额的金额。</w:t>
      </w:r>
      <w:r>
        <w:rPr>
          <w:rFonts w:eastAsia="仿宋_GB2312" w:cs="仿宋_GB2312" w:hint="eastAsia"/>
          <w:sz w:val="32"/>
          <w:szCs w:val="32"/>
        </w:rPr>
        <w:t xml:space="preserve"> </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6.</w:t>
      </w:r>
      <w:r>
        <w:rPr>
          <w:rFonts w:eastAsia="仿宋_GB2312" w:cs="仿宋_GB2312" w:hint="eastAsia"/>
          <w:sz w:val="32"/>
          <w:szCs w:val="32"/>
        </w:rPr>
        <w:t>年初结转和结余：指以前年度尚未完成、结转到本年按有关规定继续使用的资金。</w:t>
      </w:r>
      <w:r>
        <w:rPr>
          <w:rFonts w:eastAsia="仿宋_GB2312" w:cs="仿宋_GB2312" w:hint="eastAsia"/>
          <w:sz w:val="32"/>
          <w:szCs w:val="32"/>
        </w:rPr>
        <w:t xml:space="preserve"> </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7.</w:t>
      </w:r>
      <w:r>
        <w:rPr>
          <w:rFonts w:eastAsia="仿宋_GB2312" w:cs="仿宋_GB2312" w:hint="eastAsia"/>
          <w:sz w:val="32"/>
          <w:szCs w:val="32"/>
        </w:rPr>
        <w:t>结余分配：指事业单位按照会计制度规定缴纳的所得税、提取的专用结余以及转入非财政拨款结余的金额等。</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8.</w:t>
      </w:r>
      <w:r>
        <w:rPr>
          <w:rFonts w:eastAsia="仿宋_GB2312" w:cs="仿宋_GB2312" w:hint="eastAsia"/>
          <w:sz w:val="32"/>
          <w:szCs w:val="32"/>
        </w:rPr>
        <w:t>年末结转和结余：指单位按有关规定结转到下年或以后年度继续使用的资金。</w:t>
      </w:r>
    </w:p>
    <w:p w:rsidR="00AB247A" w:rsidRDefault="00714F03">
      <w:pPr>
        <w:spacing w:line="600" w:lineRule="exact"/>
        <w:ind w:firstLineChars="200" w:firstLine="643"/>
        <w:rPr>
          <w:rStyle w:val="a9"/>
          <w:rFonts w:ascii="仿宋_GB2312" w:eastAsia="仿宋_GB2312" w:hAnsi="仿宋_GB2312" w:cs="仿宋_GB2312"/>
          <w:b w:val="0"/>
          <w:bCs/>
          <w:sz w:val="32"/>
          <w:szCs w:val="32"/>
        </w:rPr>
      </w:pPr>
      <w:r>
        <w:rPr>
          <w:rStyle w:val="a9"/>
          <w:rFonts w:ascii="仿宋_GB2312" w:eastAsia="仿宋_GB2312" w:hAnsi="仿宋_GB2312" w:cs="仿宋_GB2312" w:hint="eastAsia"/>
          <w:bCs/>
          <w:sz w:val="32"/>
          <w:szCs w:val="32"/>
        </w:rPr>
        <w:t>9</w:t>
      </w:r>
      <w:r>
        <w:rPr>
          <w:rFonts w:eastAsia="仿宋_GB2312" w:cs="仿宋_GB2312" w:hint="eastAsia"/>
          <w:sz w:val="32"/>
          <w:szCs w:val="32"/>
        </w:rPr>
        <w:t>.</w:t>
      </w:r>
      <w:r>
        <w:rPr>
          <w:rFonts w:eastAsia="仿宋_GB2312" w:cs="仿宋_GB2312" w:hint="eastAsia"/>
          <w:sz w:val="32"/>
          <w:szCs w:val="32"/>
        </w:rPr>
        <w:t>一般公共服务（类）人大事务（款）一般行政管理事务（项）</w:t>
      </w:r>
      <w:r>
        <w:rPr>
          <w:rFonts w:eastAsia="仿宋_GB2312" w:cs="仿宋_GB2312" w:hint="eastAsia"/>
          <w:sz w:val="32"/>
          <w:szCs w:val="32"/>
        </w:rPr>
        <w:t xml:space="preserve">: </w:t>
      </w:r>
      <w:r>
        <w:rPr>
          <w:rFonts w:eastAsia="仿宋_GB2312" w:cs="仿宋_GB2312" w:hint="eastAsia"/>
          <w:sz w:val="32"/>
          <w:szCs w:val="32"/>
        </w:rPr>
        <w:t>反映行政单位（包括实行公务员管理的事业单位）未单独设置项级科目的其他项目支出。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10.</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一般公共服务（类）政府办公厅（室）及相关机构事务（款）行政运行（项）</w:t>
      </w:r>
      <w:r>
        <w:rPr>
          <w:rFonts w:eastAsia="仿宋_GB2312" w:cs="仿宋_GB2312" w:hint="eastAsia"/>
          <w:sz w:val="32"/>
          <w:szCs w:val="32"/>
        </w:rPr>
        <w:t xml:space="preserve">: </w:t>
      </w:r>
      <w:r>
        <w:rPr>
          <w:rFonts w:eastAsia="仿宋_GB2312" w:cs="仿宋_GB2312" w:hint="eastAsia"/>
          <w:sz w:val="32"/>
          <w:szCs w:val="32"/>
        </w:rPr>
        <w:t>反映行政单位（包括实行公务员管理的事业单位）的基本支出。</w:t>
      </w:r>
    </w:p>
    <w:p w:rsidR="00AB247A" w:rsidRDefault="00714F03">
      <w:pPr>
        <w:spacing w:line="600" w:lineRule="exact"/>
        <w:ind w:firstLineChars="200" w:firstLine="640"/>
        <w:rPr>
          <w:rFonts w:ascii="仿宋_GB2312" w:eastAsia="仿宋_GB2312" w:hAnsi="仿宋_GB2312" w:cs="仿宋_GB2312"/>
          <w:b/>
          <w:sz w:val="32"/>
          <w:szCs w:val="32"/>
        </w:rPr>
      </w:pPr>
      <w:r>
        <w:rPr>
          <w:rFonts w:eastAsia="仿宋_GB2312" w:cs="仿宋_GB2312" w:hint="eastAsia"/>
          <w:sz w:val="32"/>
          <w:szCs w:val="32"/>
        </w:rPr>
        <w:lastRenderedPageBreak/>
        <w:t>11.</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一般公共服务（类）政府办公厅（室）及相关机构事务（款）一般行政管理事务（项）</w:t>
      </w:r>
      <w:r>
        <w:rPr>
          <w:rFonts w:eastAsia="仿宋_GB2312" w:cs="仿宋_GB2312" w:hint="eastAsia"/>
          <w:sz w:val="32"/>
          <w:szCs w:val="32"/>
        </w:rPr>
        <w:t xml:space="preserve">: </w:t>
      </w:r>
      <w:r>
        <w:rPr>
          <w:rFonts w:eastAsia="仿宋_GB2312" w:cs="仿宋_GB2312" w:hint="eastAsia"/>
          <w:sz w:val="32"/>
          <w:szCs w:val="32"/>
        </w:rPr>
        <w:t>反映行政单位（包括实行公务员管理的事业单位）未单独设置项级科目的其他项目支出。。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12.</w:t>
      </w:r>
      <w:r>
        <w:rPr>
          <w:rFonts w:ascii="仿宋_GB2312" w:eastAsia="仿宋_GB2312" w:hAnsi="仿宋_GB2312" w:cs="仿宋_GB2312" w:hint="eastAsia"/>
          <w:bCs/>
          <w:sz w:val="32"/>
          <w:szCs w:val="32"/>
        </w:rPr>
        <w:t xml:space="preserve"> </w:t>
      </w:r>
      <w:r>
        <w:rPr>
          <w:rFonts w:eastAsia="仿宋_GB2312" w:cs="仿宋_GB2312" w:hint="eastAsia"/>
          <w:sz w:val="32"/>
          <w:szCs w:val="32"/>
        </w:rPr>
        <w:t>一般公共服务（类）政府办公厅（室）及相关机构事务（款）事业运行（项）</w:t>
      </w:r>
      <w:r>
        <w:rPr>
          <w:rFonts w:eastAsia="仿宋_GB2312" w:cs="仿宋_GB2312" w:hint="eastAsia"/>
          <w:sz w:val="32"/>
          <w:szCs w:val="32"/>
        </w:rPr>
        <w:t xml:space="preserve">: </w:t>
      </w:r>
      <w:r>
        <w:rPr>
          <w:rFonts w:eastAsia="仿宋_GB2312" w:cs="仿宋_GB2312" w:hint="eastAsia"/>
          <w:sz w:val="32"/>
          <w:szCs w:val="32"/>
        </w:rPr>
        <w:t>反映行政单位下属事业单位的基本支出。</w:t>
      </w:r>
    </w:p>
    <w:p w:rsidR="00AB247A" w:rsidRDefault="00AB247A">
      <w:pPr>
        <w:pStyle w:val="a0"/>
      </w:pPr>
    </w:p>
    <w:p w:rsidR="00AB247A" w:rsidRDefault="00714F03">
      <w:pPr>
        <w:pStyle w:val="a0"/>
      </w:pPr>
      <w:r>
        <w:rPr>
          <w:rFonts w:hint="eastAsia"/>
        </w:rPr>
        <w:t xml:space="preserve">     </w:t>
      </w:r>
      <w:r>
        <w:rPr>
          <w:rFonts w:eastAsia="仿宋_GB2312" w:cs="仿宋_GB2312" w:hint="eastAsia"/>
          <w:sz w:val="32"/>
          <w:szCs w:val="32"/>
        </w:rPr>
        <w:t xml:space="preserve">  13. </w:t>
      </w:r>
      <w:r>
        <w:rPr>
          <w:rFonts w:eastAsia="仿宋_GB2312" w:cs="仿宋_GB2312" w:hint="eastAsia"/>
          <w:sz w:val="32"/>
          <w:szCs w:val="32"/>
        </w:rPr>
        <w:t>一般公共服务（类）统计信息事务（款）专项普查活动（项）</w:t>
      </w:r>
      <w:r>
        <w:rPr>
          <w:rFonts w:eastAsia="仿宋_GB2312" w:cs="仿宋_GB2312" w:hint="eastAsia"/>
          <w:sz w:val="32"/>
          <w:szCs w:val="32"/>
        </w:rPr>
        <w:t xml:space="preserve">: </w:t>
      </w:r>
      <w:r>
        <w:rPr>
          <w:rFonts w:eastAsia="仿宋_GB2312" w:cs="仿宋_GB2312" w:hint="eastAsia"/>
          <w:sz w:val="32"/>
          <w:szCs w:val="32"/>
        </w:rPr>
        <w:t>反映统计信息专项普查相关支出。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 xml:space="preserve">14. </w:t>
      </w:r>
      <w:r>
        <w:rPr>
          <w:rFonts w:eastAsia="仿宋_GB2312" w:cs="仿宋_GB2312" w:hint="eastAsia"/>
          <w:sz w:val="32"/>
          <w:szCs w:val="32"/>
        </w:rPr>
        <w:t>一般公共服务（类）信访事务（款）一般行政管理事务（项）</w:t>
      </w:r>
      <w:r>
        <w:rPr>
          <w:rFonts w:eastAsia="仿宋_GB2312" w:cs="仿宋_GB2312" w:hint="eastAsia"/>
          <w:sz w:val="32"/>
          <w:szCs w:val="32"/>
        </w:rPr>
        <w:t xml:space="preserve">: </w:t>
      </w:r>
      <w:r>
        <w:rPr>
          <w:rFonts w:eastAsia="仿宋_GB2312" w:cs="仿宋_GB2312" w:hint="eastAsia"/>
          <w:sz w:val="32"/>
          <w:szCs w:val="32"/>
        </w:rPr>
        <w:t>反映各级政府用于接待群众来访方面的支出。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15.</w:t>
      </w:r>
      <w:r>
        <w:rPr>
          <w:rFonts w:hint="eastAsia"/>
        </w:rPr>
        <w:t xml:space="preserve"> </w:t>
      </w:r>
      <w:r>
        <w:rPr>
          <w:rFonts w:eastAsia="仿宋_GB2312" w:cs="仿宋_GB2312" w:hint="eastAsia"/>
          <w:sz w:val="32"/>
          <w:szCs w:val="32"/>
        </w:rPr>
        <w:t>公共安全支出（类）公安（款）其他公安支出（项）</w:t>
      </w:r>
      <w:r>
        <w:rPr>
          <w:rFonts w:eastAsia="仿宋_GB2312" w:cs="仿宋_GB2312" w:hint="eastAsia"/>
          <w:sz w:val="32"/>
          <w:szCs w:val="32"/>
        </w:rPr>
        <w:t xml:space="preserve">: </w:t>
      </w:r>
      <w:r>
        <w:rPr>
          <w:rFonts w:eastAsia="仿宋_GB2312" w:cs="仿宋_GB2312" w:hint="eastAsia"/>
          <w:sz w:val="32"/>
          <w:szCs w:val="32"/>
        </w:rPr>
        <w:t>反映除以上项目以外其他用于公安方面的。</w:t>
      </w:r>
    </w:p>
    <w:p w:rsidR="00AB247A" w:rsidRDefault="00AB247A">
      <w:pPr>
        <w:pStyle w:val="a0"/>
      </w:pPr>
    </w:p>
    <w:p w:rsidR="00AB247A" w:rsidRDefault="00714F03">
      <w:pPr>
        <w:pStyle w:val="a0"/>
        <w:rPr>
          <w:rFonts w:eastAsia="仿宋_GB2312" w:cs="仿宋_GB2312"/>
          <w:sz w:val="32"/>
          <w:szCs w:val="32"/>
        </w:rPr>
      </w:pPr>
      <w:r>
        <w:rPr>
          <w:rFonts w:hint="eastAsia"/>
        </w:rPr>
        <w:t xml:space="preserve">      </w:t>
      </w:r>
      <w:r>
        <w:rPr>
          <w:rFonts w:eastAsia="仿宋_GB2312" w:cs="仿宋_GB2312" w:hint="eastAsia"/>
          <w:sz w:val="32"/>
          <w:szCs w:val="32"/>
        </w:rPr>
        <w:t>16.</w:t>
      </w:r>
      <w:r>
        <w:rPr>
          <w:rFonts w:hint="eastAsia"/>
        </w:rPr>
        <w:t xml:space="preserve"> </w:t>
      </w:r>
      <w:r>
        <w:rPr>
          <w:rFonts w:eastAsia="仿宋_GB2312" w:cs="仿宋_GB2312" w:hint="eastAsia"/>
          <w:sz w:val="32"/>
          <w:szCs w:val="32"/>
        </w:rPr>
        <w:t>文化旅游体育与传媒（类）文化和旅游（款）其他文化和旅游支出（项）</w:t>
      </w:r>
      <w:r>
        <w:rPr>
          <w:rFonts w:eastAsia="仿宋_GB2312" w:cs="仿宋_GB2312" w:hint="eastAsia"/>
          <w:sz w:val="32"/>
          <w:szCs w:val="32"/>
        </w:rPr>
        <w:t xml:space="preserve">: </w:t>
      </w:r>
      <w:r>
        <w:rPr>
          <w:rFonts w:eastAsia="仿宋_GB2312" w:cs="仿宋_GB2312" w:hint="eastAsia"/>
          <w:sz w:val="32"/>
          <w:szCs w:val="32"/>
        </w:rPr>
        <w:t>反映除上述项目以外其他用于文化旅游方面的支出。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17.</w:t>
      </w:r>
      <w:r>
        <w:rPr>
          <w:rFonts w:hint="eastAsia"/>
        </w:rPr>
        <w:t xml:space="preserve"> </w:t>
      </w:r>
      <w:r>
        <w:rPr>
          <w:rFonts w:eastAsia="仿宋_GB2312" w:cs="仿宋_GB2312" w:hint="eastAsia"/>
          <w:sz w:val="32"/>
          <w:szCs w:val="32"/>
        </w:rPr>
        <w:t>社会保障和就业（类）行政事业单位养老支出（款）机关事业单位基本养老保险缴费支出（项）</w:t>
      </w:r>
      <w:r>
        <w:rPr>
          <w:rFonts w:eastAsia="仿宋_GB2312" w:cs="仿宋_GB2312" w:hint="eastAsia"/>
          <w:sz w:val="32"/>
          <w:szCs w:val="32"/>
        </w:rPr>
        <w:t xml:space="preserve">: </w:t>
      </w:r>
      <w:r>
        <w:rPr>
          <w:rFonts w:eastAsia="仿宋_GB2312" w:cs="仿宋_GB2312" w:hint="eastAsia"/>
          <w:sz w:val="32"/>
          <w:szCs w:val="32"/>
        </w:rPr>
        <w:t>反映机关事业单位实施养老保险制度由单位缴纳的基本养老保险支出。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18.</w:t>
      </w:r>
      <w:r>
        <w:rPr>
          <w:rFonts w:hint="eastAsia"/>
        </w:rPr>
        <w:t xml:space="preserve"> </w:t>
      </w:r>
      <w:r>
        <w:rPr>
          <w:rFonts w:eastAsia="仿宋_GB2312" w:cs="仿宋_GB2312" w:hint="eastAsia"/>
          <w:sz w:val="32"/>
          <w:szCs w:val="32"/>
        </w:rPr>
        <w:t>社会保障和就业（类）行政事业单位养老支出（款）机关事业单位职业年金缴费支出（项）</w:t>
      </w:r>
      <w:r>
        <w:rPr>
          <w:rFonts w:eastAsia="仿宋_GB2312" w:cs="仿宋_GB2312" w:hint="eastAsia"/>
          <w:sz w:val="32"/>
          <w:szCs w:val="32"/>
        </w:rPr>
        <w:t xml:space="preserve">: </w:t>
      </w:r>
      <w:r>
        <w:rPr>
          <w:rFonts w:eastAsia="仿宋_GB2312" w:cs="仿宋_GB2312" w:hint="eastAsia"/>
          <w:sz w:val="32"/>
          <w:szCs w:val="32"/>
        </w:rPr>
        <w:t>反映机关事业单位实施养老保险制度由单位缴纳的职业年金支出。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19.</w:t>
      </w:r>
      <w:r>
        <w:rPr>
          <w:rFonts w:hint="eastAsia"/>
        </w:rPr>
        <w:t xml:space="preserve"> </w:t>
      </w:r>
      <w:r>
        <w:rPr>
          <w:rFonts w:eastAsia="仿宋_GB2312" w:cs="仿宋_GB2312" w:hint="eastAsia"/>
          <w:sz w:val="32"/>
          <w:szCs w:val="32"/>
        </w:rPr>
        <w:t>社会保障和就业（类）行政事业单位养老支出（款）其他行政事业单位养老支出（项）</w:t>
      </w:r>
      <w:r>
        <w:rPr>
          <w:rFonts w:eastAsia="仿宋_GB2312" w:cs="仿宋_GB2312" w:hint="eastAsia"/>
          <w:sz w:val="32"/>
          <w:szCs w:val="32"/>
        </w:rPr>
        <w:t xml:space="preserve">: </w:t>
      </w:r>
      <w:r>
        <w:rPr>
          <w:rFonts w:eastAsia="仿宋_GB2312" w:cs="仿宋_GB2312" w:hint="eastAsia"/>
          <w:sz w:val="32"/>
          <w:szCs w:val="32"/>
        </w:rPr>
        <w:t>反映机关事业单位实施</w:t>
      </w:r>
      <w:r>
        <w:rPr>
          <w:rFonts w:eastAsia="仿宋_GB2312" w:cs="仿宋_GB2312" w:hint="eastAsia"/>
          <w:sz w:val="32"/>
          <w:szCs w:val="32"/>
        </w:rPr>
        <w:lastRenderedPageBreak/>
        <w:t>养老保险制度由单位缴纳的其他行政事业单位养老支出。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20.</w:t>
      </w:r>
      <w:r>
        <w:rPr>
          <w:rFonts w:hint="eastAsia"/>
        </w:rPr>
        <w:t xml:space="preserve"> </w:t>
      </w:r>
      <w:r>
        <w:rPr>
          <w:rFonts w:eastAsia="仿宋_GB2312" w:cs="仿宋_GB2312" w:hint="eastAsia"/>
          <w:sz w:val="32"/>
          <w:szCs w:val="32"/>
        </w:rPr>
        <w:t>社会保障和就业（类）抚恤（款）其他优抚支出（项）</w:t>
      </w:r>
      <w:r>
        <w:rPr>
          <w:rFonts w:eastAsia="仿宋_GB2312" w:cs="仿宋_GB2312" w:hint="eastAsia"/>
          <w:sz w:val="32"/>
          <w:szCs w:val="32"/>
        </w:rPr>
        <w:t xml:space="preserve">: </w:t>
      </w:r>
      <w:r>
        <w:rPr>
          <w:rFonts w:eastAsia="仿宋_GB2312" w:cs="仿宋_GB2312" w:hint="eastAsia"/>
          <w:sz w:val="32"/>
          <w:szCs w:val="32"/>
        </w:rPr>
        <w:t>反映除上述项目以外的其他用于优抚方面的支出，包括向优抚对象发放的价格补贴的支出。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21.</w:t>
      </w:r>
      <w:r>
        <w:rPr>
          <w:rFonts w:hint="eastAsia"/>
        </w:rPr>
        <w:t xml:space="preserve"> </w:t>
      </w:r>
      <w:r>
        <w:rPr>
          <w:rFonts w:eastAsia="仿宋_GB2312" w:cs="仿宋_GB2312" w:hint="eastAsia"/>
          <w:sz w:val="32"/>
          <w:szCs w:val="32"/>
        </w:rPr>
        <w:t>社会保障和就业（类）退役安置（款）其他退役安置支出（项）</w:t>
      </w:r>
      <w:r>
        <w:rPr>
          <w:rFonts w:eastAsia="仿宋_GB2312" w:cs="仿宋_GB2312" w:hint="eastAsia"/>
          <w:sz w:val="32"/>
          <w:szCs w:val="32"/>
        </w:rPr>
        <w:t xml:space="preserve">: </w:t>
      </w:r>
      <w:r>
        <w:rPr>
          <w:rFonts w:eastAsia="仿宋_GB2312" w:cs="仿宋_GB2312" w:hint="eastAsia"/>
          <w:sz w:val="32"/>
          <w:szCs w:val="32"/>
        </w:rPr>
        <w:t>反映除上述项目以外其他用于退役安置方面的支出。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22.</w:t>
      </w:r>
      <w:r>
        <w:rPr>
          <w:rFonts w:hint="eastAsia"/>
        </w:rPr>
        <w:t xml:space="preserve"> </w:t>
      </w:r>
      <w:r>
        <w:rPr>
          <w:rFonts w:eastAsia="仿宋_GB2312" w:cs="仿宋_GB2312" w:hint="eastAsia"/>
          <w:sz w:val="32"/>
          <w:szCs w:val="32"/>
        </w:rPr>
        <w:t>社会保障和就业（类）其他社会保障和就业支出（款）其他社会保障和就业支出（项）</w:t>
      </w:r>
      <w:r>
        <w:rPr>
          <w:rFonts w:eastAsia="仿宋_GB2312" w:cs="仿宋_GB2312" w:hint="eastAsia"/>
          <w:sz w:val="32"/>
          <w:szCs w:val="32"/>
        </w:rPr>
        <w:t xml:space="preserve">: </w:t>
      </w:r>
      <w:r>
        <w:rPr>
          <w:rFonts w:eastAsia="仿宋_GB2312" w:cs="仿宋_GB2312" w:hint="eastAsia"/>
          <w:sz w:val="32"/>
          <w:szCs w:val="32"/>
        </w:rPr>
        <w:t>反映除上述以外用于社会保障和就业支出。</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23.</w:t>
      </w:r>
      <w:r>
        <w:rPr>
          <w:rFonts w:eastAsia="仿宋_GB2312" w:cs="仿宋_GB2312" w:hint="eastAsia"/>
          <w:sz w:val="32"/>
          <w:szCs w:val="32"/>
        </w:rPr>
        <w:t>卫生健康（类）行政事业单位医疗（款）行政单位医疗（项）</w:t>
      </w:r>
      <w:r>
        <w:rPr>
          <w:rFonts w:eastAsia="仿宋_GB2312" w:cs="仿宋_GB2312" w:hint="eastAsia"/>
          <w:sz w:val="32"/>
          <w:szCs w:val="32"/>
        </w:rPr>
        <w:t xml:space="preserve">: </w:t>
      </w:r>
      <w:r>
        <w:rPr>
          <w:rFonts w:eastAsia="仿宋_GB2312" w:cs="仿宋_GB2312" w:hint="eastAsia"/>
          <w:sz w:val="32"/>
          <w:szCs w:val="32"/>
        </w:rPr>
        <w:t>反映财政部门安排的行政单位（包括实行公务员管理的事业单位）基本医疗保险缴费经费，未参加医疗保险的行政单位的公费医疗经费，按国家规定享受离休人员、红军老战士待遇人员的医疗经费。</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24.</w:t>
      </w:r>
      <w:r>
        <w:rPr>
          <w:rFonts w:eastAsia="仿宋_GB2312" w:cs="仿宋_GB2312" w:hint="eastAsia"/>
          <w:sz w:val="32"/>
          <w:szCs w:val="32"/>
        </w:rPr>
        <w:t>卫生健康（类）行政事业单位医疗（款）事业单位医疗（项）</w:t>
      </w:r>
      <w:r>
        <w:rPr>
          <w:rFonts w:eastAsia="仿宋_GB2312" w:cs="仿宋_GB2312" w:hint="eastAsia"/>
          <w:sz w:val="32"/>
          <w:szCs w:val="32"/>
        </w:rPr>
        <w:t>:</w:t>
      </w:r>
      <w:r>
        <w:rPr>
          <w:rFonts w:hint="eastAsia"/>
          <w:sz w:val="32"/>
          <w:szCs w:val="32"/>
        </w:rPr>
        <w:t xml:space="preserve"> </w:t>
      </w:r>
      <w:r>
        <w:rPr>
          <w:rFonts w:eastAsia="仿宋_GB2312" w:cs="仿宋_GB2312" w:hint="eastAsia"/>
          <w:sz w:val="32"/>
          <w:szCs w:val="32"/>
        </w:rPr>
        <w:t>反映财政部门安排的事业单位基本医疗保险缴费经费，未参加医疗保险的事业单位的公费医疗经费，按国家规定享受离休人员待遇的医疗经费。</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25.</w:t>
      </w:r>
      <w:r>
        <w:rPr>
          <w:rFonts w:eastAsia="仿宋_GB2312" w:cs="仿宋_GB2312" w:hint="eastAsia"/>
          <w:sz w:val="32"/>
          <w:szCs w:val="32"/>
        </w:rPr>
        <w:t>卫生健康（类）行政事业单位医疗（款）公务员医疗补助（项）</w:t>
      </w:r>
      <w:r>
        <w:rPr>
          <w:rFonts w:eastAsia="仿宋_GB2312" w:cs="仿宋_GB2312" w:hint="eastAsia"/>
          <w:sz w:val="32"/>
          <w:szCs w:val="32"/>
        </w:rPr>
        <w:t xml:space="preserve">: </w:t>
      </w:r>
      <w:r>
        <w:rPr>
          <w:rFonts w:eastAsia="仿宋_GB2312" w:cs="仿宋_GB2312" w:hint="eastAsia"/>
          <w:sz w:val="32"/>
          <w:szCs w:val="32"/>
        </w:rPr>
        <w:t>反映财政部门安排的公务员医疗补助经费。</w:t>
      </w:r>
    </w:p>
    <w:p w:rsidR="00AB247A" w:rsidRDefault="00714F03">
      <w:pPr>
        <w:pStyle w:val="a5"/>
        <w:spacing w:before="93"/>
        <w:ind w:firstLineChars="200" w:firstLine="640"/>
        <w:rPr>
          <w:kern w:val="2"/>
          <w:sz w:val="32"/>
          <w:szCs w:val="32"/>
        </w:rPr>
      </w:pPr>
      <w:r>
        <w:rPr>
          <w:rFonts w:cs="仿宋_GB2312" w:hint="eastAsia"/>
          <w:sz w:val="32"/>
          <w:szCs w:val="32"/>
        </w:rPr>
        <w:t>26.</w:t>
      </w:r>
      <w:r>
        <w:rPr>
          <w:rFonts w:hAnsi="仿宋_GB2312" w:cs="仿宋_GB2312" w:hint="eastAsia"/>
          <w:b/>
          <w:bCs/>
          <w:sz w:val="32"/>
          <w:szCs w:val="32"/>
        </w:rPr>
        <w:t xml:space="preserve"> </w:t>
      </w:r>
      <w:r>
        <w:rPr>
          <w:rFonts w:cs="仿宋_GB2312" w:hint="eastAsia"/>
          <w:sz w:val="32"/>
          <w:szCs w:val="32"/>
        </w:rPr>
        <w:t>农林水支出（类）农业农村（款）行政运行（项）:</w:t>
      </w:r>
      <w:r>
        <w:rPr>
          <w:rFonts w:hint="eastAsia"/>
          <w:sz w:val="32"/>
          <w:szCs w:val="32"/>
        </w:rPr>
        <w:t xml:space="preserve"> </w:t>
      </w:r>
      <w:r>
        <w:rPr>
          <w:rFonts w:hint="eastAsia"/>
          <w:kern w:val="2"/>
          <w:sz w:val="32"/>
          <w:szCs w:val="32"/>
        </w:rPr>
        <w:t>反映用于农业行政单位基本支出，行政单位设施、系统运行</w:t>
      </w:r>
      <w:r>
        <w:rPr>
          <w:rFonts w:hint="eastAsia"/>
          <w:kern w:val="2"/>
          <w:sz w:val="32"/>
          <w:szCs w:val="32"/>
        </w:rPr>
        <w:lastRenderedPageBreak/>
        <w:t>与资产维护等方面的支出。</w:t>
      </w:r>
    </w:p>
    <w:p w:rsidR="00AB247A" w:rsidRDefault="00714F03">
      <w:pPr>
        <w:pStyle w:val="a5"/>
        <w:spacing w:before="93"/>
        <w:ind w:firstLineChars="200" w:firstLine="640"/>
        <w:rPr>
          <w:kern w:val="2"/>
          <w:sz w:val="32"/>
          <w:szCs w:val="32"/>
        </w:rPr>
      </w:pPr>
      <w:r>
        <w:rPr>
          <w:rFonts w:cs="仿宋_GB2312" w:hint="eastAsia"/>
          <w:sz w:val="32"/>
          <w:szCs w:val="32"/>
        </w:rPr>
        <w:t>27.农林水支出（类）农业农村（款）事业运行（项）:</w:t>
      </w:r>
      <w:r>
        <w:rPr>
          <w:rFonts w:hint="eastAsia"/>
          <w:sz w:val="32"/>
          <w:szCs w:val="32"/>
        </w:rPr>
        <w:t xml:space="preserve"> </w:t>
      </w:r>
      <w:r>
        <w:rPr>
          <w:rFonts w:hint="eastAsia"/>
          <w:kern w:val="2"/>
          <w:sz w:val="32"/>
          <w:szCs w:val="32"/>
        </w:rPr>
        <w:t>反映用于农业事业单位基本支出，事业单位设施、系统运行与资产维护等方面的支出。</w:t>
      </w:r>
      <w:r>
        <w:rPr>
          <w:rFonts w:cs="仿宋_GB2312" w:hint="eastAsia"/>
          <w:sz w:val="32"/>
          <w:szCs w:val="32"/>
        </w:rPr>
        <w:t>。</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28.</w:t>
      </w:r>
      <w:r>
        <w:rPr>
          <w:rFonts w:eastAsia="仿宋_GB2312" w:cs="仿宋_GB2312" w:hint="eastAsia"/>
          <w:sz w:val="32"/>
          <w:szCs w:val="32"/>
        </w:rPr>
        <w:t>农林水支出（类）农业农村（款）农业生态资源保护（项）</w:t>
      </w:r>
      <w:r>
        <w:rPr>
          <w:rFonts w:eastAsia="仿宋_GB2312" w:cs="仿宋_GB2312" w:hint="eastAsia"/>
          <w:sz w:val="32"/>
          <w:szCs w:val="32"/>
        </w:rPr>
        <w:t>:</w:t>
      </w:r>
      <w:r>
        <w:rPr>
          <w:rFonts w:eastAsia="仿宋_GB2312" w:cs="仿宋_GB2312" w:hint="eastAsia"/>
          <w:sz w:val="32"/>
          <w:szCs w:val="32"/>
        </w:rPr>
        <w:t>反映除上述以外用于农业生态资源保护方面的支出。</w:t>
      </w:r>
    </w:p>
    <w:p w:rsidR="00AB247A" w:rsidRDefault="00714F03">
      <w:pPr>
        <w:pStyle w:val="a5"/>
        <w:spacing w:before="93"/>
        <w:ind w:firstLineChars="200" w:firstLine="640"/>
        <w:rPr>
          <w:kern w:val="2"/>
          <w:sz w:val="32"/>
          <w:szCs w:val="32"/>
        </w:rPr>
      </w:pPr>
      <w:r>
        <w:rPr>
          <w:rFonts w:ascii="Times New Roman" w:cs="仿宋_GB2312" w:hint="eastAsia"/>
          <w:kern w:val="2"/>
          <w:sz w:val="32"/>
          <w:szCs w:val="32"/>
        </w:rPr>
        <w:t>29.</w:t>
      </w:r>
      <w:r>
        <w:rPr>
          <w:rFonts w:ascii="Times New Roman" w:cs="仿宋_GB2312" w:hint="eastAsia"/>
          <w:kern w:val="2"/>
          <w:sz w:val="32"/>
          <w:szCs w:val="32"/>
        </w:rPr>
        <w:t>农</w:t>
      </w:r>
      <w:r>
        <w:rPr>
          <w:rFonts w:cs="仿宋_GB2312" w:hint="eastAsia"/>
          <w:sz w:val="32"/>
          <w:szCs w:val="32"/>
        </w:rPr>
        <w:t>林水支出（类）农业农村（款）对高校毕业生到基层任职补助（项）:</w:t>
      </w:r>
      <w:r>
        <w:rPr>
          <w:rFonts w:hint="eastAsia"/>
          <w:sz w:val="32"/>
          <w:szCs w:val="32"/>
        </w:rPr>
        <w:t xml:space="preserve"> </w:t>
      </w:r>
      <w:r>
        <w:rPr>
          <w:rFonts w:hint="eastAsia"/>
          <w:kern w:val="2"/>
          <w:sz w:val="32"/>
          <w:szCs w:val="32"/>
        </w:rPr>
        <w:t>反映按规定对高校毕业生到基层任职的补助支出。</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30.</w:t>
      </w:r>
      <w:r>
        <w:rPr>
          <w:rFonts w:eastAsia="仿宋_GB2312" w:cs="仿宋_GB2312" w:hint="eastAsia"/>
          <w:sz w:val="32"/>
          <w:szCs w:val="32"/>
        </w:rPr>
        <w:t>农林水支出（类）农业农村（款）其他农业农村支出（项）</w:t>
      </w:r>
      <w:r>
        <w:rPr>
          <w:rFonts w:eastAsia="仿宋_GB2312" w:cs="仿宋_GB2312" w:hint="eastAsia"/>
          <w:sz w:val="32"/>
          <w:szCs w:val="32"/>
        </w:rPr>
        <w:t xml:space="preserve">: </w:t>
      </w:r>
      <w:r>
        <w:rPr>
          <w:rFonts w:eastAsia="仿宋_GB2312" w:cs="仿宋_GB2312" w:hint="eastAsia"/>
          <w:sz w:val="32"/>
          <w:szCs w:val="32"/>
        </w:rPr>
        <w:t>反映除上述项目以外其他用于农业农村方面的支出。</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31.</w:t>
      </w:r>
      <w:r>
        <w:rPr>
          <w:rFonts w:eastAsia="仿宋_GB2312" w:cs="仿宋_GB2312" w:hint="eastAsia"/>
          <w:sz w:val="32"/>
          <w:szCs w:val="32"/>
        </w:rPr>
        <w:t>农林水支出（类）水利（款）防汛（项）</w:t>
      </w:r>
      <w:r>
        <w:rPr>
          <w:rFonts w:eastAsia="仿宋_GB2312" w:cs="仿宋_GB2312" w:hint="eastAsia"/>
          <w:sz w:val="32"/>
          <w:szCs w:val="32"/>
        </w:rPr>
        <w:t xml:space="preserve">: </w:t>
      </w:r>
      <w:r>
        <w:rPr>
          <w:rFonts w:eastAsia="仿宋_GB2312" w:cs="仿宋_GB2312" w:hint="eastAsia"/>
          <w:sz w:val="32"/>
          <w:szCs w:val="32"/>
        </w:rPr>
        <w:t>反映除上述项目以外其他用于防汛方面的支出。。</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32.</w:t>
      </w:r>
      <w:r>
        <w:rPr>
          <w:rFonts w:eastAsia="仿宋_GB2312" w:cs="仿宋_GB2312" w:hint="eastAsia"/>
          <w:sz w:val="32"/>
          <w:szCs w:val="32"/>
        </w:rPr>
        <w:t>农林水支出（类）水利（款）其他水利支出（项）</w:t>
      </w:r>
      <w:r>
        <w:rPr>
          <w:rFonts w:eastAsia="仿宋_GB2312" w:cs="仿宋_GB2312" w:hint="eastAsia"/>
          <w:sz w:val="32"/>
          <w:szCs w:val="32"/>
        </w:rPr>
        <w:t xml:space="preserve">: </w:t>
      </w:r>
      <w:r>
        <w:rPr>
          <w:rFonts w:eastAsia="仿宋_GB2312" w:cs="仿宋_GB2312" w:hint="eastAsia"/>
          <w:sz w:val="32"/>
          <w:szCs w:val="32"/>
        </w:rPr>
        <w:t>反映除化解债务支出以外其他用于农林水方面的支出。</w:t>
      </w:r>
    </w:p>
    <w:p w:rsidR="00AB247A" w:rsidRDefault="00AB247A">
      <w:pPr>
        <w:pStyle w:val="a0"/>
      </w:pP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t>33.</w:t>
      </w:r>
      <w:r>
        <w:rPr>
          <w:rFonts w:eastAsia="仿宋_GB2312" w:cs="仿宋_GB2312" w:hint="eastAsia"/>
          <w:sz w:val="32"/>
          <w:szCs w:val="32"/>
        </w:rPr>
        <w:t>农林水支出（类）巩固脱贫攻坚成果衔接支出（款）其他巩固脱贫攻坚成果衔接支出（项）</w:t>
      </w:r>
      <w:r>
        <w:rPr>
          <w:rFonts w:eastAsia="仿宋_GB2312" w:cs="仿宋_GB2312" w:hint="eastAsia"/>
          <w:sz w:val="32"/>
          <w:szCs w:val="32"/>
        </w:rPr>
        <w:t xml:space="preserve">: </w:t>
      </w:r>
      <w:r>
        <w:rPr>
          <w:rFonts w:eastAsia="仿宋_GB2312" w:cs="仿宋_GB2312" w:hint="eastAsia"/>
          <w:sz w:val="32"/>
          <w:szCs w:val="32"/>
        </w:rPr>
        <w:t>反映除上述项目以外其他用于巩固脱贫攻坚成果衔接方面的支出。</w:t>
      </w:r>
    </w:p>
    <w:p w:rsidR="00AB247A" w:rsidRDefault="00714F03">
      <w:pPr>
        <w:pStyle w:val="a5"/>
        <w:spacing w:before="93"/>
        <w:ind w:firstLineChars="200" w:firstLine="640"/>
        <w:rPr>
          <w:kern w:val="2"/>
          <w:sz w:val="32"/>
          <w:szCs w:val="32"/>
        </w:rPr>
      </w:pPr>
      <w:r>
        <w:rPr>
          <w:rFonts w:cs="仿宋_GB2312" w:hint="eastAsia"/>
          <w:sz w:val="32"/>
          <w:szCs w:val="32"/>
        </w:rPr>
        <w:t xml:space="preserve">34.农林水支出（类）农村综合改革（款）对村民委员会和党支部的补助（项）: </w:t>
      </w:r>
      <w:r>
        <w:rPr>
          <w:rFonts w:hint="eastAsia"/>
          <w:kern w:val="2"/>
          <w:sz w:val="32"/>
          <w:szCs w:val="32"/>
        </w:rPr>
        <w:t>反映各级财政对村民委员会和村党支部的补助支出，以及支持建立县级基本财力保障机制安排的村级组织运转奖补资金。</w:t>
      </w:r>
    </w:p>
    <w:p w:rsidR="00AB247A" w:rsidRDefault="00714F03">
      <w:pPr>
        <w:spacing w:line="600" w:lineRule="exact"/>
        <w:ind w:firstLineChars="200" w:firstLine="640"/>
        <w:rPr>
          <w:rFonts w:eastAsia="仿宋_GB2312" w:cs="仿宋_GB2312"/>
          <w:sz w:val="32"/>
          <w:szCs w:val="32"/>
        </w:rPr>
      </w:pPr>
      <w:r>
        <w:rPr>
          <w:rFonts w:eastAsia="仿宋_GB2312" w:cs="仿宋_GB2312" w:hint="eastAsia"/>
          <w:sz w:val="32"/>
          <w:szCs w:val="32"/>
        </w:rPr>
        <w:lastRenderedPageBreak/>
        <w:t>35.</w:t>
      </w:r>
      <w:r>
        <w:rPr>
          <w:rFonts w:ascii="仿宋_GB2312" w:eastAsia="仿宋_GB2312" w:hAnsi="仿宋_GB2312" w:cs="仿宋_GB2312" w:hint="eastAsia"/>
          <w:b/>
          <w:bCs/>
          <w:sz w:val="32"/>
          <w:szCs w:val="32"/>
        </w:rPr>
        <w:t xml:space="preserve"> </w:t>
      </w:r>
      <w:r>
        <w:rPr>
          <w:rFonts w:eastAsia="仿宋_GB2312" w:cs="仿宋_GB2312" w:hint="eastAsia"/>
          <w:sz w:val="32"/>
          <w:szCs w:val="32"/>
        </w:rPr>
        <w:t>住房保障支出（类）住房改革支出（款）住房公积金（项）</w:t>
      </w:r>
      <w:r>
        <w:rPr>
          <w:rFonts w:eastAsia="仿宋_GB2312" w:cs="仿宋_GB2312" w:hint="eastAsia"/>
          <w:sz w:val="32"/>
          <w:szCs w:val="32"/>
        </w:rPr>
        <w:t xml:space="preserve">: </w:t>
      </w:r>
      <w:r>
        <w:rPr>
          <w:rFonts w:eastAsia="仿宋_GB2312" w:cs="仿宋_GB2312" w:hint="eastAsia"/>
          <w:sz w:val="32"/>
          <w:szCs w:val="32"/>
        </w:rPr>
        <w:t>反映行政事业单位按人力资源和社会保障部、财政部规定的基本工资和津贴补贴以及规定比例为职工缴纳的住房公积金。</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36.</w:t>
      </w:r>
      <w:r>
        <w:rPr>
          <w:rFonts w:eastAsia="仿宋_GB2312" w:cs="仿宋_GB2312" w:hint="eastAsia"/>
          <w:sz w:val="32"/>
          <w:szCs w:val="32"/>
        </w:rPr>
        <w:t>基本支出：指为保障机构正常运转、完成日常工作任务而发生的人员支出和公用支出。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37.</w:t>
      </w:r>
      <w:r>
        <w:rPr>
          <w:rFonts w:eastAsia="仿宋_GB2312" w:cs="仿宋_GB2312" w:hint="eastAsia"/>
          <w:sz w:val="32"/>
          <w:szCs w:val="32"/>
        </w:rPr>
        <w:t>项目支出：指在基本支出之外为完成特定行政任务和事业发展目标所发生的支出。</w:t>
      </w:r>
      <w:r>
        <w:rPr>
          <w:rFonts w:eastAsia="仿宋_GB2312" w:cs="仿宋_GB2312" w:hint="eastAsia"/>
          <w:sz w:val="32"/>
          <w:szCs w:val="32"/>
        </w:rPr>
        <w:t xml:space="preserve"> </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38.</w:t>
      </w:r>
      <w:r>
        <w:rPr>
          <w:rFonts w:eastAsia="仿宋_GB2312" w:cs="仿宋_GB2312" w:hint="eastAsia"/>
          <w:sz w:val="32"/>
          <w:szCs w:val="32"/>
        </w:rPr>
        <w:t>经营支出：指事业单位在专业业务活动及其辅助活动之外开展非独立核算经营活动发生的支出。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39.</w:t>
      </w:r>
      <w:r>
        <w:rPr>
          <w:rFonts w:eastAsia="仿宋_GB2312" w:cs="仿宋_GB2312" w:hint="eastAsia"/>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AB247A" w:rsidRDefault="00714F03">
      <w:pPr>
        <w:spacing w:line="600" w:lineRule="exact"/>
        <w:ind w:firstLine="640"/>
        <w:rPr>
          <w:rFonts w:eastAsia="仿宋_GB2312" w:cs="仿宋_GB2312"/>
          <w:sz w:val="32"/>
          <w:szCs w:val="32"/>
        </w:rPr>
      </w:pPr>
      <w:r>
        <w:rPr>
          <w:rFonts w:eastAsia="仿宋_GB2312" w:cs="仿宋_GB2312" w:hint="eastAsia"/>
          <w:sz w:val="32"/>
          <w:szCs w:val="32"/>
        </w:rPr>
        <w:t>40.</w:t>
      </w:r>
      <w:r>
        <w:rPr>
          <w:rFonts w:eastAsia="仿宋_GB2312" w:cs="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w:t>
      </w:r>
      <w:r>
        <w:rPr>
          <w:rFonts w:eastAsia="仿宋_GB2312" w:cs="仿宋_GB2312" w:hint="eastAsia"/>
          <w:sz w:val="32"/>
          <w:szCs w:val="32"/>
        </w:rPr>
        <w:lastRenderedPageBreak/>
        <w:t>及其他费用。</w:t>
      </w:r>
    </w:p>
    <w:p w:rsidR="00AB247A" w:rsidRDefault="00714F03">
      <w:pPr>
        <w:widowControl/>
        <w:jc w:val="left"/>
        <w:rPr>
          <w:rFonts w:eastAsia="仿宋_GB2312" w:cs="仿宋_GB2312"/>
          <w:sz w:val="32"/>
          <w:szCs w:val="32"/>
        </w:rPr>
      </w:pPr>
      <w:bookmarkStart w:id="61" w:name="_Toc15377226"/>
      <w:r>
        <w:rPr>
          <w:rFonts w:eastAsia="仿宋_GB2312" w:cs="仿宋_GB2312" w:hint="eastAsia"/>
          <w:sz w:val="32"/>
          <w:szCs w:val="32"/>
        </w:rPr>
        <w:br w:type="page"/>
      </w:r>
      <w:bookmarkStart w:id="62" w:name="_Toc15396614"/>
    </w:p>
    <w:p w:rsidR="00AB247A" w:rsidRDefault="00714F03">
      <w:pPr>
        <w:spacing w:line="600" w:lineRule="exact"/>
        <w:jc w:val="center"/>
        <w:rPr>
          <w:rStyle w:val="1Char"/>
          <w:rFonts w:eastAsia="仿宋_GB2312" w:cs="仿宋_GB2312"/>
          <w:b w:val="0"/>
          <w:bCs w:val="0"/>
          <w:kern w:val="2"/>
          <w:sz w:val="32"/>
          <w:szCs w:val="32"/>
        </w:rPr>
      </w:pPr>
      <w:r>
        <w:rPr>
          <w:rFonts w:eastAsia="黑体" w:hint="eastAsia"/>
          <w:sz w:val="44"/>
          <w:szCs w:val="44"/>
        </w:rPr>
        <w:lastRenderedPageBreak/>
        <w:t>第四部分</w:t>
      </w:r>
      <w:r>
        <w:rPr>
          <w:rFonts w:eastAsia="黑体" w:hint="eastAsia"/>
          <w:sz w:val="44"/>
          <w:szCs w:val="44"/>
        </w:rPr>
        <w:t xml:space="preserve">  </w:t>
      </w:r>
      <w:r>
        <w:rPr>
          <w:rFonts w:eastAsia="黑体" w:hint="eastAsia"/>
          <w:sz w:val="44"/>
          <w:szCs w:val="44"/>
        </w:rPr>
        <w:t>附件</w:t>
      </w:r>
      <w:bookmarkEnd w:id="62"/>
    </w:p>
    <w:p w:rsidR="00AB247A" w:rsidRDefault="00AB247A">
      <w:pPr>
        <w:spacing w:line="572" w:lineRule="exact"/>
        <w:jc w:val="left"/>
        <w:outlineLvl w:val="0"/>
        <w:rPr>
          <w:rFonts w:eastAsia="黑体" w:cs="黑体"/>
          <w:color w:val="FF0000"/>
          <w:sz w:val="32"/>
          <w:szCs w:val="32"/>
        </w:rPr>
      </w:pPr>
    </w:p>
    <w:p w:rsidR="00AB247A" w:rsidRDefault="00714F03">
      <w:pPr>
        <w:spacing w:line="572" w:lineRule="exact"/>
        <w:jc w:val="left"/>
        <w:outlineLvl w:val="0"/>
        <w:rPr>
          <w:rFonts w:eastAsia="黑体" w:cs="方正小标宋简体"/>
          <w:sz w:val="44"/>
          <w:szCs w:val="44"/>
        </w:rPr>
      </w:pPr>
      <w:r>
        <w:rPr>
          <w:rFonts w:eastAsia="黑体" w:cs="黑体" w:hint="eastAsia"/>
          <w:sz w:val="32"/>
          <w:szCs w:val="32"/>
        </w:rPr>
        <w:t>附件</w:t>
      </w:r>
      <w:r>
        <w:rPr>
          <w:rFonts w:eastAsia="黑体" w:cs="黑体" w:hint="eastAsia"/>
          <w:sz w:val="32"/>
          <w:szCs w:val="32"/>
        </w:rPr>
        <w:t>1</w:t>
      </w:r>
    </w:p>
    <w:p w:rsidR="00AB247A" w:rsidRDefault="00AB247A">
      <w:pPr>
        <w:widowControl/>
        <w:spacing w:line="578" w:lineRule="exact"/>
        <w:contextualSpacing/>
        <w:jc w:val="center"/>
        <w:rPr>
          <w:rFonts w:eastAsia="方正小标宋简体"/>
          <w:bCs/>
          <w:sz w:val="44"/>
          <w:szCs w:val="44"/>
          <w:shd w:val="clear" w:color="auto" w:fill="FFFFFF"/>
        </w:rPr>
      </w:pPr>
    </w:p>
    <w:p w:rsidR="00AB247A" w:rsidRDefault="00714F03">
      <w:pPr>
        <w:widowControl/>
        <w:spacing w:line="578" w:lineRule="exact"/>
        <w:contextualSpacing/>
        <w:jc w:val="center"/>
        <w:rPr>
          <w:rFonts w:eastAsia="方正小标宋简体"/>
          <w:bCs/>
          <w:sz w:val="44"/>
          <w:szCs w:val="44"/>
          <w:shd w:val="clear" w:color="auto" w:fill="FFFFFF"/>
        </w:rPr>
      </w:pPr>
      <w:r>
        <w:rPr>
          <w:rFonts w:eastAsia="方正小标宋简体" w:hint="eastAsia"/>
          <w:bCs/>
          <w:sz w:val="44"/>
          <w:szCs w:val="44"/>
          <w:shd w:val="clear" w:color="auto" w:fill="FFFFFF"/>
        </w:rPr>
        <w:t>乐山市市中区悦来镇人民政府</w:t>
      </w:r>
    </w:p>
    <w:p w:rsidR="00AB247A" w:rsidRDefault="00714F03">
      <w:pPr>
        <w:widowControl/>
        <w:spacing w:line="578" w:lineRule="exact"/>
        <w:contextualSpacing/>
        <w:jc w:val="center"/>
        <w:rPr>
          <w:rFonts w:eastAsia="仿宋_GB2312"/>
          <w:sz w:val="32"/>
          <w:szCs w:val="32"/>
          <w:shd w:val="clear" w:color="auto" w:fill="FFFFFF"/>
        </w:rPr>
      </w:pPr>
      <w:r>
        <w:rPr>
          <w:rFonts w:eastAsia="方正小标宋简体" w:hint="eastAsia"/>
          <w:bCs/>
          <w:sz w:val="44"/>
          <w:szCs w:val="44"/>
          <w:shd w:val="clear" w:color="auto" w:fill="FFFFFF"/>
        </w:rPr>
        <w:t>整体绩效自评报告</w:t>
      </w:r>
    </w:p>
    <w:p w:rsidR="00AB247A" w:rsidRDefault="00AB247A">
      <w:pPr>
        <w:widowControl/>
        <w:adjustRightInd w:val="0"/>
        <w:snapToGrid w:val="0"/>
        <w:spacing w:line="578" w:lineRule="exact"/>
        <w:ind w:firstLineChars="200" w:firstLine="480"/>
        <w:contextualSpacing/>
        <w:jc w:val="left"/>
        <w:rPr>
          <w:rFonts w:eastAsia="黑体"/>
          <w:color w:val="000000"/>
          <w:kern w:val="0"/>
          <w:sz w:val="24"/>
          <w:szCs w:val="32"/>
          <w:shd w:val="clear" w:color="auto" w:fill="FFFFFF"/>
        </w:rPr>
      </w:pPr>
    </w:p>
    <w:p w:rsidR="00AB247A" w:rsidRDefault="00714F03">
      <w:pPr>
        <w:widowControl/>
        <w:adjustRightInd w:val="0"/>
        <w:snapToGrid w:val="0"/>
        <w:spacing w:line="578" w:lineRule="exact"/>
        <w:ind w:firstLineChars="200" w:firstLine="640"/>
        <w:contextualSpacing/>
        <w:jc w:val="left"/>
        <w:rPr>
          <w:rFonts w:eastAsia="黑体"/>
          <w:color w:val="000000"/>
          <w:kern w:val="0"/>
          <w:sz w:val="32"/>
          <w:szCs w:val="32"/>
          <w:shd w:val="clear" w:color="auto" w:fill="FFFFFF"/>
          <w:lang w:val="zh-CN"/>
        </w:rPr>
      </w:pPr>
      <w:r>
        <w:rPr>
          <w:rFonts w:eastAsia="黑体" w:hint="eastAsia"/>
          <w:color w:val="000000"/>
          <w:kern w:val="0"/>
          <w:sz w:val="32"/>
          <w:szCs w:val="32"/>
          <w:shd w:val="clear" w:color="auto" w:fill="FFFFFF"/>
          <w:lang w:val="zh-CN"/>
        </w:rPr>
        <w:t>一、</w:t>
      </w:r>
      <w:r>
        <w:rPr>
          <w:rFonts w:eastAsia="黑体"/>
          <w:color w:val="000000"/>
          <w:kern w:val="0"/>
          <w:sz w:val="32"/>
          <w:szCs w:val="32"/>
          <w:shd w:val="clear" w:color="auto" w:fill="FFFFFF"/>
          <w:lang w:val="zh-CN"/>
        </w:rPr>
        <w:t>部门基本情况</w:t>
      </w:r>
    </w:p>
    <w:p w:rsidR="00AB247A" w:rsidRDefault="00714F03">
      <w:pPr>
        <w:widowControl/>
        <w:adjustRightInd w:val="0"/>
        <w:snapToGrid w:val="0"/>
        <w:spacing w:line="578" w:lineRule="exact"/>
        <w:ind w:firstLineChars="200" w:firstLine="643"/>
        <w:contextualSpacing/>
        <w:jc w:val="left"/>
        <w:rPr>
          <w:rFonts w:eastAsia="仿宋_GB2312" w:cs="仿宋_GB2312"/>
          <w:sz w:val="32"/>
          <w:szCs w:val="32"/>
        </w:rPr>
      </w:pPr>
      <w:r>
        <w:rPr>
          <w:rFonts w:eastAsia="楷体_GB2312" w:cs="楷体_GB2312" w:hint="eastAsia"/>
          <w:b/>
          <w:sz w:val="32"/>
          <w:szCs w:val="32"/>
          <w:lang w:val="zh-CN"/>
        </w:rPr>
        <w:t>（一）</w:t>
      </w:r>
      <w:r>
        <w:rPr>
          <w:rFonts w:eastAsia="楷体_GB2312" w:cs="楷体_GB2312"/>
          <w:b/>
          <w:sz w:val="32"/>
          <w:szCs w:val="32"/>
          <w:lang w:val="zh-CN"/>
        </w:rPr>
        <w:t>机构组成。</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乐山市市中区悦来镇人民政府领导机构设党委、人大、人民政府，人民政府设人民武装部；机关行政内设机构</w:t>
      </w:r>
      <w:r>
        <w:rPr>
          <w:rFonts w:eastAsia="仿宋_GB2312" w:hint="eastAsia"/>
          <w:sz w:val="32"/>
          <w:szCs w:val="32"/>
        </w:rPr>
        <w:t>4</w:t>
      </w:r>
      <w:r>
        <w:rPr>
          <w:rFonts w:eastAsia="仿宋_GB2312" w:hint="eastAsia"/>
          <w:sz w:val="32"/>
          <w:szCs w:val="32"/>
        </w:rPr>
        <w:t>个，挂牌机构</w:t>
      </w:r>
      <w:r>
        <w:rPr>
          <w:rFonts w:eastAsia="仿宋_GB2312" w:hint="eastAsia"/>
          <w:sz w:val="32"/>
          <w:szCs w:val="32"/>
        </w:rPr>
        <w:t>4</w:t>
      </w:r>
      <w:r>
        <w:rPr>
          <w:rFonts w:eastAsia="仿宋_GB2312" w:hint="eastAsia"/>
          <w:sz w:val="32"/>
          <w:szCs w:val="32"/>
        </w:rPr>
        <w:t>个：党政、党建办公室（挂党政、党建办公室牌子）、社会事务办公室和综合执法办公室（挂应急管理办公室）、乡村振兴办公室（挂经济发展和社会治理办公室）；直属事业机构</w:t>
      </w:r>
      <w:r>
        <w:rPr>
          <w:rFonts w:eastAsia="仿宋_GB2312" w:hint="eastAsia"/>
          <w:sz w:val="32"/>
          <w:szCs w:val="32"/>
        </w:rPr>
        <w:t>2</w:t>
      </w:r>
      <w:r>
        <w:rPr>
          <w:rFonts w:eastAsia="仿宋_GB2312" w:hint="eastAsia"/>
          <w:sz w:val="32"/>
          <w:szCs w:val="32"/>
        </w:rPr>
        <w:t>个：便民服务中心（挂退役军人服务站、新时代文明实践所）、农业综合服务中心。</w:t>
      </w:r>
    </w:p>
    <w:p w:rsidR="00AB247A" w:rsidRDefault="00AB247A">
      <w:pPr>
        <w:pStyle w:val="a0"/>
      </w:pPr>
    </w:p>
    <w:p w:rsidR="00AB247A" w:rsidRDefault="00714F03">
      <w:pPr>
        <w:widowControl/>
        <w:adjustRightInd w:val="0"/>
        <w:snapToGrid w:val="0"/>
        <w:spacing w:line="578" w:lineRule="exact"/>
        <w:ind w:firstLineChars="200" w:firstLine="643"/>
        <w:contextualSpacing/>
        <w:jc w:val="left"/>
        <w:rPr>
          <w:rFonts w:eastAsia="仿宋_GB2312" w:cs="仿宋_GB2312"/>
          <w:sz w:val="32"/>
          <w:szCs w:val="32"/>
        </w:rPr>
      </w:pPr>
      <w:r>
        <w:rPr>
          <w:rFonts w:eastAsia="楷体_GB2312" w:cs="楷体_GB2312"/>
          <w:b/>
          <w:sz w:val="32"/>
          <w:szCs w:val="32"/>
          <w:lang w:val="zh-CN"/>
        </w:rPr>
        <w:t>（二）机构职能</w:t>
      </w:r>
      <w:r>
        <w:rPr>
          <w:rFonts w:eastAsia="楷体_GB2312" w:cs="楷体_GB2312" w:hint="eastAsia"/>
          <w:b/>
          <w:sz w:val="32"/>
          <w:szCs w:val="32"/>
          <w:lang w:val="zh-CN"/>
        </w:rPr>
        <w:t>。</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乐山市市中区悦来镇人民政府在区委区政府、镇党委领导下，依法行使公共管理、公共服务、公共安全、民生保障等基本职能。</w:t>
      </w:r>
    </w:p>
    <w:p w:rsidR="00AB247A" w:rsidRDefault="00AB247A">
      <w:pPr>
        <w:pStyle w:val="a0"/>
      </w:pPr>
    </w:p>
    <w:p w:rsidR="00AB247A" w:rsidRDefault="00714F03">
      <w:pPr>
        <w:spacing w:line="600" w:lineRule="exact"/>
        <w:ind w:firstLineChars="200" w:firstLine="643"/>
        <w:rPr>
          <w:rFonts w:eastAsia="仿宋_GB2312"/>
          <w:sz w:val="32"/>
          <w:szCs w:val="32"/>
        </w:rPr>
      </w:pPr>
      <w:r>
        <w:rPr>
          <w:rFonts w:eastAsia="楷体_GB2312"/>
          <w:b/>
          <w:bCs/>
          <w:color w:val="000000"/>
          <w:kern w:val="0"/>
          <w:sz w:val="32"/>
          <w:szCs w:val="32"/>
          <w:shd w:val="clear" w:color="auto" w:fill="FFFFFF"/>
          <w:lang w:val="zh-CN"/>
        </w:rPr>
        <w:t>（</w:t>
      </w:r>
      <w:r>
        <w:rPr>
          <w:rFonts w:eastAsia="楷体_GB2312" w:hint="eastAsia"/>
          <w:b/>
          <w:bCs/>
          <w:color w:val="000000"/>
          <w:kern w:val="0"/>
          <w:sz w:val="32"/>
          <w:szCs w:val="32"/>
          <w:shd w:val="clear" w:color="auto" w:fill="FFFFFF"/>
          <w:lang w:val="zh-CN"/>
        </w:rPr>
        <w:t>三</w:t>
      </w:r>
      <w:r>
        <w:rPr>
          <w:rFonts w:eastAsia="楷体_GB2312"/>
          <w:b/>
          <w:bCs/>
          <w:color w:val="000000"/>
          <w:kern w:val="0"/>
          <w:sz w:val="32"/>
          <w:szCs w:val="32"/>
          <w:shd w:val="clear" w:color="auto" w:fill="FFFFFF"/>
          <w:lang w:val="zh-CN"/>
        </w:rPr>
        <w:t>）人员概况</w:t>
      </w:r>
      <w:r>
        <w:rPr>
          <w:rFonts w:eastAsia="楷体_GB2312" w:hint="eastAsia"/>
          <w:b/>
          <w:bCs/>
          <w:color w:val="000000"/>
          <w:kern w:val="0"/>
          <w:sz w:val="32"/>
          <w:szCs w:val="32"/>
          <w:shd w:val="clear" w:color="auto" w:fill="FFFFFF"/>
          <w:lang w:val="zh-CN"/>
        </w:rPr>
        <w:t>。</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截至</w:t>
      </w:r>
      <w:r>
        <w:rPr>
          <w:rFonts w:eastAsia="仿宋_GB2312" w:hint="eastAsia"/>
          <w:sz w:val="32"/>
          <w:szCs w:val="32"/>
        </w:rPr>
        <w:t>2024</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eastAsia="仿宋_GB2312" w:hint="eastAsia"/>
          <w:sz w:val="32"/>
          <w:szCs w:val="32"/>
        </w:rPr>
        <w:t>31</w:t>
      </w:r>
      <w:r>
        <w:rPr>
          <w:rFonts w:eastAsia="仿宋_GB2312" w:hint="eastAsia"/>
          <w:sz w:val="32"/>
          <w:szCs w:val="32"/>
        </w:rPr>
        <w:t>日悦来镇共有编制</w:t>
      </w:r>
      <w:r>
        <w:rPr>
          <w:rFonts w:eastAsia="仿宋_GB2312" w:hint="eastAsia"/>
          <w:sz w:val="32"/>
          <w:szCs w:val="32"/>
        </w:rPr>
        <w:t>31</w:t>
      </w:r>
      <w:r>
        <w:rPr>
          <w:rFonts w:eastAsia="仿宋_GB2312" w:hint="eastAsia"/>
          <w:sz w:val="32"/>
          <w:szCs w:val="32"/>
        </w:rPr>
        <w:t>人，实有在职人员</w:t>
      </w:r>
      <w:r>
        <w:rPr>
          <w:rFonts w:eastAsia="仿宋_GB2312" w:hint="eastAsia"/>
          <w:sz w:val="32"/>
          <w:szCs w:val="32"/>
        </w:rPr>
        <w:t>35</w:t>
      </w:r>
      <w:r>
        <w:rPr>
          <w:rFonts w:eastAsia="仿宋_GB2312" w:hint="eastAsia"/>
          <w:sz w:val="32"/>
          <w:szCs w:val="32"/>
        </w:rPr>
        <w:t>人。其中：机关行政编制</w:t>
      </w:r>
      <w:r>
        <w:rPr>
          <w:rFonts w:eastAsia="仿宋_GB2312" w:hint="eastAsia"/>
          <w:sz w:val="32"/>
          <w:szCs w:val="32"/>
        </w:rPr>
        <w:t>19</w:t>
      </w:r>
      <w:r>
        <w:rPr>
          <w:rFonts w:eastAsia="仿宋_GB2312" w:hint="eastAsia"/>
          <w:sz w:val="32"/>
          <w:szCs w:val="32"/>
        </w:rPr>
        <w:t>名，实有</w:t>
      </w:r>
      <w:r>
        <w:rPr>
          <w:rFonts w:eastAsia="仿宋_GB2312" w:hint="eastAsia"/>
          <w:sz w:val="32"/>
          <w:szCs w:val="32"/>
        </w:rPr>
        <w:t>18</w:t>
      </w:r>
      <w:r>
        <w:rPr>
          <w:rFonts w:eastAsia="仿宋_GB2312" w:hint="eastAsia"/>
          <w:sz w:val="32"/>
          <w:szCs w:val="32"/>
        </w:rPr>
        <w:t>人；机</w:t>
      </w:r>
      <w:r>
        <w:rPr>
          <w:rFonts w:eastAsia="仿宋_GB2312" w:hint="eastAsia"/>
          <w:sz w:val="32"/>
          <w:szCs w:val="32"/>
        </w:rPr>
        <w:lastRenderedPageBreak/>
        <w:t>关工勤人员编制</w:t>
      </w:r>
      <w:r>
        <w:rPr>
          <w:rFonts w:eastAsia="仿宋_GB2312" w:hint="eastAsia"/>
          <w:sz w:val="32"/>
          <w:szCs w:val="32"/>
        </w:rPr>
        <w:t>2</w:t>
      </w:r>
      <w:r>
        <w:rPr>
          <w:rFonts w:eastAsia="仿宋_GB2312" w:hint="eastAsia"/>
          <w:sz w:val="32"/>
          <w:szCs w:val="32"/>
        </w:rPr>
        <w:t>名，实有</w:t>
      </w:r>
      <w:r>
        <w:rPr>
          <w:rFonts w:eastAsia="仿宋_GB2312" w:hint="eastAsia"/>
          <w:sz w:val="32"/>
          <w:szCs w:val="32"/>
        </w:rPr>
        <w:t>1</w:t>
      </w:r>
      <w:r>
        <w:rPr>
          <w:rFonts w:eastAsia="仿宋_GB2312" w:hint="eastAsia"/>
          <w:sz w:val="32"/>
          <w:szCs w:val="32"/>
        </w:rPr>
        <w:t>人；事业编制</w:t>
      </w:r>
      <w:r>
        <w:rPr>
          <w:rFonts w:eastAsia="仿宋_GB2312" w:hint="eastAsia"/>
          <w:sz w:val="32"/>
          <w:szCs w:val="32"/>
        </w:rPr>
        <w:t>10</w:t>
      </w:r>
      <w:r>
        <w:rPr>
          <w:rFonts w:eastAsia="仿宋_GB2312" w:hint="eastAsia"/>
          <w:sz w:val="32"/>
          <w:szCs w:val="32"/>
        </w:rPr>
        <w:t>名，实有</w:t>
      </w:r>
      <w:r>
        <w:rPr>
          <w:rFonts w:eastAsia="仿宋_GB2312" w:hint="eastAsia"/>
          <w:sz w:val="32"/>
          <w:szCs w:val="32"/>
        </w:rPr>
        <w:t>16</w:t>
      </w:r>
      <w:r>
        <w:rPr>
          <w:rFonts w:eastAsia="仿宋_GB2312" w:hint="eastAsia"/>
          <w:sz w:val="32"/>
          <w:szCs w:val="32"/>
        </w:rPr>
        <w:t>人。</w:t>
      </w:r>
    </w:p>
    <w:p w:rsidR="00AB247A" w:rsidRDefault="00AB247A">
      <w:pPr>
        <w:pStyle w:val="a0"/>
      </w:pPr>
    </w:p>
    <w:p w:rsidR="00AB247A" w:rsidRDefault="00714F03">
      <w:pPr>
        <w:widowControl/>
        <w:adjustRightInd w:val="0"/>
        <w:snapToGrid w:val="0"/>
        <w:spacing w:line="578" w:lineRule="exact"/>
        <w:ind w:firstLineChars="200" w:firstLine="640"/>
        <w:contextualSpacing/>
        <w:jc w:val="left"/>
        <w:rPr>
          <w:rFonts w:eastAsia="黑体"/>
          <w:color w:val="000000"/>
          <w:kern w:val="0"/>
          <w:sz w:val="32"/>
          <w:szCs w:val="32"/>
          <w:shd w:val="clear" w:color="auto" w:fill="FFFFFF"/>
          <w:lang w:val="zh-CN"/>
        </w:rPr>
      </w:pPr>
      <w:r>
        <w:rPr>
          <w:rFonts w:eastAsia="黑体"/>
          <w:color w:val="000000"/>
          <w:kern w:val="0"/>
          <w:sz w:val="32"/>
          <w:szCs w:val="32"/>
          <w:shd w:val="clear" w:color="auto" w:fill="FFFFFF"/>
          <w:lang w:val="zh-CN"/>
        </w:rPr>
        <w:t>二、部门资金收支情况</w:t>
      </w:r>
    </w:p>
    <w:p w:rsidR="00AB247A" w:rsidRDefault="00714F03">
      <w:pPr>
        <w:widowControl/>
        <w:adjustRightInd w:val="0"/>
        <w:snapToGrid w:val="0"/>
        <w:spacing w:line="578" w:lineRule="exact"/>
        <w:ind w:firstLineChars="200" w:firstLine="643"/>
        <w:contextualSpacing/>
        <w:jc w:val="left"/>
        <w:rPr>
          <w:rFonts w:eastAsia="楷体_GB2312"/>
          <w:b/>
          <w:bCs/>
          <w:color w:val="000000"/>
          <w:kern w:val="0"/>
          <w:sz w:val="32"/>
          <w:szCs w:val="32"/>
          <w:shd w:val="clear" w:color="auto" w:fill="FFFFFF"/>
          <w:lang w:val="zh-CN"/>
        </w:rPr>
      </w:pPr>
      <w:r>
        <w:rPr>
          <w:rFonts w:eastAsia="楷体_GB2312"/>
          <w:b/>
          <w:bCs/>
          <w:color w:val="000000"/>
          <w:kern w:val="0"/>
          <w:sz w:val="32"/>
          <w:szCs w:val="32"/>
          <w:shd w:val="clear" w:color="auto" w:fill="FFFFFF"/>
          <w:lang w:val="zh-CN"/>
        </w:rPr>
        <w:t>（一）</w:t>
      </w:r>
      <w:r>
        <w:rPr>
          <w:rFonts w:eastAsia="楷体_GB2312" w:hint="eastAsia"/>
          <w:b/>
          <w:bCs/>
          <w:color w:val="000000"/>
          <w:kern w:val="0"/>
          <w:sz w:val="32"/>
          <w:szCs w:val="32"/>
          <w:shd w:val="clear" w:color="auto" w:fill="FFFFFF"/>
          <w:lang w:val="zh-CN"/>
        </w:rPr>
        <w:t>收入情况</w:t>
      </w:r>
      <w:r>
        <w:rPr>
          <w:rFonts w:eastAsia="楷体_GB2312"/>
          <w:b/>
          <w:bCs/>
          <w:color w:val="000000"/>
          <w:kern w:val="0"/>
          <w:sz w:val="32"/>
          <w:szCs w:val="32"/>
          <w:shd w:val="clear" w:color="auto" w:fill="FFFFFF"/>
          <w:lang w:val="zh-CN"/>
        </w:rPr>
        <w:t>。</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年悦来镇人民政府年初预算收入</w:t>
      </w:r>
      <w:r>
        <w:rPr>
          <w:rFonts w:eastAsia="仿宋_GB2312" w:hint="eastAsia"/>
          <w:sz w:val="32"/>
          <w:szCs w:val="32"/>
        </w:rPr>
        <w:t>875.71</w:t>
      </w:r>
      <w:r>
        <w:rPr>
          <w:rFonts w:eastAsia="仿宋_GB2312" w:hint="eastAsia"/>
          <w:sz w:val="32"/>
          <w:szCs w:val="32"/>
        </w:rPr>
        <w:t>万元，其中一般公共预算财政拨款收入</w:t>
      </w:r>
      <w:r>
        <w:rPr>
          <w:rFonts w:eastAsia="仿宋_GB2312" w:hint="eastAsia"/>
          <w:sz w:val="32"/>
          <w:szCs w:val="32"/>
        </w:rPr>
        <w:t>875.71</w:t>
      </w:r>
      <w:r>
        <w:rPr>
          <w:rFonts w:eastAsia="仿宋_GB2312" w:hint="eastAsia"/>
          <w:sz w:val="32"/>
          <w:szCs w:val="32"/>
        </w:rPr>
        <w:t>万元。决算报表收入为</w:t>
      </w:r>
      <w:r>
        <w:rPr>
          <w:rFonts w:eastAsia="仿宋_GB2312" w:hint="eastAsia"/>
          <w:sz w:val="32"/>
          <w:szCs w:val="32"/>
        </w:rPr>
        <w:t>3044.41</w:t>
      </w:r>
      <w:r>
        <w:rPr>
          <w:rFonts w:eastAsia="仿宋_GB2312" w:hint="eastAsia"/>
          <w:sz w:val="32"/>
          <w:szCs w:val="32"/>
        </w:rPr>
        <w:t>万元，其中一般公共预算财政拨款收入</w:t>
      </w:r>
      <w:r>
        <w:rPr>
          <w:rFonts w:eastAsia="仿宋_GB2312" w:hint="eastAsia"/>
          <w:sz w:val="32"/>
          <w:szCs w:val="32"/>
        </w:rPr>
        <w:t>2880.88</w:t>
      </w:r>
      <w:r>
        <w:rPr>
          <w:rFonts w:eastAsia="仿宋_GB2312" w:hint="eastAsia"/>
          <w:sz w:val="32"/>
          <w:szCs w:val="32"/>
        </w:rPr>
        <w:t>万元，</w:t>
      </w:r>
      <w:r>
        <w:rPr>
          <w:rFonts w:eastAsia="仿宋_GB2312"/>
          <w:sz w:val="32"/>
          <w:szCs w:val="32"/>
        </w:rPr>
        <w:t>政府性基金预算财政拨款收入</w:t>
      </w:r>
      <w:r>
        <w:rPr>
          <w:rFonts w:eastAsia="仿宋_GB2312" w:hint="eastAsia"/>
          <w:sz w:val="32"/>
          <w:szCs w:val="32"/>
        </w:rPr>
        <w:t>10.29</w:t>
      </w:r>
      <w:r>
        <w:rPr>
          <w:rFonts w:eastAsia="仿宋_GB2312" w:hint="eastAsia"/>
          <w:sz w:val="32"/>
          <w:szCs w:val="32"/>
        </w:rPr>
        <w:t>万元，其他收入</w:t>
      </w:r>
      <w:r>
        <w:rPr>
          <w:rFonts w:eastAsia="仿宋_GB2312" w:hint="eastAsia"/>
          <w:sz w:val="32"/>
          <w:szCs w:val="32"/>
        </w:rPr>
        <w:t>117.39</w:t>
      </w:r>
      <w:r>
        <w:rPr>
          <w:rFonts w:eastAsia="仿宋_GB2312" w:hint="eastAsia"/>
          <w:sz w:val="32"/>
          <w:szCs w:val="32"/>
        </w:rPr>
        <w:t>万元，</w:t>
      </w:r>
      <w:r>
        <w:rPr>
          <w:rFonts w:eastAsia="仿宋_GB2312"/>
          <w:sz w:val="32"/>
          <w:szCs w:val="32"/>
        </w:rPr>
        <w:t>年初结转和结余</w:t>
      </w:r>
      <w:r>
        <w:rPr>
          <w:rFonts w:eastAsia="仿宋_GB2312" w:hint="eastAsia"/>
          <w:sz w:val="32"/>
          <w:szCs w:val="32"/>
        </w:rPr>
        <w:t>35.85</w:t>
      </w:r>
      <w:r>
        <w:rPr>
          <w:rFonts w:eastAsia="仿宋_GB2312" w:hint="eastAsia"/>
          <w:sz w:val="32"/>
          <w:szCs w:val="32"/>
        </w:rPr>
        <w:t>万元。</w:t>
      </w:r>
    </w:p>
    <w:p w:rsidR="00AB247A" w:rsidRDefault="00AB247A">
      <w:pPr>
        <w:pStyle w:val="a0"/>
        <w:rPr>
          <w:lang w:val="zh-CN"/>
        </w:rPr>
      </w:pPr>
    </w:p>
    <w:p w:rsidR="00AB247A" w:rsidRDefault="00714F03">
      <w:pPr>
        <w:widowControl/>
        <w:adjustRightInd w:val="0"/>
        <w:snapToGrid w:val="0"/>
        <w:spacing w:line="578" w:lineRule="exact"/>
        <w:ind w:firstLineChars="200" w:firstLine="643"/>
        <w:contextualSpacing/>
        <w:jc w:val="left"/>
        <w:rPr>
          <w:rFonts w:eastAsia="楷体_GB2312"/>
          <w:b/>
          <w:bCs/>
          <w:color w:val="000000"/>
          <w:kern w:val="0"/>
          <w:sz w:val="32"/>
          <w:szCs w:val="32"/>
          <w:shd w:val="clear" w:color="auto" w:fill="FFFFFF"/>
          <w:lang w:val="zh-CN"/>
        </w:rPr>
      </w:pPr>
      <w:r>
        <w:rPr>
          <w:rFonts w:eastAsia="楷体_GB2312"/>
          <w:b/>
          <w:bCs/>
          <w:color w:val="000000"/>
          <w:kern w:val="0"/>
          <w:sz w:val="32"/>
          <w:szCs w:val="32"/>
          <w:shd w:val="clear" w:color="auto" w:fill="FFFFFF"/>
          <w:lang w:val="zh-CN"/>
        </w:rPr>
        <w:t>（</w:t>
      </w:r>
      <w:r>
        <w:rPr>
          <w:rFonts w:eastAsia="楷体_GB2312" w:hint="eastAsia"/>
          <w:b/>
          <w:bCs/>
          <w:color w:val="000000"/>
          <w:kern w:val="0"/>
          <w:sz w:val="32"/>
          <w:szCs w:val="32"/>
          <w:shd w:val="clear" w:color="auto" w:fill="FFFFFF"/>
          <w:lang w:val="zh-CN"/>
        </w:rPr>
        <w:t>二</w:t>
      </w:r>
      <w:r>
        <w:rPr>
          <w:rFonts w:eastAsia="楷体_GB2312"/>
          <w:b/>
          <w:bCs/>
          <w:color w:val="000000"/>
          <w:kern w:val="0"/>
          <w:sz w:val="32"/>
          <w:szCs w:val="32"/>
          <w:shd w:val="clear" w:color="auto" w:fill="FFFFFF"/>
          <w:lang w:val="zh-CN"/>
        </w:rPr>
        <w:t>）</w:t>
      </w:r>
      <w:r>
        <w:rPr>
          <w:rFonts w:eastAsia="楷体_GB2312" w:hint="eastAsia"/>
          <w:b/>
          <w:bCs/>
          <w:color w:val="000000"/>
          <w:kern w:val="0"/>
          <w:sz w:val="32"/>
          <w:szCs w:val="32"/>
          <w:shd w:val="clear" w:color="auto" w:fill="FFFFFF"/>
          <w:lang w:val="zh-CN"/>
        </w:rPr>
        <w:t>支出情况</w:t>
      </w:r>
      <w:r>
        <w:rPr>
          <w:rFonts w:eastAsia="楷体_GB2312"/>
          <w:b/>
          <w:bCs/>
          <w:color w:val="000000"/>
          <w:kern w:val="0"/>
          <w:sz w:val="32"/>
          <w:szCs w:val="32"/>
          <w:shd w:val="clear" w:color="auto" w:fill="FFFFFF"/>
          <w:lang w:val="zh-CN"/>
        </w:rPr>
        <w:t>。</w:t>
      </w:r>
    </w:p>
    <w:p w:rsidR="00AB247A" w:rsidRDefault="00714F03">
      <w:pPr>
        <w:widowControl/>
        <w:adjustRightInd w:val="0"/>
        <w:snapToGrid w:val="0"/>
        <w:spacing w:line="578"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年悦来镇人民政府年初预算支出</w:t>
      </w:r>
      <w:r>
        <w:rPr>
          <w:rFonts w:eastAsia="仿宋_GB2312" w:hint="eastAsia"/>
          <w:sz w:val="32"/>
          <w:szCs w:val="32"/>
        </w:rPr>
        <w:t>875.71</w:t>
      </w:r>
      <w:r>
        <w:rPr>
          <w:rFonts w:eastAsia="仿宋_GB2312" w:hint="eastAsia"/>
          <w:sz w:val="32"/>
          <w:szCs w:val="32"/>
        </w:rPr>
        <w:t>万元，其中一般公共预算财政拨款支出</w:t>
      </w:r>
      <w:r>
        <w:rPr>
          <w:rFonts w:eastAsia="仿宋_GB2312" w:hint="eastAsia"/>
          <w:sz w:val="32"/>
          <w:szCs w:val="32"/>
        </w:rPr>
        <w:t>875.71</w:t>
      </w:r>
      <w:r>
        <w:rPr>
          <w:rFonts w:eastAsia="仿宋_GB2312" w:hint="eastAsia"/>
          <w:sz w:val="32"/>
          <w:szCs w:val="32"/>
        </w:rPr>
        <w:t>万元。决算报表支出为</w:t>
      </w:r>
      <w:r>
        <w:rPr>
          <w:rFonts w:eastAsia="仿宋_GB2312" w:hint="eastAsia"/>
          <w:sz w:val="32"/>
          <w:szCs w:val="32"/>
        </w:rPr>
        <w:t>3044.41</w:t>
      </w:r>
      <w:r>
        <w:rPr>
          <w:rFonts w:eastAsia="仿宋_GB2312" w:hint="eastAsia"/>
          <w:sz w:val="32"/>
          <w:szCs w:val="32"/>
        </w:rPr>
        <w:t>万元，其中一般公共预算财政拨款支出</w:t>
      </w:r>
      <w:r>
        <w:rPr>
          <w:rFonts w:eastAsia="仿宋_GB2312" w:hint="eastAsia"/>
          <w:sz w:val="32"/>
          <w:szCs w:val="32"/>
        </w:rPr>
        <w:t>2880.88</w:t>
      </w:r>
      <w:r>
        <w:rPr>
          <w:rFonts w:eastAsia="仿宋_GB2312" w:hint="eastAsia"/>
          <w:sz w:val="32"/>
          <w:szCs w:val="32"/>
        </w:rPr>
        <w:t>万元，</w:t>
      </w:r>
      <w:r>
        <w:rPr>
          <w:rFonts w:eastAsia="仿宋_GB2312"/>
          <w:sz w:val="32"/>
          <w:szCs w:val="32"/>
        </w:rPr>
        <w:t>政府性基金预算财政拨款</w:t>
      </w:r>
      <w:r>
        <w:rPr>
          <w:rFonts w:eastAsia="仿宋_GB2312" w:hint="eastAsia"/>
          <w:sz w:val="32"/>
          <w:szCs w:val="32"/>
        </w:rPr>
        <w:t>支出</w:t>
      </w:r>
      <w:r>
        <w:rPr>
          <w:rFonts w:eastAsia="仿宋_GB2312" w:hint="eastAsia"/>
          <w:sz w:val="32"/>
          <w:szCs w:val="32"/>
        </w:rPr>
        <w:t>10.29</w:t>
      </w:r>
      <w:r>
        <w:rPr>
          <w:rFonts w:eastAsia="仿宋_GB2312" w:hint="eastAsia"/>
          <w:sz w:val="32"/>
          <w:szCs w:val="32"/>
        </w:rPr>
        <w:t>万元，其他收入支出</w:t>
      </w:r>
      <w:r>
        <w:rPr>
          <w:rFonts w:eastAsia="仿宋_GB2312" w:hint="eastAsia"/>
          <w:sz w:val="32"/>
          <w:szCs w:val="32"/>
        </w:rPr>
        <w:t>58.89</w:t>
      </w:r>
      <w:r>
        <w:rPr>
          <w:rFonts w:eastAsia="仿宋_GB2312" w:hint="eastAsia"/>
          <w:sz w:val="32"/>
          <w:szCs w:val="32"/>
        </w:rPr>
        <w:t>万元。</w:t>
      </w:r>
    </w:p>
    <w:p w:rsidR="00AB247A" w:rsidRDefault="00714F03">
      <w:pPr>
        <w:widowControl/>
        <w:adjustRightInd w:val="0"/>
        <w:snapToGrid w:val="0"/>
        <w:spacing w:line="578" w:lineRule="exact"/>
        <w:ind w:firstLineChars="200" w:firstLine="643"/>
        <w:contextualSpacing/>
        <w:jc w:val="left"/>
        <w:rPr>
          <w:rFonts w:eastAsia="仿宋_GB2312" w:cs="仿宋_GB2312"/>
          <w:sz w:val="32"/>
          <w:szCs w:val="32"/>
        </w:rPr>
      </w:pPr>
      <w:r>
        <w:rPr>
          <w:rFonts w:eastAsia="楷体_GB2312"/>
          <w:b/>
          <w:bCs/>
          <w:color w:val="000000"/>
          <w:kern w:val="0"/>
          <w:sz w:val="32"/>
          <w:szCs w:val="32"/>
          <w:shd w:val="clear" w:color="auto" w:fill="FFFFFF"/>
          <w:lang w:val="zh-CN"/>
        </w:rPr>
        <w:t>（</w:t>
      </w:r>
      <w:r>
        <w:rPr>
          <w:rFonts w:eastAsia="楷体_GB2312" w:hint="eastAsia"/>
          <w:b/>
          <w:bCs/>
          <w:color w:val="000000"/>
          <w:kern w:val="0"/>
          <w:sz w:val="32"/>
          <w:szCs w:val="32"/>
          <w:shd w:val="clear" w:color="auto" w:fill="FFFFFF"/>
          <w:lang w:val="zh-CN"/>
        </w:rPr>
        <w:t>三</w:t>
      </w:r>
      <w:r>
        <w:rPr>
          <w:rFonts w:eastAsia="楷体_GB2312"/>
          <w:b/>
          <w:bCs/>
          <w:color w:val="000000"/>
          <w:kern w:val="0"/>
          <w:sz w:val="32"/>
          <w:szCs w:val="32"/>
          <w:shd w:val="clear" w:color="auto" w:fill="FFFFFF"/>
          <w:lang w:val="zh-CN"/>
        </w:rPr>
        <w:t>）结余分配和结转结余情况</w:t>
      </w:r>
      <w:r>
        <w:rPr>
          <w:rFonts w:eastAsia="楷体_GB2312" w:hint="eastAsia"/>
          <w:b/>
          <w:bCs/>
          <w:color w:val="000000"/>
          <w:kern w:val="0"/>
          <w:sz w:val="32"/>
          <w:szCs w:val="32"/>
          <w:shd w:val="clear" w:color="auto" w:fill="FFFFFF"/>
          <w:lang w:val="zh-CN"/>
        </w:rPr>
        <w:t>。</w:t>
      </w:r>
    </w:p>
    <w:p w:rsidR="00AB247A" w:rsidRDefault="00714F03">
      <w:pPr>
        <w:widowControl/>
        <w:adjustRightInd w:val="0"/>
        <w:snapToGrid w:val="0"/>
        <w:spacing w:line="578"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年决算报表年末</w:t>
      </w:r>
      <w:r>
        <w:rPr>
          <w:rFonts w:eastAsia="仿宋_GB2312"/>
          <w:sz w:val="32"/>
          <w:szCs w:val="32"/>
        </w:rPr>
        <w:t>结转和结余</w:t>
      </w:r>
      <w:r>
        <w:rPr>
          <w:rFonts w:eastAsia="仿宋_GB2312" w:hint="eastAsia"/>
          <w:sz w:val="32"/>
          <w:szCs w:val="32"/>
        </w:rPr>
        <w:t>94.35</w:t>
      </w:r>
      <w:r>
        <w:rPr>
          <w:rFonts w:eastAsia="仿宋_GB2312" w:hint="eastAsia"/>
          <w:sz w:val="32"/>
          <w:szCs w:val="32"/>
        </w:rPr>
        <w:t>万元。</w:t>
      </w:r>
    </w:p>
    <w:p w:rsidR="00AB247A" w:rsidRDefault="00714F03">
      <w:pPr>
        <w:widowControl/>
        <w:adjustRightInd w:val="0"/>
        <w:snapToGrid w:val="0"/>
        <w:spacing w:line="578" w:lineRule="exact"/>
        <w:ind w:firstLineChars="200" w:firstLine="640"/>
        <w:contextualSpacing/>
        <w:jc w:val="left"/>
        <w:rPr>
          <w:rFonts w:eastAsia="黑体"/>
          <w:color w:val="000000"/>
          <w:kern w:val="0"/>
          <w:sz w:val="32"/>
          <w:szCs w:val="32"/>
          <w:shd w:val="clear" w:color="auto" w:fill="FFFFFF"/>
          <w:lang w:val="zh-CN"/>
        </w:rPr>
      </w:pPr>
      <w:r>
        <w:rPr>
          <w:rFonts w:eastAsia="黑体"/>
          <w:color w:val="000000"/>
          <w:kern w:val="0"/>
          <w:sz w:val="32"/>
          <w:szCs w:val="32"/>
          <w:shd w:val="clear" w:color="auto" w:fill="FFFFFF"/>
          <w:lang w:val="zh-CN"/>
        </w:rPr>
        <w:t>三、部门预算绩效分析</w:t>
      </w:r>
    </w:p>
    <w:p w:rsidR="00AB247A" w:rsidRDefault="00714F03">
      <w:pPr>
        <w:widowControl/>
        <w:adjustRightInd w:val="0"/>
        <w:snapToGrid w:val="0"/>
        <w:spacing w:line="580" w:lineRule="exact"/>
        <w:ind w:firstLineChars="200" w:firstLine="663"/>
        <w:contextualSpacing/>
        <w:jc w:val="left"/>
        <w:rPr>
          <w:rFonts w:eastAsia="楷体_GB2312"/>
          <w:b/>
          <w:bCs/>
          <w:color w:val="000000"/>
          <w:kern w:val="0"/>
          <w:sz w:val="33"/>
          <w:szCs w:val="33"/>
          <w:shd w:val="clear" w:color="auto" w:fill="FFFFFF"/>
          <w:lang w:val="zh-CN"/>
        </w:rPr>
      </w:pPr>
      <w:r>
        <w:rPr>
          <w:rFonts w:eastAsia="楷体_GB2312"/>
          <w:b/>
          <w:bCs/>
          <w:color w:val="000000"/>
          <w:kern w:val="0"/>
          <w:sz w:val="33"/>
          <w:szCs w:val="33"/>
          <w:shd w:val="clear" w:color="auto" w:fill="FFFFFF"/>
          <w:lang w:val="zh-CN"/>
        </w:rPr>
        <w:t>（一）</w:t>
      </w:r>
      <w:r>
        <w:rPr>
          <w:rFonts w:eastAsia="楷体_GB2312" w:hint="eastAsia"/>
          <w:b/>
          <w:bCs/>
          <w:color w:val="000000"/>
          <w:kern w:val="0"/>
          <w:sz w:val="33"/>
          <w:szCs w:val="33"/>
          <w:shd w:val="clear" w:color="auto" w:fill="FFFFFF"/>
          <w:lang w:val="zh-CN"/>
        </w:rPr>
        <w:t>部门预算</w:t>
      </w:r>
      <w:r>
        <w:rPr>
          <w:rFonts w:eastAsia="楷体_GB2312"/>
          <w:b/>
          <w:bCs/>
          <w:color w:val="000000"/>
          <w:kern w:val="0"/>
          <w:sz w:val="33"/>
          <w:szCs w:val="33"/>
          <w:shd w:val="clear" w:color="auto" w:fill="FFFFFF"/>
          <w:lang w:val="zh-CN"/>
        </w:rPr>
        <w:t>总体绩效分析。</w:t>
      </w:r>
    </w:p>
    <w:p w:rsidR="00AB247A" w:rsidRDefault="00714F03">
      <w:pPr>
        <w:widowControl/>
        <w:adjustRightInd w:val="0"/>
        <w:snapToGrid w:val="0"/>
        <w:spacing w:line="580" w:lineRule="exact"/>
        <w:ind w:firstLineChars="200" w:firstLine="420"/>
        <w:contextualSpacing/>
        <w:jc w:val="left"/>
        <w:rPr>
          <w:rFonts w:ascii="仿宋_GB2312" w:hAnsi="宋体" w:cs="宋体"/>
          <w:color w:val="000000"/>
          <w:kern w:val="0"/>
          <w:szCs w:val="32"/>
          <w:shd w:val="clear" w:color="auto" w:fill="FFFFFF"/>
          <w:lang w:val="zh-CN"/>
        </w:rPr>
      </w:pPr>
      <w:r>
        <w:rPr>
          <w:rFonts w:ascii="仿宋_GB2312" w:hAnsi="宋体" w:cs="宋体" w:hint="eastAsia"/>
          <w:color w:val="000000"/>
          <w:kern w:val="0"/>
          <w:szCs w:val="32"/>
          <w:shd w:val="clear" w:color="auto" w:fill="FFFFFF"/>
          <w:lang w:val="zh-CN"/>
        </w:rPr>
        <w:t>2</w:t>
      </w:r>
      <w:r>
        <w:rPr>
          <w:rFonts w:eastAsia="仿宋_GB2312" w:hint="eastAsia"/>
          <w:sz w:val="32"/>
          <w:szCs w:val="32"/>
        </w:rPr>
        <w:t>024</w:t>
      </w:r>
      <w:r>
        <w:rPr>
          <w:rFonts w:eastAsia="仿宋_GB2312" w:hint="eastAsia"/>
          <w:sz w:val="32"/>
          <w:szCs w:val="32"/>
        </w:rPr>
        <w:t>年悦来镇基本支出和项目资金均及时足额使用到位，实现了镇整体预期绩效目标，全额保障了悦来镇机关在职人员、村干部、等工资福利，保证了镇本级和下辖的</w:t>
      </w:r>
      <w:r>
        <w:rPr>
          <w:rFonts w:eastAsia="仿宋_GB2312" w:hint="eastAsia"/>
          <w:sz w:val="32"/>
          <w:szCs w:val="32"/>
        </w:rPr>
        <w:t>5</w:t>
      </w:r>
      <w:r>
        <w:rPr>
          <w:rFonts w:eastAsia="仿宋_GB2312" w:hint="eastAsia"/>
          <w:sz w:val="32"/>
          <w:szCs w:val="32"/>
        </w:rPr>
        <w:t>个村日常办公运转，保障了辖区内的安定团结，为各项事业顺利发</w:t>
      </w:r>
      <w:r>
        <w:rPr>
          <w:rFonts w:eastAsia="仿宋_GB2312" w:hint="eastAsia"/>
          <w:sz w:val="32"/>
          <w:szCs w:val="32"/>
        </w:rPr>
        <w:lastRenderedPageBreak/>
        <w:t>展奠定了物质基础，为辖区经济社会持续健康发展提供了有力支撑。</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悦来镇严格按照市中区</w:t>
      </w:r>
      <w:r>
        <w:rPr>
          <w:rFonts w:eastAsia="仿宋_GB2312" w:hint="eastAsia"/>
          <w:sz w:val="32"/>
          <w:szCs w:val="32"/>
        </w:rPr>
        <w:t>2024</w:t>
      </w:r>
      <w:r>
        <w:rPr>
          <w:rFonts w:eastAsia="仿宋_GB2312" w:hint="eastAsia"/>
          <w:sz w:val="32"/>
          <w:szCs w:val="32"/>
        </w:rPr>
        <w:t>年部门预算编制口径说明，围绕全年工作，秉持“量入为出，收支平衡”原则，编制</w:t>
      </w:r>
      <w:r>
        <w:rPr>
          <w:rFonts w:eastAsia="仿宋_GB2312" w:hint="eastAsia"/>
          <w:sz w:val="32"/>
          <w:szCs w:val="32"/>
        </w:rPr>
        <w:t>2024</w:t>
      </w:r>
      <w:r>
        <w:rPr>
          <w:rFonts w:eastAsia="仿宋_GB2312" w:hint="eastAsia"/>
          <w:sz w:val="32"/>
          <w:szCs w:val="32"/>
        </w:rPr>
        <w:t>年收支预算和整体支出、项目支出绩效目标申报表，到</w:t>
      </w:r>
      <w:r>
        <w:rPr>
          <w:rFonts w:eastAsia="仿宋_GB2312" w:hint="eastAsia"/>
          <w:sz w:val="32"/>
          <w:szCs w:val="32"/>
        </w:rPr>
        <w:t>2024</w:t>
      </w:r>
      <w:r>
        <w:rPr>
          <w:rFonts w:eastAsia="仿宋_GB2312" w:hint="eastAsia"/>
          <w:sz w:val="32"/>
          <w:szCs w:val="32"/>
        </w:rPr>
        <w:t>年底，预期绩效目标均已达成。</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年初编制预算时，本年度政府性基金预算收入、国有资本经营性收入、交管员伙食补助、环境治理、信访维稳等预算项目支出均不在年初预算内，故公用经费年初预算数与决算数相比存在偏差。悦来镇按区财政局要求对绩效运行情况进行事中监控分析，根据工作实时开展情况，及时向区财政局汇报，申请调整预算资金。</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年悦来镇严格按照乐山市市中区资金管理办法执行资金管理，财政拨款项目资金无结转结余，未出现违纪违规等问题。</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将内部绩效结果与预算挂钩，按要求开展绩效评价自评工作，并就自评中出现的问题进行分析、整改，及时向财政报送绩效自评报告和相关整改报告，反馈绩效结果应用情况。同时，在规定时间内，按要求将相关绩效信息公开。</w:t>
      </w:r>
    </w:p>
    <w:p w:rsidR="00AB247A" w:rsidRDefault="00714F03">
      <w:pPr>
        <w:widowControl/>
        <w:adjustRightInd w:val="0"/>
        <w:snapToGrid w:val="0"/>
        <w:spacing w:line="580" w:lineRule="exact"/>
        <w:ind w:firstLineChars="200" w:firstLine="663"/>
        <w:contextualSpacing/>
        <w:jc w:val="left"/>
        <w:rPr>
          <w:rFonts w:eastAsia="楷体_GB2312"/>
          <w:b/>
          <w:bCs/>
          <w:color w:val="000000"/>
          <w:kern w:val="0"/>
          <w:sz w:val="33"/>
          <w:szCs w:val="33"/>
          <w:shd w:val="clear" w:color="auto" w:fill="FFFFFF"/>
          <w:lang w:val="zh-CN"/>
        </w:rPr>
      </w:pPr>
      <w:r>
        <w:rPr>
          <w:rFonts w:eastAsia="楷体_GB2312"/>
          <w:b/>
          <w:bCs/>
          <w:color w:val="000000"/>
          <w:kern w:val="0"/>
          <w:sz w:val="33"/>
          <w:szCs w:val="33"/>
          <w:shd w:val="clear" w:color="auto" w:fill="FFFFFF"/>
          <w:lang w:val="zh-CN"/>
        </w:rPr>
        <w:t>（二）部门预算项目绩效分析。</w:t>
      </w:r>
    </w:p>
    <w:p w:rsidR="00AB247A" w:rsidRDefault="00714F03">
      <w:pPr>
        <w:widowControl/>
        <w:adjustRightInd w:val="0"/>
        <w:snapToGrid w:val="0"/>
        <w:spacing w:line="580" w:lineRule="exact"/>
        <w:ind w:firstLineChars="200" w:firstLine="640"/>
        <w:contextualSpacing/>
        <w:jc w:val="left"/>
        <w:rPr>
          <w:rFonts w:ascii="仿宋_GB2312" w:hAnsi="宋体" w:cs="宋体"/>
          <w:color w:val="000000"/>
          <w:kern w:val="0"/>
          <w:szCs w:val="32"/>
          <w:shd w:val="clear" w:color="auto" w:fill="FFFFFF"/>
          <w:lang w:val="zh-CN"/>
        </w:rPr>
      </w:pPr>
      <w:r>
        <w:rPr>
          <w:rFonts w:eastAsia="仿宋_GB2312" w:hint="eastAsia"/>
          <w:sz w:val="32"/>
          <w:szCs w:val="32"/>
        </w:rPr>
        <w:t>包括项目绩效目标制定、目标实现、支出控制、及时处置、执行进度、预算完成情况、资金结余率（低效无效率）和违规记录等情况。</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lastRenderedPageBreak/>
        <w:t>整体情况</w:t>
      </w:r>
      <w:r>
        <w:rPr>
          <w:rFonts w:eastAsia="仿宋_GB2312" w:hint="eastAsia"/>
          <w:sz w:val="32"/>
          <w:szCs w:val="32"/>
        </w:rPr>
        <w:t>:</w:t>
      </w:r>
      <w:r>
        <w:rPr>
          <w:rFonts w:eastAsia="仿宋_GB2312" w:hint="eastAsia"/>
          <w:sz w:val="32"/>
          <w:szCs w:val="32"/>
        </w:rPr>
        <w:t>悦来镇</w:t>
      </w:r>
      <w:r>
        <w:rPr>
          <w:rFonts w:eastAsia="仿宋_GB2312" w:hint="eastAsia"/>
          <w:sz w:val="32"/>
          <w:szCs w:val="32"/>
        </w:rPr>
        <w:t>2024</w:t>
      </w:r>
      <w:r>
        <w:rPr>
          <w:rFonts w:eastAsia="仿宋_GB2312" w:hint="eastAsia"/>
          <w:sz w:val="32"/>
          <w:szCs w:val="32"/>
        </w:rPr>
        <w:t>年共计有</w:t>
      </w:r>
      <w:r>
        <w:rPr>
          <w:rFonts w:eastAsia="仿宋_GB2312" w:hint="eastAsia"/>
          <w:sz w:val="32"/>
          <w:szCs w:val="32"/>
        </w:rPr>
        <w:t>18</w:t>
      </w:r>
      <w:r>
        <w:rPr>
          <w:rFonts w:eastAsia="仿宋_GB2312" w:hint="eastAsia"/>
          <w:sz w:val="32"/>
          <w:szCs w:val="32"/>
        </w:rPr>
        <w:t>个支出项目，其中一般预算财政拨款支出项目</w:t>
      </w:r>
      <w:r>
        <w:rPr>
          <w:rFonts w:eastAsia="仿宋_GB2312" w:hint="eastAsia"/>
          <w:sz w:val="32"/>
          <w:szCs w:val="32"/>
        </w:rPr>
        <w:t>18</w:t>
      </w:r>
      <w:r>
        <w:rPr>
          <w:rFonts w:eastAsia="仿宋_GB2312" w:hint="eastAsia"/>
          <w:sz w:val="32"/>
          <w:szCs w:val="32"/>
        </w:rPr>
        <w:t>个，预算执行率均为</w:t>
      </w:r>
      <w:r>
        <w:rPr>
          <w:rFonts w:eastAsia="仿宋_GB2312" w:hint="eastAsia"/>
          <w:sz w:val="32"/>
          <w:szCs w:val="32"/>
        </w:rPr>
        <w:t>100%</w:t>
      </w:r>
      <w:r>
        <w:rPr>
          <w:rFonts w:eastAsia="仿宋_GB2312" w:hint="eastAsia"/>
          <w:sz w:val="32"/>
          <w:szCs w:val="32"/>
        </w:rPr>
        <w:t>。所有项目均科学合理编制绩效目标，支出时严格按照先有预算后有支出的原则执行，并开展绩效运行监控，适时做好动态调整。截止</w:t>
      </w:r>
      <w:r>
        <w:rPr>
          <w:rFonts w:eastAsia="仿宋_GB2312" w:hint="eastAsia"/>
          <w:sz w:val="32"/>
          <w:szCs w:val="32"/>
        </w:rPr>
        <w:t>2024</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eastAsia="仿宋_GB2312" w:hint="eastAsia"/>
          <w:sz w:val="32"/>
          <w:szCs w:val="32"/>
        </w:rPr>
        <w:t>31</w:t>
      </w:r>
      <w:r>
        <w:rPr>
          <w:rFonts w:eastAsia="仿宋_GB2312" w:hint="eastAsia"/>
          <w:sz w:val="32"/>
          <w:szCs w:val="32"/>
        </w:rPr>
        <w:t>日，项目支出预期绩效目标均已达成，且项目自评得分均在</w:t>
      </w:r>
      <w:r>
        <w:rPr>
          <w:rFonts w:eastAsia="仿宋_GB2312" w:hint="eastAsia"/>
          <w:sz w:val="32"/>
          <w:szCs w:val="32"/>
        </w:rPr>
        <w:t>95</w:t>
      </w:r>
      <w:r>
        <w:rPr>
          <w:rFonts w:eastAsia="仿宋_GB2312" w:hint="eastAsia"/>
          <w:sz w:val="32"/>
          <w:szCs w:val="32"/>
        </w:rPr>
        <w:t>分以上。</w:t>
      </w:r>
    </w:p>
    <w:p w:rsidR="00AB247A" w:rsidRDefault="00714F03">
      <w:pPr>
        <w:widowControl/>
        <w:adjustRightInd w:val="0"/>
        <w:snapToGrid w:val="0"/>
        <w:spacing w:line="580" w:lineRule="exact"/>
        <w:ind w:firstLineChars="200" w:firstLine="663"/>
        <w:contextualSpacing/>
        <w:jc w:val="left"/>
        <w:rPr>
          <w:rFonts w:eastAsia="楷体_GB2312"/>
          <w:b/>
          <w:bCs/>
          <w:color w:val="000000"/>
          <w:kern w:val="0"/>
          <w:sz w:val="33"/>
          <w:szCs w:val="33"/>
          <w:shd w:val="clear" w:color="auto" w:fill="FFFFFF"/>
          <w:lang w:val="zh-CN"/>
        </w:rPr>
      </w:pPr>
      <w:r>
        <w:rPr>
          <w:rFonts w:eastAsia="楷体_GB2312"/>
          <w:b/>
          <w:bCs/>
          <w:color w:val="000000"/>
          <w:kern w:val="0"/>
          <w:sz w:val="33"/>
          <w:szCs w:val="33"/>
          <w:shd w:val="clear" w:color="auto" w:fill="FFFFFF"/>
          <w:lang w:val="zh-CN"/>
        </w:rPr>
        <w:t>（</w:t>
      </w:r>
      <w:r>
        <w:rPr>
          <w:rFonts w:eastAsia="楷体_GB2312" w:hint="eastAsia"/>
          <w:b/>
          <w:bCs/>
          <w:color w:val="000000"/>
          <w:kern w:val="0"/>
          <w:sz w:val="33"/>
          <w:szCs w:val="33"/>
          <w:shd w:val="clear" w:color="auto" w:fill="FFFFFF"/>
          <w:lang w:val="zh-CN"/>
        </w:rPr>
        <w:t>三</w:t>
      </w:r>
      <w:r>
        <w:rPr>
          <w:rFonts w:eastAsia="楷体_GB2312"/>
          <w:b/>
          <w:bCs/>
          <w:color w:val="000000"/>
          <w:kern w:val="0"/>
          <w:sz w:val="33"/>
          <w:szCs w:val="33"/>
          <w:shd w:val="clear" w:color="auto" w:fill="FFFFFF"/>
          <w:lang w:val="zh-CN"/>
        </w:rPr>
        <w:t>）重点领域绩效分析。</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100</w:t>
      </w:r>
      <w:r>
        <w:rPr>
          <w:rFonts w:eastAsia="仿宋_GB2312" w:hint="eastAsia"/>
          <w:sz w:val="32"/>
          <w:szCs w:val="32"/>
        </w:rPr>
        <w:t>万以上项目：</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项目：</w:t>
      </w:r>
      <w:r>
        <w:rPr>
          <w:rFonts w:eastAsia="仿宋_GB2312" w:hint="eastAsia"/>
          <w:sz w:val="32"/>
          <w:szCs w:val="32"/>
        </w:rPr>
        <w:t>2024</w:t>
      </w:r>
      <w:r>
        <w:rPr>
          <w:rFonts w:eastAsia="仿宋_GB2312" w:hint="eastAsia"/>
          <w:sz w:val="32"/>
          <w:szCs w:val="32"/>
        </w:rPr>
        <w:t>年村干部工资</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2024</w:t>
      </w:r>
      <w:r>
        <w:rPr>
          <w:rFonts w:eastAsia="仿宋_GB2312" w:hint="eastAsia"/>
          <w:sz w:val="32"/>
          <w:szCs w:val="32"/>
        </w:rPr>
        <w:t>年，悦来镇村干部工资根据市中区</w:t>
      </w:r>
      <w:r>
        <w:rPr>
          <w:rFonts w:eastAsia="仿宋_GB2312" w:hint="eastAsia"/>
          <w:sz w:val="32"/>
          <w:szCs w:val="32"/>
        </w:rPr>
        <w:t>2024</w:t>
      </w:r>
      <w:r>
        <w:rPr>
          <w:rFonts w:eastAsia="仿宋_GB2312" w:hint="eastAsia"/>
          <w:sz w:val="32"/>
          <w:szCs w:val="32"/>
        </w:rPr>
        <w:t>年部门预算编制口径说明编制预算，严格按照乐山市市中区资金管理办法和乐中委办〔</w:t>
      </w:r>
      <w:r>
        <w:rPr>
          <w:rFonts w:eastAsia="仿宋_GB2312" w:hint="eastAsia"/>
          <w:sz w:val="32"/>
          <w:szCs w:val="32"/>
        </w:rPr>
        <w:t>2021</w:t>
      </w:r>
      <w:r>
        <w:rPr>
          <w:rFonts w:eastAsia="仿宋_GB2312" w:hint="eastAsia"/>
          <w:sz w:val="32"/>
          <w:szCs w:val="32"/>
        </w:rPr>
        <w:t>〕</w:t>
      </w:r>
      <w:r>
        <w:rPr>
          <w:rFonts w:eastAsia="仿宋_GB2312" w:hint="eastAsia"/>
          <w:sz w:val="32"/>
          <w:szCs w:val="32"/>
        </w:rPr>
        <w:t>9</w:t>
      </w:r>
      <w:r>
        <w:rPr>
          <w:rFonts w:eastAsia="仿宋_GB2312" w:hint="eastAsia"/>
          <w:sz w:val="32"/>
          <w:szCs w:val="32"/>
        </w:rPr>
        <w:t>号《关于进一步强化村（社区）干部队伍建设的实施方案》执行资金管理，主要为我镇村干部工资、保险、绩效考核资金。</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我镇依据相关文件规定，结合镇工作实际开展情况，严格按照区财政局归口股室要求进行项目申报、审批。设立本项目整体绩效目标为保证我镇村干部的生活补助（含工资、保险等），确保镇下辖的</w:t>
      </w:r>
      <w:r>
        <w:rPr>
          <w:rFonts w:eastAsia="仿宋_GB2312" w:hint="eastAsia"/>
          <w:sz w:val="32"/>
          <w:szCs w:val="32"/>
        </w:rPr>
        <w:t>5</w:t>
      </w:r>
      <w:r>
        <w:rPr>
          <w:rFonts w:eastAsia="仿宋_GB2312" w:hint="eastAsia"/>
          <w:sz w:val="32"/>
          <w:szCs w:val="32"/>
        </w:rPr>
        <w:t>个村干部工资待遇，强化其生活保障，保持村干部工作热情，提升村干部队伍稳定性。</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项目支出时严格按照先有预算后有支出的原则执行。资金使用有完整的报销流程和严格的审批制度，票据合法有效，资金走向清晰，并对财政拨付的专项资金单独设立项目辅助核算，账务处理及时，会计核算规范，确保项目资金专款专用，各项收支公开透明。</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lastRenderedPageBreak/>
        <w:t>2024</w:t>
      </w:r>
      <w:r>
        <w:rPr>
          <w:rFonts w:eastAsia="仿宋_GB2312" w:hint="eastAsia"/>
          <w:sz w:val="32"/>
          <w:szCs w:val="32"/>
        </w:rPr>
        <w:t>年度，预算安排村干部工资项目资金</w:t>
      </w:r>
      <w:r>
        <w:rPr>
          <w:rFonts w:eastAsia="仿宋_GB2312" w:hint="eastAsia"/>
          <w:sz w:val="32"/>
          <w:szCs w:val="32"/>
        </w:rPr>
        <w:t>169.99</w:t>
      </w:r>
      <w:r>
        <w:rPr>
          <w:rFonts w:eastAsia="仿宋_GB2312" w:hint="eastAsia"/>
          <w:sz w:val="32"/>
          <w:szCs w:val="32"/>
        </w:rPr>
        <w:t>万元。截止</w:t>
      </w:r>
      <w:r>
        <w:rPr>
          <w:rFonts w:eastAsia="仿宋_GB2312" w:hint="eastAsia"/>
          <w:sz w:val="32"/>
          <w:szCs w:val="32"/>
        </w:rPr>
        <w:t>2024</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eastAsia="仿宋_GB2312" w:hint="eastAsia"/>
          <w:sz w:val="32"/>
          <w:szCs w:val="32"/>
        </w:rPr>
        <w:t>31</w:t>
      </w:r>
      <w:r>
        <w:rPr>
          <w:rFonts w:eastAsia="仿宋_GB2312" w:hint="eastAsia"/>
          <w:sz w:val="32"/>
          <w:szCs w:val="32"/>
        </w:rPr>
        <w:t>日，本项目资金共计使用</w:t>
      </w:r>
      <w:r>
        <w:rPr>
          <w:rFonts w:eastAsia="仿宋_GB2312" w:hint="eastAsia"/>
          <w:sz w:val="32"/>
          <w:szCs w:val="32"/>
        </w:rPr>
        <w:t>168.62</w:t>
      </w:r>
      <w:r>
        <w:rPr>
          <w:rFonts w:eastAsia="仿宋_GB2312" w:hint="eastAsia"/>
          <w:sz w:val="32"/>
          <w:szCs w:val="32"/>
        </w:rPr>
        <w:t>万元，资金到位率</w:t>
      </w:r>
      <w:r>
        <w:rPr>
          <w:rFonts w:eastAsia="仿宋_GB2312" w:hint="eastAsia"/>
          <w:sz w:val="32"/>
          <w:szCs w:val="32"/>
        </w:rPr>
        <w:t>100%</w:t>
      </w:r>
      <w:r>
        <w:rPr>
          <w:rFonts w:eastAsia="仿宋_GB2312" w:hint="eastAsia"/>
          <w:sz w:val="32"/>
          <w:szCs w:val="32"/>
        </w:rPr>
        <w:t>，到位及时率</w:t>
      </w:r>
      <w:r>
        <w:rPr>
          <w:rFonts w:eastAsia="仿宋_GB2312" w:hint="eastAsia"/>
          <w:sz w:val="32"/>
          <w:szCs w:val="32"/>
        </w:rPr>
        <w:t>100%</w:t>
      </w:r>
      <w:r>
        <w:rPr>
          <w:rFonts w:eastAsia="仿宋_GB2312" w:hint="eastAsia"/>
          <w:sz w:val="32"/>
          <w:szCs w:val="32"/>
        </w:rPr>
        <w:t>，预算执行率</w:t>
      </w:r>
      <w:r>
        <w:rPr>
          <w:rFonts w:eastAsia="仿宋_GB2312" w:hint="eastAsia"/>
          <w:sz w:val="32"/>
          <w:szCs w:val="32"/>
        </w:rPr>
        <w:t>99.19%</w:t>
      </w:r>
      <w:r>
        <w:rPr>
          <w:rFonts w:eastAsia="仿宋_GB2312" w:hint="eastAsia"/>
          <w:sz w:val="32"/>
          <w:szCs w:val="32"/>
        </w:rPr>
        <w:t>，资金结余率为</w:t>
      </w:r>
      <w:r>
        <w:rPr>
          <w:rFonts w:eastAsia="仿宋_GB2312" w:hint="eastAsia"/>
          <w:sz w:val="32"/>
          <w:szCs w:val="32"/>
        </w:rPr>
        <w:t>0.81%</w:t>
      </w:r>
      <w:r>
        <w:rPr>
          <w:rFonts w:eastAsia="仿宋_GB2312" w:hint="eastAsia"/>
          <w:sz w:val="32"/>
          <w:szCs w:val="32"/>
        </w:rPr>
        <w:t>。我镇村干部工资项目资金及时足额使用到位，实现了项目预期绩效目标，激发了村干部干事创业活力，强化了基层党的建设，巩固了党的执政基础，有利于充分发挥村协调管理、互助服务、凝聚文化和综合治理等功能，全面提升村工作水平。</w:t>
      </w:r>
    </w:p>
    <w:p w:rsidR="00AB247A" w:rsidRDefault="00714F03">
      <w:pPr>
        <w:widowControl/>
        <w:adjustRightInd w:val="0"/>
        <w:snapToGrid w:val="0"/>
        <w:spacing w:line="580" w:lineRule="exact"/>
        <w:ind w:firstLineChars="200" w:firstLine="663"/>
        <w:contextualSpacing/>
        <w:jc w:val="left"/>
        <w:rPr>
          <w:rFonts w:eastAsia="楷体_GB2312"/>
          <w:b/>
          <w:bCs/>
          <w:sz w:val="33"/>
          <w:szCs w:val="33"/>
          <w:lang w:val="zh-CN"/>
        </w:rPr>
      </w:pPr>
      <w:r>
        <w:rPr>
          <w:rFonts w:eastAsia="楷体_GB2312"/>
          <w:b/>
          <w:bCs/>
          <w:sz w:val="33"/>
          <w:szCs w:val="33"/>
          <w:lang w:val="zh-CN"/>
        </w:rPr>
        <w:t>（四）绩效结果应用情况</w:t>
      </w:r>
      <w:r>
        <w:rPr>
          <w:rFonts w:eastAsia="楷体_GB2312" w:hint="eastAsia"/>
          <w:b/>
          <w:bCs/>
          <w:sz w:val="33"/>
          <w:szCs w:val="33"/>
          <w:lang w:val="zh-CN"/>
        </w:rPr>
        <w:t>。</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sz w:val="32"/>
          <w:szCs w:val="32"/>
        </w:rPr>
        <w:t>按时完成了预决算编制及各类报表编制工作</w:t>
      </w:r>
      <w:r>
        <w:rPr>
          <w:rFonts w:eastAsia="仿宋_GB2312"/>
          <w:sz w:val="32"/>
          <w:szCs w:val="32"/>
        </w:rPr>
        <w:t>,</w:t>
      </w:r>
      <w:r>
        <w:rPr>
          <w:rFonts w:eastAsia="仿宋_GB2312"/>
          <w:sz w:val="32"/>
          <w:szCs w:val="32"/>
        </w:rPr>
        <w:t>按规定发放了各类补助资金、及时划拨了</w:t>
      </w:r>
      <w:r>
        <w:rPr>
          <w:rFonts w:eastAsia="仿宋_GB2312" w:hint="eastAsia"/>
          <w:sz w:val="32"/>
          <w:szCs w:val="32"/>
        </w:rPr>
        <w:t>村</w:t>
      </w:r>
      <w:r>
        <w:rPr>
          <w:rFonts w:eastAsia="仿宋_GB2312"/>
          <w:sz w:val="32"/>
          <w:szCs w:val="32"/>
        </w:rPr>
        <w:t>各项经费、支付了日常办公所需相关资金，保障了</w:t>
      </w:r>
      <w:r>
        <w:rPr>
          <w:rFonts w:eastAsia="仿宋_GB2312" w:hint="eastAsia"/>
          <w:sz w:val="32"/>
          <w:szCs w:val="32"/>
        </w:rPr>
        <w:t>镇</w:t>
      </w:r>
      <w:r>
        <w:rPr>
          <w:rFonts w:eastAsia="仿宋_GB2312"/>
          <w:sz w:val="32"/>
          <w:szCs w:val="32"/>
        </w:rPr>
        <w:t>及下辖各</w:t>
      </w:r>
      <w:r>
        <w:rPr>
          <w:rFonts w:eastAsia="仿宋_GB2312" w:hint="eastAsia"/>
          <w:sz w:val="32"/>
          <w:szCs w:val="32"/>
        </w:rPr>
        <w:t>村</w:t>
      </w:r>
      <w:r>
        <w:rPr>
          <w:rFonts w:eastAsia="仿宋_GB2312"/>
          <w:sz w:val="32"/>
          <w:szCs w:val="32"/>
        </w:rPr>
        <w:t>的正常运转合各项业务活动的顺利开展。并按要求开展绩效评价自评工作，并就自评中出现的问题进行分析、整改。</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sz w:val="32"/>
          <w:szCs w:val="32"/>
        </w:rPr>
        <w:t>认真抓好财政资金公开公示工作，在政务公开网上按规定对预算、决算、整体支出和项目支出绩效评价情况进行公示公开，保持资金监管信息通达并依法接受财政监督。</w:t>
      </w:r>
    </w:p>
    <w:p w:rsidR="00AB247A" w:rsidRDefault="00714F03">
      <w:pPr>
        <w:spacing w:line="590" w:lineRule="exact"/>
        <w:ind w:firstLineChars="200" w:firstLine="660"/>
        <w:contextualSpacing/>
        <w:rPr>
          <w:rFonts w:eastAsia="黑体"/>
          <w:color w:val="000000"/>
          <w:kern w:val="0"/>
          <w:sz w:val="33"/>
          <w:szCs w:val="33"/>
          <w:shd w:val="clear" w:color="auto" w:fill="FFFFFF"/>
        </w:rPr>
      </w:pPr>
      <w:r>
        <w:rPr>
          <w:rFonts w:eastAsia="黑体"/>
          <w:color w:val="000000"/>
          <w:kern w:val="0"/>
          <w:sz w:val="33"/>
          <w:szCs w:val="33"/>
          <w:shd w:val="clear" w:color="auto" w:fill="FFFFFF"/>
        </w:rPr>
        <w:t>四、评价结论及建议</w:t>
      </w:r>
    </w:p>
    <w:p w:rsidR="00AB247A" w:rsidRDefault="00714F03">
      <w:pPr>
        <w:widowControl/>
        <w:adjustRightInd w:val="0"/>
        <w:snapToGrid w:val="0"/>
        <w:spacing w:line="580" w:lineRule="exact"/>
        <w:ind w:firstLineChars="200" w:firstLine="663"/>
        <w:contextualSpacing/>
        <w:jc w:val="left"/>
        <w:rPr>
          <w:rFonts w:eastAsia="楷体_GB2312"/>
          <w:b/>
          <w:bCs/>
          <w:color w:val="000000"/>
          <w:kern w:val="0"/>
          <w:sz w:val="33"/>
          <w:szCs w:val="33"/>
          <w:shd w:val="clear" w:color="auto" w:fill="FFFFFF"/>
          <w:lang w:val="zh-CN"/>
        </w:rPr>
      </w:pPr>
      <w:r>
        <w:rPr>
          <w:rFonts w:eastAsia="楷体_GB2312" w:hint="eastAsia"/>
          <w:b/>
          <w:bCs/>
          <w:color w:val="000000"/>
          <w:kern w:val="0"/>
          <w:sz w:val="33"/>
          <w:szCs w:val="33"/>
          <w:shd w:val="clear" w:color="auto" w:fill="FFFFFF"/>
          <w:lang w:val="zh-CN"/>
        </w:rPr>
        <w:t>（一）评价结论。</w:t>
      </w:r>
    </w:p>
    <w:p w:rsidR="00AB247A" w:rsidRDefault="00714F03">
      <w:pPr>
        <w:widowControl/>
        <w:adjustRightInd w:val="0"/>
        <w:snapToGrid w:val="0"/>
        <w:spacing w:line="580" w:lineRule="exact"/>
        <w:ind w:firstLineChars="200" w:firstLine="640"/>
        <w:contextualSpacing/>
        <w:jc w:val="left"/>
        <w:rPr>
          <w:rFonts w:eastAsia="仿宋_GB2312"/>
          <w:sz w:val="32"/>
          <w:szCs w:val="32"/>
        </w:rPr>
      </w:pPr>
      <w:r>
        <w:rPr>
          <w:rFonts w:eastAsia="仿宋_GB2312" w:hint="eastAsia"/>
          <w:sz w:val="32"/>
          <w:szCs w:val="32"/>
        </w:rPr>
        <w:t>我镇整体支出绩效评价为优秀，整体绩效自评分为</w:t>
      </w:r>
      <w:r>
        <w:rPr>
          <w:rFonts w:eastAsia="仿宋_GB2312" w:hint="eastAsia"/>
          <w:sz w:val="32"/>
          <w:szCs w:val="32"/>
        </w:rPr>
        <w:t>98.4</w:t>
      </w:r>
      <w:r>
        <w:rPr>
          <w:rFonts w:eastAsia="仿宋_GB2312" w:hint="eastAsia"/>
          <w:sz w:val="32"/>
          <w:szCs w:val="32"/>
        </w:rPr>
        <w:t>。</w:t>
      </w:r>
    </w:p>
    <w:p w:rsidR="00AB247A" w:rsidRDefault="00714F03">
      <w:pPr>
        <w:spacing w:line="590" w:lineRule="exact"/>
        <w:ind w:firstLineChars="200" w:firstLine="663"/>
        <w:contextualSpacing/>
        <w:rPr>
          <w:rFonts w:eastAsia="楷体_GB2312"/>
          <w:b/>
          <w:bCs/>
          <w:color w:val="000000"/>
          <w:kern w:val="0"/>
          <w:sz w:val="33"/>
          <w:szCs w:val="33"/>
          <w:shd w:val="clear" w:color="auto" w:fill="FFFFFF"/>
          <w:lang w:val="zh-CN"/>
        </w:rPr>
      </w:pPr>
      <w:r>
        <w:rPr>
          <w:rFonts w:eastAsia="楷体_GB2312"/>
          <w:b/>
          <w:bCs/>
          <w:color w:val="000000"/>
          <w:kern w:val="0"/>
          <w:sz w:val="33"/>
          <w:szCs w:val="33"/>
          <w:shd w:val="clear" w:color="auto" w:fill="FFFFFF"/>
          <w:lang w:val="zh-CN"/>
        </w:rPr>
        <w:t>（二）存在问题。</w:t>
      </w:r>
    </w:p>
    <w:p w:rsidR="00AB247A" w:rsidRDefault="00714F03">
      <w:pPr>
        <w:spacing w:line="590" w:lineRule="exact"/>
        <w:ind w:firstLineChars="200" w:firstLine="640"/>
        <w:contextualSpacing/>
        <w:rPr>
          <w:rFonts w:eastAsia="仿宋_GB2312"/>
          <w:sz w:val="32"/>
          <w:szCs w:val="32"/>
        </w:rPr>
      </w:pPr>
      <w:r>
        <w:rPr>
          <w:rFonts w:eastAsia="仿宋_GB2312" w:hint="eastAsia"/>
          <w:sz w:val="32"/>
          <w:szCs w:val="32"/>
        </w:rPr>
        <w:t>年初编制预算时，本年度政府性基金预算收入、国有资本经营性收入、交管员伙食补助、环境治理、信访维稳等预</w:t>
      </w:r>
      <w:r>
        <w:rPr>
          <w:rFonts w:eastAsia="仿宋_GB2312" w:hint="eastAsia"/>
          <w:sz w:val="32"/>
          <w:szCs w:val="32"/>
        </w:rPr>
        <w:lastRenderedPageBreak/>
        <w:t>算项目支出均不在年初预算内，致使公用经费年初预算数与决算数相比存在偏差。</w:t>
      </w:r>
    </w:p>
    <w:p w:rsidR="00AB247A" w:rsidRDefault="00714F03">
      <w:pPr>
        <w:widowControl/>
        <w:adjustRightInd w:val="0"/>
        <w:snapToGrid w:val="0"/>
        <w:spacing w:line="580" w:lineRule="exact"/>
        <w:ind w:firstLineChars="200" w:firstLine="663"/>
        <w:contextualSpacing/>
        <w:jc w:val="left"/>
        <w:rPr>
          <w:rFonts w:eastAsia="楷体_GB2312"/>
          <w:b/>
          <w:bCs/>
          <w:color w:val="000000"/>
          <w:kern w:val="0"/>
          <w:sz w:val="33"/>
          <w:szCs w:val="33"/>
          <w:shd w:val="clear" w:color="auto" w:fill="FFFFFF"/>
          <w:lang w:val="zh-CN"/>
        </w:rPr>
      </w:pPr>
      <w:r>
        <w:rPr>
          <w:rFonts w:eastAsia="楷体_GB2312"/>
          <w:b/>
          <w:bCs/>
          <w:color w:val="000000"/>
          <w:kern w:val="0"/>
          <w:sz w:val="33"/>
          <w:szCs w:val="33"/>
          <w:shd w:val="clear" w:color="auto" w:fill="FFFFFF"/>
          <w:lang w:val="zh-CN"/>
        </w:rPr>
        <w:t>（三）改进建议。</w:t>
      </w:r>
    </w:p>
    <w:p w:rsidR="00AB247A" w:rsidRDefault="00714F03">
      <w:pPr>
        <w:widowControl/>
        <w:adjustRightInd w:val="0"/>
        <w:snapToGrid w:val="0"/>
        <w:spacing w:line="580" w:lineRule="exact"/>
        <w:ind w:firstLineChars="200" w:firstLine="640"/>
        <w:contextualSpacing/>
        <w:jc w:val="left"/>
        <w:rPr>
          <w:rFonts w:ascii="仿宋_GB2312" w:hAnsi="宋体" w:cs="宋体"/>
          <w:color w:val="000000"/>
          <w:kern w:val="0"/>
          <w:szCs w:val="32"/>
          <w:shd w:val="clear" w:color="auto" w:fill="FFFFFF"/>
          <w:lang w:val="zh-CN"/>
        </w:rPr>
      </w:pPr>
      <w:r>
        <w:rPr>
          <w:rFonts w:eastAsia="仿宋_GB2312" w:hint="eastAsia"/>
          <w:sz w:val="32"/>
          <w:szCs w:val="32"/>
        </w:rPr>
        <w:t>一是鼓励财务人员积极学习拓展财务知识面，提高财务人员业务水平和预见性，强化其预算管理一体化系统操作业务能力；二是严格按照预算编制通知要求，围绕全年工作，根据项目进度和工作开展实际需求编制收支预算，并实时监控项目进度，视完成情况按流程申请调整预算；三是进一步增强预算绩效目标项目设计的科学性、合理性，健全内部控制管理机制，提高财政资金使用效率。</w:t>
      </w:r>
    </w:p>
    <w:p w:rsidR="00AB247A" w:rsidRDefault="00AB247A">
      <w:pPr>
        <w:spacing w:line="590" w:lineRule="exact"/>
        <w:ind w:firstLineChars="200" w:firstLine="660"/>
        <w:contextualSpacing/>
        <w:rPr>
          <w:rFonts w:cs="仿宋_GB2312"/>
          <w:kern w:val="0"/>
          <w:sz w:val="33"/>
          <w:szCs w:val="33"/>
          <w:lang w:val="zh-CN"/>
        </w:rPr>
      </w:pPr>
    </w:p>
    <w:p w:rsidR="00AB247A" w:rsidRDefault="00AB247A">
      <w:pPr>
        <w:spacing w:line="590" w:lineRule="exact"/>
        <w:contextualSpacing/>
        <w:rPr>
          <w:rFonts w:eastAsia="黑体"/>
          <w:sz w:val="33"/>
          <w:szCs w:val="33"/>
        </w:rPr>
      </w:pPr>
    </w:p>
    <w:p w:rsidR="00AB247A" w:rsidRDefault="00714F03">
      <w:pPr>
        <w:pStyle w:val="20"/>
        <w:spacing w:line="560" w:lineRule="exact"/>
        <w:ind w:leftChars="0" w:left="0" w:firstLine="640"/>
        <w:rPr>
          <w:rFonts w:ascii="Times New Roman" w:eastAsia="仿宋_GB2312"/>
          <w:sz w:val="32"/>
        </w:rPr>
      </w:pPr>
      <w:r>
        <w:rPr>
          <w:rFonts w:ascii="Times New Roman" w:eastAsia="仿宋_GB2312" w:hint="eastAsia"/>
          <w:sz w:val="32"/>
        </w:rPr>
        <w:t>附表：部门预算项目支出绩效自评表（</w:t>
      </w:r>
      <w:r>
        <w:rPr>
          <w:rFonts w:ascii="Times New Roman" w:eastAsia="仿宋_GB2312" w:hint="eastAsia"/>
          <w:sz w:val="32"/>
        </w:rPr>
        <w:t>2024</w:t>
      </w:r>
      <w:r>
        <w:rPr>
          <w:rFonts w:ascii="Times New Roman" w:eastAsia="仿宋_GB2312" w:hint="eastAsia"/>
          <w:sz w:val="32"/>
        </w:rPr>
        <w:t>年度）</w:t>
      </w:r>
    </w:p>
    <w:p w:rsidR="00AB247A" w:rsidRDefault="00AB247A">
      <w:pPr>
        <w:pStyle w:val="20"/>
        <w:spacing w:line="560" w:lineRule="exact"/>
        <w:ind w:leftChars="0" w:left="0" w:firstLineChars="0" w:firstLine="0"/>
        <w:rPr>
          <w:rFonts w:ascii="Times New Roman"/>
          <w:sz w:val="32"/>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AB247A">
      <w:pPr>
        <w:rPr>
          <w:highlight w:val="yellow"/>
          <w:lang w:val="zh-CN"/>
        </w:rPr>
      </w:pPr>
    </w:p>
    <w:p w:rsidR="00AB247A" w:rsidRDefault="00AB247A">
      <w:pPr>
        <w:pStyle w:val="a0"/>
        <w:rPr>
          <w:highlight w:val="yellow"/>
          <w:lang w:val="zh-CN"/>
        </w:rPr>
      </w:pPr>
    </w:p>
    <w:p w:rsidR="00AB247A" w:rsidRDefault="00AB247A">
      <w:pPr>
        <w:pStyle w:val="20"/>
        <w:ind w:left="420"/>
        <w:rPr>
          <w:highlight w:val="yellow"/>
          <w:lang w:val="zh-CN"/>
        </w:rPr>
      </w:pPr>
    </w:p>
    <w:p w:rsidR="00AB247A" w:rsidRDefault="00714F03">
      <w:pPr>
        <w:rPr>
          <w:highlight w:val="yellow"/>
          <w:lang w:val="zh-CN"/>
        </w:rPr>
      </w:pPr>
      <w:r>
        <w:rPr>
          <w:noProof/>
          <w:highlight w:val="yellow"/>
        </w:rPr>
        <w:lastRenderedPageBreak/>
        <w:drawing>
          <wp:inline distT="0" distB="0" distL="114300" distR="114300">
            <wp:extent cx="5266690" cy="6961505"/>
            <wp:effectExtent l="19050" t="0" r="0" b="0"/>
            <wp:docPr id="3" name="图片 3" descr="0e65ca7e9182c5955e5b21677c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65ca7e9182c5955e5b21677c22092"/>
                    <pic:cNvPicPr>
                      <a:picLocks noChangeAspect="1"/>
                    </pic:cNvPicPr>
                  </pic:nvPicPr>
                  <pic:blipFill>
                    <a:blip r:embed="rId18"/>
                    <a:stretch>
                      <a:fillRect/>
                    </a:stretch>
                  </pic:blipFill>
                  <pic:spPr>
                    <a:xfrm>
                      <a:off x="0" y="0"/>
                      <a:ext cx="5266690" cy="6961505"/>
                    </a:xfrm>
                    <a:prstGeom prst="rect">
                      <a:avLst/>
                    </a:prstGeom>
                  </pic:spPr>
                </pic:pic>
              </a:graphicData>
            </a:graphic>
          </wp:inline>
        </w:drawing>
      </w:r>
    </w:p>
    <w:p w:rsidR="00AB247A" w:rsidRDefault="00AB247A">
      <w:pPr>
        <w:pStyle w:val="a5"/>
        <w:spacing w:before="93"/>
        <w:rPr>
          <w:rFonts w:ascii="Times New Roman" w:cs="宋体"/>
          <w:color w:val="FF0000"/>
          <w:sz w:val="32"/>
          <w:szCs w:val="32"/>
          <w:highlight w:val="yellow"/>
          <w:shd w:val="clear" w:color="auto" w:fill="FFFFFF"/>
          <w:lang w:val="zh-CN"/>
        </w:rPr>
      </w:pPr>
    </w:p>
    <w:p w:rsidR="00AB247A" w:rsidRDefault="00714F03">
      <w:pPr>
        <w:tabs>
          <w:tab w:val="center" w:pos="4153"/>
        </w:tabs>
        <w:rPr>
          <w:rFonts w:eastAsia="黑体" w:cs="黑体"/>
          <w:kern w:val="0"/>
          <w:sz w:val="32"/>
          <w:szCs w:val="32"/>
          <w:shd w:val="clear" w:color="auto" w:fill="FFFFFF"/>
          <w:lang w:val="zh-CN"/>
        </w:rPr>
      </w:pPr>
      <w:r>
        <w:rPr>
          <w:rFonts w:eastAsia="黑体" w:cs="黑体" w:hint="eastAsia"/>
          <w:kern w:val="0"/>
          <w:sz w:val="32"/>
          <w:szCs w:val="32"/>
          <w:shd w:val="clear" w:color="auto" w:fill="FFFFFF"/>
          <w:lang w:val="zh-CN"/>
        </w:rPr>
        <w:br w:type="page"/>
      </w:r>
      <w:r>
        <w:rPr>
          <w:rFonts w:eastAsia="黑体" w:cs="黑体" w:hint="eastAsia"/>
          <w:kern w:val="0"/>
          <w:sz w:val="32"/>
          <w:szCs w:val="32"/>
          <w:shd w:val="clear" w:color="auto" w:fill="FFFFFF"/>
          <w:lang w:val="zh-CN"/>
        </w:rPr>
        <w:lastRenderedPageBreak/>
        <w:tab/>
      </w:r>
    </w:p>
    <w:p w:rsidR="00AB247A" w:rsidRDefault="00714F03">
      <w:pPr>
        <w:pStyle w:val="a0"/>
        <w:rPr>
          <w:rFonts w:eastAsia="黑体" w:cs="黑体"/>
          <w:sz w:val="32"/>
          <w:szCs w:val="32"/>
        </w:rPr>
      </w:pPr>
      <w:r>
        <w:rPr>
          <w:noProof/>
        </w:rPr>
        <w:drawing>
          <wp:inline distT="0" distB="0" distL="114300" distR="114300">
            <wp:extent cx="5263515" cy="7115810"/>
            <wp:effectExtent l="19050" t="0" r="0" b="0"/>
            <wp:docPr id="5" name="图片 5" descr="1de2ede6ca83f164167606b110df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de2ede6ca83f164167606b110df473"/>
                    <pic:cNvPicPr>
                      <a:picLocks noChangeAspect="1"/>
                    </pic:cNvPicPr>
                  </pic:nvPicPr>
                  <pic:blipFill>
                    <a:blip r:embed="rId19"/>
                    <a:stretch>
                      <a:fillRect/>
                    </a:stretch>
                  </pic:blipFill>
                  <pic:spPr>
                    <a:xfrm>
                      <a:off x="0" y="0"/>
                      <a:ext cx="5266690" cy="7120270"/>
                    </a:xfrm>
                    <a:prstGeom prst="rect">
                      <a:avLst/>
                    </a:prstGeom>
                  </pic:spPr>
                </pic:pic>
              </a:graphicData>
            </a:graphic>
          </wp:inline>
        </w:drawing>
      </w: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714F03">
      <w:pPr>
        <w:pStyle w:val="20"/>
        <w:ind w:left="420"/>
      </w:pPr>
      <w:r>
        <w:rPr>
          <w:rFonts w:hint="eastAsia"/>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73675" cy="7792085"/>
            <wp:effectExtent l="19050" t="0" r="3175" b="0"/>
            <wp:wrapSquare wrapText="bothSides"/>
            <wp:docPr id="23" name="图片 13" descr="I:\财务\2025年财务\其他资料及日常工作\10.10开展2024年部门决算公开的通知（乐中财政库〔2025〕8号）\2024年决算公开\新建文件夹\04ceb6c94c317c48f9393e71ccb1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财务\2025年财务\其他资料及日常工作\10.10开展2024年部门决算公开的通知（乐中财政库〔2025〕8号）\2024年决算公开\新建文件夹\04ceb6c94c317c48f9393e71ccb18b0.png"/>
                    <pic:cNvPicPr>
                      <a:picLocks noChangeAspect="1" noChangeArrowheads="1"/>
                    </pic:cNvPicPr>
                  </pic:nvPicPr>
                  <pic:blipFill>
                    <a:blip r:embed="rId20"/>
                    <a:srcRect/>
                    <a:stretch>
                      <a:fillRect/>
                    </a:stretch>
                  </pic:blipFill>
                  <pic:spPr>
                    <a:xfrm>
                      <a:off x="0" y="0"/>
                      <a:ext cx="5273675" cy="7792085"/>
                    </a:xfrm>
                    <a:prstGeom prst="rect">
                      <a:avLst/>
                    </a:prstGeom>
                    <a:noFill/>
                    <a:ln w="9525">
                      <a:noFill/>
                      <a:miter lim="800000"/>
                      <a:headEnd/>
                      <a:tailEnd/>
                    </a:ln>
                  </pic:spPr>
                </pic:pic>
              </a:graphicData>
            </a:graphic>
          </wp:anchor>
        </w:drawing>
      </w:r>
    </w:p>
    <w:p w:rsidR="00AB247A" w:rsidRDefault="00AB247A"/>
    <w:p w:rsidR="00AB247A" w:rsidRDefault="00AB247A"/>
    <w:p w:rsidR="00AB247A" w:rsidRDefault="00AB247A"/>
    <w:p w:rsidR="00AB247A" w:rsidRDefault="00AB247A"/>
    <w:p w:rsidR="00AB247A" w:rsidRDefault="00AB247A"/>
    <w:p w:rsidR="00AB247A" w:rsidRDefault="00714F03">
      <w:r>
        <w:rPr>
          <w:noProof/>
        </w:rPr>
        <w:drawing>
          <wp:inline distT="0" distB="0" distL="0" distR="0">
            <wp:extent cx="5273675" cy="7609205"/>
            <wp:effectExtent l="19050" t="0" r="2871" b="0"/>
            <wp:docPr id="24" name="图片 14" descr="I:\财务\2025年财务\其他资料及日常工作\10.10开展2024年部门决算公开的通知（乐中财政库〔2025〕8号）\2024年决算公开\新建文件夹\4a4df6c10624f626ddfcaacb0a42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财务\2025年财务\其他资料及日常工作\10.10开展2024年部门决算公开的通知（乐中财政库〔2025〕8号）\2024年决算公开\新建文件夹\4a4df6c10624f626ddfcaacb0a4277f.png"/>
                    <pic:cNvPicPr>
                      <a:picLocks noChangeAspect="1" noChangeArrowheads="1"/>
                    </pic:cNvPicPr>
                  </pic:nvPicPr>
                  <pic:blipFill>
                    <a:blip r:embed="rId21"/>
                    <a:srcRect/>
                    <a:stretch>
                      <a:fillRect/>
                    </a:stretch>
                  </pic:blipFill>
                  <pic:spPr>
                    <a:xfrm>
                      <a:off x="0" y="0"/>
                      <a:ext cx="5274310" cy="7609876"/>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3675" cy="7712710"/>
            <wp:effectExtent l="19050" t="0" r="2873" b="0"/>
            <wp:docPr id="25" name="图片 15" descr="I:\财务\2025年财务\其他资料及日常工作\10.10开展2024年部门决算公开的通知（乐中财政库〔2025〕8号）\2024年决算公开\新建文件夹\27c8149b5c2b6b1f9227e7803d31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财务\2025年财务\其他资料及日常工作\10.10开展2024年部门决算公开的通知（乐中财政库〔2025〕8号）\2024年决算公开\新建文件夹\27c8149b5c2b6b1f9227e7803d31e39.png"/>
                    <pic:cNvPicPr>
                      <a:picLocks noChangeAspect="1" noChangeArrowheads="1"/>
                    </pic:cNvPicPr>
                  </pic:nvPicPr>
                  <pic:blipFill>
                    <a:blip r:embed="rId22"/>
                    <a:srcRect/>
                    <a:stretch>
                      <a:fillRect/>
                    </a:stretch>
                  </pic:blipFill>
                  <pic:spPr>
                    <a:xfrm>
                      <a:off x="0" y="0"/>
                      <a:ext cx="5274310" cy="7713252"/>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3040" cy="7410450"/>
            <wp:effectExtent l="19050" t="0" r="3778" b="0"/>
            <wp:docPr id="26" name="图片 16" descr="I:\财务\2025年财务\其他资料及日常工作\10.10开展2024年部门决算公开的通知（乐中财政库〔2025〕8号）\2024年决算公开\新建文件夹\51b6eded3829ea1a3072d1c783a5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财务\2025年财务\其他资料及日常工作\10.10开展2024年部门决算公开的通知（乐中财政库〔2025〕8号）\2024年决算公开\新建文件夹\51b6eded3829ea1a3072d1c783a5a38.png"/>
                    <pic:cNvPicPr>
                      <a:picLocks noChangeAspect="1" noChangeArrowheads="1"/>
                    </pic:cNvPicPr>
                  </pic:nvPicPr>
                  <pic:blipFill>
                    <a:blip r:embed="rId23"/>
                    <a:srcRect/>
                    <a:stretch>
                      <a:fillRect/>
                    </a:stretch>
                  </pic:blipFill>
                  <pic:spPr>
                    <a:xfrm>
                      <a:off x="0" y="0"/>
                      <a:ext cx="5274310" cy="7412355"/>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0500" cy="8110220"/>
            <wp:effectExtent l="19050" t="0" r="5743" b="0"/>
            <wp:docPr id="27" name="图片 17" descr="I:\财务\2025年财务\其他资料及日常工作\10.10开展2024年部门决算公开的通知（乐中财政库〔2025〕8号）\2024年决算公开\新建文件夹\92e398233640088a0c52b53c9880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财务\2025年财务\其他资料及日常工作\10.10开展2024年部门决算公开的通知（乐中财政库〔2025〕8号）\2024年决算公开\新建文件夹\92e398233640088a0c52b53c98806e0.png"/>
                    <pic:cNvPicPr>
                      <a:picLocks noChangeAspect="1" noChangeArrowheads="1"/>
                    </pic:cNvPicPr>
                  </pic:nvPicPr>
                  <pic:blipFill>
                    <a:blip r:embed="rId24"/>
                    <a:srcRect/>
                    <a:stretch>
                      <a:fillRect/>
                    </a:stretch>
                  </pic:blipFill>
                  <pic:spPr>
                    <a:xfrm>
                      <a:off x="0" y="0"/>
                      <a:ext cx="5274310" cy="8115260"/>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714F03">
      <w:r>
        <w:rPr>
          <w:noProof/>
        </w:rPr>
        <w:lastRenderedPageBreak/>
        <w:drawing>
          <wp:inline distT="0" distB="0" distL="0" distR="0">
            <wp:extent cx="5270500" cy="7974965"/>
            <wp:effectExtent l="19050" t="0" r="5743" b="0"/>
            <wp:docPr id="28" name="图片 18" descr="I:\财务\2025年财务\其他资料及日常工作\10.10开展2024年部门决算公开的通知（乐中财政库〔2025〕8号）\2024年决算公开\新建文件夹\114e834d5a476ae78854496f7109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财务\2025年财务\其他资料及日常工作\10.10开展2024年部门决算公开的通知（乐中财政库〔2025〕8号）\2024年决算公开\新建文件夹\114e834d5a476ae78854496f7109ad8.png"/>
                    <pic:cNvPicPr>
                      <a:picLocks noChangeAspect="1" noChangeArrowheads="1"/>
                    </pic:cNvPicPr>
                  </pic:nvPicPr>
                  <pic:blipFill>
                    <a:blip r:embed="rId25"/>
                    <a:srcRect/>
                    <a:stretch>
                      <a:fillRect/>
                    </a:stretch>
                  </pic:blipFill>
                  <pic:spPr>
                    <a:xfrm>
                      <a:off x="0" y="0"/>
                      <a:ext cx="5274310" cy="7980005"/>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714F03">
      <w:r>
        <w:rPr>
          <w:noProof/>
        </w:rPr>
        <w:lastRenderedPageBreak/>
        <w:drawing>
          <wp:inline distT="0" distB="0" distL="0" distR="0">
            <wp:extent cx="5273675" cy="8213090"/>
            <wp:effectExtent l="19050" t="0" r="2871" b="0"/>
            <wp:docPr id="29" name="图片 19" descr="I:\财务\2025年财务\其他资料及日常工作\10.10开展2024年部门决算公开的通知（乐中财政库〔2025〕8号）\2024年决算公开\新建文件夹\756cda3dc1e1609a31036fc4ead6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财务\2025年财务\其他资料及日常工作\10.10开展2024年部门决算公开的通知（乐中财政库〔2025〕8号）\2024年决算公开\新建文件夹\756cda3dc1e1609a31036fc4ead6a2f.png"/>
                    <pic:cNvPicPr>
                      <a:picLocks noChangeAspect="1" noChangeArrowheads="1"/>
                    </pic:cNvPicPr>
                  </pic:nvPicPr>
                  <pic:blipFill>
                    <a:blip r:embed="rId26"/>
                    <a:srcRect/>
                    <a:stretch>
                      <a:fillRect/>
                    </a:stretch>
                  </pic:blipFill>
                  <pic:spPr>
                    <a:xfrm>
                      <a:off x="0" y="0"/>
                      <a:ext cx="5274310" cy="8214213"/>
                    </a:xfrm>
                    <a:prstGeom prst="rect">
                      <a:avLst/>
                    </a:prstGeom>
                    <a:noFill/>
                    <a:ln w="9525">
                      <a:noFill/>
                      <a:miter lim="800000"/>
                      <a:headEnd/>
                      <a:tailEnd/>
                    </a:ln>
                  </pic:spPr>
                </pic:pic>
              </a:graphicData>
            </a:graphic>
          </wp:inline>
        </w:drawing>
      </w:r>
      <w:r>
        <w:br w:type="textWrapping" w:clear="all"/>
      </w:r>
    </w:p>
    <w:p w:rsidR="00AB247A" w:rsidRDefault="00AB247A">
      <w:pPr>
        <w:pStyle w:val="a0"/>
      </w:pPr>
    </w:p>
    <w:p w:rsidR="00AB247A" w:rsidRDefault="00714F03">
      <w:r>
        <w:rPr>
          <w:noProof/>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73675" cy="7784465"/>
            <wp:effectExtent l="19050" t="0" r="2871" b="0"/>
            <wp:wrapSquare wrapText="bothSides"/>
            <wp:docPr id="30" name="图片 20" descr="I:\财务\2025年财务\其他资料及日常工作\10.10开展2024年部门决算公开的通知（乐中财政库〔2025〕8号）\2024年决算公开\新建文件夹\49038b8dd69dde2a692ead467a24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财务\2025年财务\其他资料及日常工作\10.10开展2024年部门决算公开的通知（乐中财政库〔2025〕8号）\2024年决算公开\新建文件夹\49038b8dd69dde2a692ead467a24ebe.png"/>
                    <pic:cNvPicPr>
                      <a:picLocks noChangeAspect="1" noChangeArrowheads="1"/>
                    </pic:cNvPicPr>
                  </pic:nvPicPr>
                  <pic:blipFill>
                    <a:blip r:embed="rId27"/>
                    <a:srcRect/>
                    <a:stretch>
                      <a:fillRect/>
                    </a:stretch>
                  </pic:blipFill>
                  <pic:spPr>
                    <a:xfrm>
                      <a:off x="0" y="0"/>
                      <a:ext cx="5273979" cy="7784327"/>
                    </a:xfrm>
                    <a:prstGeom prst="rect">
                      <a:avLst/>
                    </a:prstGeom>
                    <a:noFill/>
                    <a:ln w="9525">
                      <a:noFill/>
                      <a:miter lim="800000"/>
                      <a:headEnd/>
                      <a:tailEnd/>
                    </a:ln>
                  </pic:spPr>
                </pic:pic>
              </a:graphicData>
            </a:graphic>
          </wp:anchor>
        </w:drawing>
      </w:r>
    </w:p>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2405" cy="7585075"/>
            <wp:effectExtent l="19050" t="0" r="4287" b="0"/>
            <wp:docPr id="31" name="图片 21" descr="I:\财务\2025年财务\其他资料及日常工作\10.10开展2024年部门决算公开的通知（乐中财政库〔2025〕8号）\2024年决算公开\新建文件夹\664614e7c18efa1dc7fb932ef9d0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财务\2025年财务\其他资料及日常工作\10.10开展2024年部门决算公开的通知（乐中财政库〔2025〕8号）\2024年决算公开\新建文件夹\664614e7c18efa1dc7fb932ef9d0363.png"/>
                    <pic:cNvPicPr>
                      <a:picLocks noChangeAspect="1" noChangeArrowheads="1"/>
                    </pic:cNvPicPr>
                  </pic:nvPicPr>
                  <pic:blipFill>
                    <a:blip r:embed="rId28"/>
                    <a:srcRect/>
                    <a:stretch>
                      <a:fillRect/>
                    </a:stretch>
                  </pic:blipFill>
                  <pic:spPr>
                    <a:xfrm>
                      <a:off x="0" y="0"/>
                      <a:ext cx="5274310" cy="7588058"/>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1135" cy="8141970"/>
            <wp:effectExtent l="19050" t="0" r="5441" b="0"/>
            <wp:docPr id="32" name="图片 22" descr="I:\财务\2025年财务\其他资料及日常工作\10.10开展2024年部门决算公开的通知（乐中财政库〔2025〕8号）\2024年决算公开\新建文件夹\bfb49db65f232ba0f55b01c6c7693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I:\财务\2025年财务\其他资料及日常工作\10.10开展2024年部门决算公开的通知（乐中财政库〔2025〕8号）\2024年决算公开\新建文件夹\bfb49db65f232ba0f55b01c6c7693df.png"/>
                    <pic:cNvPicPr>
                      <a:picLocks noChangeAspect="1" noChangeArrowheads="1"/>
                    </pic:cNvPicPr>
                  </pic:nvPicPr>
                  <pic:blipFill>
                    <a:blip r:embed="rId29"/>
                    <a:srcRect/>
                    <a:stretch>
                      <a:fillRect/>
                    </a:stretch>
                  </pic:blipFill>
                  <pic:spPr>
                    <a:xfrm>
                      <a:off x="0" y="0"/>
                      <a:ext cx="5274310" cy="8146617"/>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714F03">
      <w:r>
        <w:rPr>
          <w:noProof/>
        </w:rPr>
        <w:lastRenderedPageBreak/>
        <w:drawing>
          <wp:inline distT="0" distB="0" distL="0" distR="0">
            <wp:extent cx="5273675" cy="7362825"/>
            <wp:effectExtent l="19050" t="0" r="2871" b="0"/>
            <wp:docPr id="33" name="图片 23" descr="I:\财务\2025年财务\其他资料及日常工作\10.10开展2024年部门决算公开的通知（乐中财政库〔2025〕8号）\2024年决算公开\新建文件夹\c62c8e423e6b818e3abf8757eecc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财务\2025年财务\其他资料及日常工作\10.10开展2024年部门决算公开的通知（乐中财政库〔2025〕8号）\2024年决算公开\新建文件夹\c62c8e423e6b818e3abf8757eecc262.png"/>
                    <pic:cNvPicPr>
                      <a:picLocks noChangeAspect="1" noChangeArrowheads="1"/>
                    </pic:cNvPicPr>
                  </pic:nvPicPr>
                  <pic:blipFill>
                    <a:blip r:embed="rId30"/>
                    <a:srcRect/>
                    <a:stretch>
                      <a:fillRect/>
                    </a:stretch>
                  </pic:blipFill>
                  <pic:spPr>
                    <a:xfrm>
                      <a:off x="0" y="0"/>
                      <a:ext cx="5274310" cy="7363370"/>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1770" cy="7911465"/>
            <wp:effectExtent l="19050" t="0" r="5072" b="0"/>
            <wp:docPr id="34" name="图片 24" descr="I:\财务\2025年财务\其他资料及日常工作\10.10开展2024年部门决算公开的通知（乐中财政库〔2025〕8号）\2024年决算公开\新建文件夹\cfe65a3fd3d5bae741ddb224c508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财务\2025年财务\其他资料及日常工作\10.10开展2024年部门决算公开的通知（乐中财政库〔2025〕8号）\2024年决算公开\新建文件夹\cfe65a3fd3d5bae741ddb224c508ac5.png"/>
                    <pic:cNvPicPr>
                      <a:picLocks noChangeAspect="1" noChangeArrowheads="1"/>
                    </pic:cNvPicPr>
                  </pic:nvPicPr>
                  <pic:blipFill>
                    <a:blip r:embed="rId31"/>
                    <a:srcRect/>
                    <a:stretch>
                      <a:fillRect/>
                    </a:stretch>
                  </pic:blipFill>
                  <pic:spPr>
                    <a:xfrm>
                      <a:off x="0" y="0"/>
                      <a:ext cx="5274310" cy="7915348"/>
                    </a:xfrm>
                    <a:prstGeom prst="rect">
                      <a:avLst/>
                    </a:prstGeom>
                    <a:noFill/>
                    <a:ln w="9525">
                      <a:noFill/>
                      <a:miter lim="800000"/>
                      <a:headEnd/>
                      <a:tailEnd/>
                    </a:ln>
                  </pic:spPr>
                </pic:pic>
              </a:graphicData>
            </a:graphic>
          </wp:inline>
        </w:drawing>
      </w:r>
    </w:p>
    <w:p w:rsidR="00AB247A" w:rsidRDefault="00AB247A"/>
    <w:p w:rsidR="00AB247A" w:rsidRDefault="00AB247A"/>
    <w:p w:rsidR="00AB247A" w:rsidRDefault="00AB247A"/>
    <w:p w:rsidR="00AB247A" w:rsidRDefault="00AB247A"/>
    <w:p w:rsidR="00AB247A" w:rsidRDefault="00714F03">
      <w:r>
        <w:rPr>
          <w:noProof/>
        </w:rPr>
        <w:lastRenderedPageBreak/>
        <w:drawing>
          <wp:inline distT="0" distB="0" distL="0" distR="0">
            <wp:extent cx="5271770" cy="7473950"/>
            <wp:effectExtent l="19050" t="0" r="4744" b="0"/>
            <wp:docPr id="35" name="图片 25" descr="I:\财务\2025年财务\其他资料及日常工作\10.10开展2024年部门决算公开的通知（乐中财政库〔2025〕8号）\2024年决算公开\新建文件夹\dc17dd0f649e27ce5751e3c34f1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I:\财务\2025年财务\其他资料及日常工作\10.10开展2024年部门决算公开的通知（乐中财政库〔2025〕8号）\2024年决算公开\新建文件夹\dc17dd0f649e27ce5751e3c34f1e191.png"/>
                    <pic:cNvPicPr>
                      <a:picLocks noChangeAspect="1" noChangeArrowheads="1"/>
                    </pic:cNvPicPr>
                  </pic:nvPicPr>
                  <pic:blipFill>
                    <a:blip r:embed="rId32"/>
                    <a:srcRect/>
                    <a:stretch>
                      <a:fillRect/>
                    </a:stretch>
                  </pic:blipFill>
                  <pic:spPr>
                    <a:xfrm>
                      <a:off x="0" y="0"/>
                      <a:ext cx="5274310" cy="7477350"/>
                    </a:xfrm>
                    <a:prstGeom prst="rect">
                      <a:avLst/>
                    </a:prstGeom>
                    <a:noFill/>
                    <a:ln w="9525">
                      <a:noFill/>
                      <a:miter lim="800000"/>
                      <a:headEnd/>
                      <a:tailEnd/>
                    </a:ln>
                  </pic:spPr>
                </pic:pic>
              </a:graphicData>
            </a:graphic>
          </wp:inline>
        </w:drawing>
      </w:r>
      <w:r>
        <w:br w:type="textWrapping" w:clear="all"/>
      </w:r>
    </w:p>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714F03">
      <w:r>
        <w:rPr>
          <w:noProof/>
        </w:rPr>
        <w:lastRenderedPageBreak/>
        <w:drawing>
          <wp:inline distT="0" distB="0" distL="0" distR="0">
            <wp:extent cx="5271135" cy="7179945"/>
            <wp:effectExtent l="19050" t="0" r="5647" b="0"/>
            <wp:docPr id="36" name="图片 26" descr="I:\财务\2025年财务\其他资料及日常工作\10.10开展2024年部门决算公开的通知（乐中财政库〔2025〕8号）\2024年决算公开\新建文件夹\e9fab45ed04c3d6754d0d219cd83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财务\2025年财务\其他资料及日常工作\10.10开展2024年部门决算公开的通知（乐中财政库〔2025〕8号）\2024年决算公开\新建文件夹\e9fab45ed04c3d6754d0d219cd83b54.png"/>
                    <pic:cNvPicPr>
                      <a:picLocks noChangeAspect="1" noChangeArrowheads="1"/>
                    </pic:cNvPicPr>
                  </pic:nvPicPr>
                  <pic:blipFill>
                    <a:blip r:embed="rId33"/>
                    <a:srcRect/>
                    <a:stretch>
                      <a:fillRect/>
                    </a:stretch>
                  </pic:blipFill>
                  <pic:spPr>
                    <a:xfrm>
                      <a:off x="0" y="0"/>
                      <a:ext cx="5274310" cy="7184260"/>
                    </a:xfrm>
                    <a:prstGeom prst="rect">
                      <a:avLst/>
                    </a:prstGeom>
                    <a:noFill/>
                    <a:ln w="9525">
                      <a:noFill/>
                      <a:miter lim="800000"/>
                      <a:headEnd/>
                      <a:tailEnd/>
                    </a:ln>
                  </pic:spPr>
                </pic:pic>
              </a:graphicData>
            </a:graphic>
          </wp:inline>
        </w:drawing>
      </w:r>
    </w:p>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714F03">
      <w:pPr>
        <w:pStyle w:val="a0"/>
      </w:pPr>
      <w:r>
        <w:rPr>
          <w:noProof/>
        </w:rPr>
        <w:lastRenderedPageBreak/>
        <w:drawing>
          <wp:inline distT="0" distB="0" distL="0" distR="0">
            <wp:extent cx="5271135" cy="7720330"/>
            <wp:effectExtent l="19050" t="0" r="5593" b="0"/>
            <wp:docPr id="37" name="图片 27" descr="I:\财务\2025年财务\其他资料及日常工作\10.10开展2024年部门决算公开的通知（乐中财政库〔2025〕8号）\2024年决算公开\新建文件夹\e14435954a993651e4e0a474f64b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I:\财务\2025年财务\其他资料及日常工作\10.10开展2024年部门决算公开的通知（乐中财政库〔2025〕8号）\2024年决算公开\新建文件夹\e14435954a993651e4e0a474f64b22c.png"/>
                    <pic:cNvPicPr>
                      <a:picLocks noChangeAspect="1" noChangeArrowheads="1"/>
                    </pic:cNvPicPr>
                  </pic:nvPicPr>
                  <pic:blipFill>
                    <a:blip r:embed="rId34"/>
                    <a:srcRect/>
                    <a:stretch>
                      <a:fillRect/>
                    </a:stretch>
                  </pic:blipFill>
                  <pic:spPr>
                    <a:xfrm>
                      <a:off x="0" y="0"/>
                      <a:ext cx="5274310" cy="7725189"/>
                    </a:xfrm>
                    <a:prstGeom prst="rect">
                      <a:avLst/>
                    </a:prstGeom>
                    <a:noFill/>
                    <a:ln w="9525">
                      <a:noFill/>
                      <a:miter lim="800000"/>
                      <a:headEnd/>
                      <a:tailEnd/>
                    </a:ln>
                  </pic:spPr>
                </pic:pic>
              </a:graphicData>
            </a:graphic>
          </wp:inline>
        </w:drawing>
      </w:r>
    </w:p>
    <w:p w:rsidR="00AB247A" w:rsidRDefault="00AB247A">
      <w:pPr>
        <w:pStyle w:val="20"/>
        <w:ind w:left="420"/>
      </w:pPr>
    </w:p>
    <w:p w:rsidR="00AB247A" w:rsidRDefault="00AB247A"/>
    <w:p w:rsidR="00AB247A" w:rsidRDefault="00AB247A">
      <w:pPr>
        <w:pStyle w:val="a0"/>
      </w:pPr>
    </w:p>
    <w:p w:rsidR="00AB247A" w:rsidRDefault="00AB247A">
      <w:pPr>
        <w:pStyle w:val="20"/>
        <w:ind w:left="420"/>
      </w:pPr>
    </w:p>
    <w:p w:rsidR="00AB247A" w:rsidRDefault="00AB247A"/>
    <w:p w:rsidR="00AB247A" w:rsidRDefault="00AB247A">
      <w:pPr>
        <w:pStyle w:val="a0"/>
        <w:sectPr w:rsidR="00AB247A">
          <w:footerReference w:type="default" r:id="rId35"/>
          <w:footerReference w:type="first" r:id="rId36"/>
          <w:pgSz w:w="11906" w:h="16838"/>
          <w:pgMar w:top="1440" w:right="1800" w:bottom="1440" w:left="1800" w:header="851" w:footer="992" w:gutter="0"/>
          <w:pgNumType w:start="1"/>
          <w:cols w:space="425"/>
          <w:docGrid w:type="lines" w:linePitch="312"/>
        </w:sectPr>
      </w:pPr>
    </w:p>
    <w:p w:rsidR="00AB247A" w:rsidRDefault="00714F03">
      <w:pPr>
        <w:pStyle w:val="a0"/>
      </w:pPr>
      <w:r>
        <w:rPr>
          <w:noProof/>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273675" cy="7999095"/>
            <wp:effectExtent l="19050" t="0" r="2871" b="0"/>
            <wp:wrapSquare wrapText="bothSides"/>
            <wp:docPr id="38" name="图片 28" descr="I:\财务\2025年财务\其他资料及日常工作\10.10开展2024年部门决算公开的通知（乐中财政库〔2025〕8号）\2024年决算公开\新建文件夹\ef10dee3b64216c202ea2fcaaf6ea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I:\财务\2025年财务\其他资料及日常工作\10.10开展2024年部门决算公开的通知（乐中财政库〔2025〕8号）\2024年决算公开\新建文件夹\ef10dee3b64216c202ea2fcaaf6ea0d.png"/>
                    <pic:cNvPicPr>
                      <a:picLocks noChangeAspect="1" noChangeArrowheads="1"/>
                    </pic:cNvPicPr>
                  </pic:nvPicPr>
                  <pic:blipFill>
                    <a:blip r:embed="rId37"/>
                    <a:srcRect/>
                    <a:stretch>
                      <a:fillRect/>
                    </a:stretch>
                  </pic:blipFill>
                  <pic:spPr>
                    <a:xfrm>
                      <a:off x="0" y="0"/>
                      <a:ext cx="5273979" cy="7999012"/>
                    </a:xfrm>
                    <a:prstGeom prst="rect">
                      <a:avLst/>
                    </a:prstGeom>
                    <a:noFill/>
                    <a:ln w="9525">
                      <a:noFill/>
                      <a:miter lim="800000"/>
                      <a:headEnd/>
                      <a:tailEnd/>
                    </a:ln>
                  </pic:spPr>
                </pic:pic>
              </a:graphicData>
            </a:graphic>
          </wp:anchor>
        </w:drawing>
      </w:r>
      <w:r>
        <w:br w:type="textWrapping" w:clear="all"/>
      </w:r>
    </w:p>
    <w:p w:rsidR="00AB247A" w:rsidRDefault="00AB247A">
      <w:pPr>
        <w:pStyle w:val="20"/>
        <w:ind w:left="420"/>
      </w:pPr>
    </w:p>
    <w:p w:rsidR="00AB247A" w:rsidRDefault="00AB247A"/>
    <w:p w:rsidR="00AB247A" w:rsidRDefault="00AB247A">
      <w:pPr>
        <w:widowControl/>
        <w:jc w:val="center"/>
        <w:rPr>
          <w:rFonts w:ascii="方正小标宋简体" w:eastAsia="方正小标宋简体" w:hAnsi="宋体" w:cs="宋体"/>
          <w:kern w:val="0"/>
          <w:sz w:val="56"/>
          <w:szCs w:val="56"/>
        </w:rPr>
        <w:sectPr w:rsidR="00AB247A">
          <w:pgSz w:w="11906" w:h="16838"/>
          <w:pgMar w:top="1440" w:right="1800" w:bottom="1440" w:left="1800" w:header="851" w:footer="992" w:gutter="0"/>
          <w:cols w:space="425"/>
          <w:docGrid w:type="lines" w:linePitch="312"/>
        </w:sectPr>
      </w:pPr>
    </w:p>
    <w:tbl>
      <w:tblPr>
        <w:tblW w:w="13892" w:type="dxa"/>
        <w:tblInd w:w="100" w:type="dxa"/>
        <w:tblBorders>
          <w:top w:val="single" w:sz="4" w:space="0" w:color="auto"/>
          <w:left w:val="single" w:sz="4" w:space="0" w:color="auto"/>
          <w:bottom w:val="single" w:sz="4" w:space="0" w:color="auto"/>
          <w:right w:val="single" w:sz="4" w:space="0" w:color="auto"/>
        </w:tblBorders>
        <w:tblLayout w:type="fixed"/>
        <w:tblLook w:val="04A0"/>
      </w:tblPr>
      <w:tblGrid>
        <w:gridCol w:w="1137"/>
        <w:gridCol w:w="1179"/>
        <w:gridCol w:w="1613"/>
        <w:gridCol w:w="654"/>
        <w:gridCol w:w="1448"/>
        <w:gridCol w:w="936"/>
        <w:gridCol w:w="4243"/>
        <w:gridCol w:w="872"/>
        <w:gridCol w:w="1810"/>
      </w:tblGrid>
      <w:tr w:rsidR="00AB247A">
        <w:trPr>
          <w:trHeight w:val="735"/>
        </w:trPr>
        <w:tc>
          <w:tcPr>
            <w:tcW w:w="13892" w:type="dxa"/>
            <w:gridSpan w:val="9"/>
            <w:tcBorders>
              <w:top w:val="nil"/>
              <w:left w:val="nil"/>
              <w:bottom w:val="single" w:sz="4" w:space="0" w:color="auto"/>
              <w:right w:val="nil"/>
            </w:tcBorders>
            <w:shd w:val="clear" w:color="auto" w:fill="auto"/>
            <w:vAlign w:val="center"/>
          </w:tcPr>
          <w:p w:rsidR="00AB247A" w:rsidRDefault="00714F03">
            <w:pPr>
              <w:widowControl/>
              <w:jc w:val="center"/>
              <w:textAlignment w:val="center"/>
              <w:rPr>
                <w:rFonts w:ascii="方正小标宋简体" w:eastAsia="方正小标宋简体" w:hAnsi="方正小标宋简体" w:cs="方正小标宋简体"/>
                <w:color w:val="000000"/>
                <w:sz w:val="56"/>
                <w:szCs w:val="56"/>
              </w:rPr>
            </w:pPr>
            <w:r>
              <w:rPr>
                <w:rFonts w:ascii="方正小标宋简体" w:eastAsia="方正小标宋简体" w:hAnsi="方正小标宋简体" w:cs="方正小标宋简体" w:hint="eastAsia"/>
                <w:color w:val="000000"/>
                <w:kern w:val="0"/>
                <w:sz w:val="56"/>
                <w:szCs w:val="56"/>
              </w:rPr>
              <w:lastRenderedPageBreak/>
              <w:t>乐山市市中区悦来镇部门整体支出绩效自评打分表</w:t>
            </w:r>
          </w:p>
        </w:tc>
      </w:tr>
      <w:tr w:rsidR="00AB247A">
        <w:trPr>
          <w:trHeight w:val="315"/>
        </w:trPr>
        <w:tc>
          <w:tcPr>
            <w:tcW w:w="4583" w:type="dxa"/>
            <w:gridSpan w:val="4"/>
            <w:tcBorders>
              <w:top w:val="single" w:sz="4" w:space="0" w:color="auto"/>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绩效评价指标</w:t>
            </w:r>
            <w:r>
              <w:rPr>
                <w:rFonts w:ascii="黑体" w:eastAsia="黑体" w:hAnsi="宋体" w:cs="黑体" w:hint="eastAsia"/>
                <w:color w:val="000000"/>
                <w:kern w:val="0"/>
                <w:sz w:val="24"/>
              </w:rPr>
              <w:br/>
              <w:t>指标分值</w:t>
            </w:r>
          </w:p>
        </w:tc>
        <w:tc>
          <w:tcPr>
            <w:tcW w:w="144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黑体" w:eastAsia="黑体" w:hAnsi="宋体" w:cs="黑体"/>
                <w:color w:val="000000"/>
                <w:sz w:val="24"/>
              </w:rPr>
            </w:pPr>
            <w:r>
              <w:rPr>
                <w:rFonts w:ascii="黑体" w:eastAsia="黑体" w:hAnsi="宋体" w:cs="黑体" w:hint="eastAsia"/>
                <w:color w:val="000000"/>
                <w:kern w:val="0"/>
                <w:sz w:val="24"/>
              </w:rPr>
              <w:t>指标解释</w:t>
            </w:r>
          </w:p>
        </w:tc>
        <w:tc>
          <w:tcPr>
            <w:tcW w:w="93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评分方法</w:t>
            </w:r>
          </w:p>
        </w:tc>
        <w:tc>
          <w:tcPr>
            <w:tcW w:w="424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评分说明</w:t>
            </w:r>
          </w:p>
        </w:tc>
        <w:tc>
          <w:tcPr>
            <w:tcW w:w="87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自评得分</w:t>
            </w:r>
          </w:p>
        </w:tc>
        <w:tc>
          <w:tcPr>
            <w:tcW w:w="1810" w:type="dxa"/>
            <w:vMerge w:val="restart"/>
            <w:tcBorders>
              <w:top w:val="single" w:sz="4" w:space="0" w:color="auto"/>
              <w:left w:val="single" w:sz="4" w:space="0" w:color="000000"/>
              <w:bottom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备注</w:t>
            </w:r>
          </w:p>
        </w:tc>
      </w:tr>
      <w:tr w:rsidR="00AB247A">
        <w:trPr>
          <w:trHeight w:val="600"/>
        </w:trPr>
        <w:tc>
          <w:tcPr>
            <w:tcW w:w="1137" w:type="dxa"/>
            <w:tcBorders>
              <w:top w:val="single" w:sz="4" w:space="0" w:color="000000"/>
              <w:bottom w:val="single" w:sz="4" w:space="0" w:color="000000"/>
              <w:right w:val="nil"/>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一级指标</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二级指标</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三级指标</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rPr>
              <w:t>指标分值</w:t>
            </w:r>
          </w:p>
        </w:tc>
        <w:tc>
          <w:tcPr>
            <w:tcW w:w="14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黑体" w:eastAsia="黑体" w:hAnsi="宋体" w:cs="黑体"/>
                <w:color w:val="000000"/>
                <w:sz w:val="24"/>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黑体" w:eastAsia="黑体" w:hAnsi="宋体" w:cs="黑体"/>
                <w:color w:val="000000"/>
                <w:sz w:val="24"/>
              </w:rPr>
            </w:pPr>
          </w:p>
        </w:tc>
        <w:tc>
          <w:tcPr>
            <w:tcW w:w="42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黑体" w:eastAsia="黑体" w:hAnsi="宋体" w:cs="黑体"/>
                <w:color w:val="000000"/>
                <w:sz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黑体" w:eastAsia="黑体" w:hAnsi="宋体" w:cs="黑体"/>
                <w:color w:val="000000"/>
                <w:sz w:val="24"/>
              </w:rPr>
            </w:pP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黑体" w:eastAsia="黑体" w:hAnsi="宋体" w:cs="黑体"/>
                <w:color w:val="000000"/>
                <w:sz w:val="24"/>
              </w:rPr>
            </w:pPr>
          </w:p>
        </w:tc>
      </w:tr>
      <w:tr w:rsidR="00AB247A">
        <w:trPr>
          <w:trHeight w:val="315"/>
        </w:trPr>
        <w:tc>
          <w:tcPr>
            <w:tcW w:w="1137" w:type="dxa"/>
            <w:vMerge w:val="restart"/>
            <w:tcBorders>
              <w:top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总体绩效</w:t>
            </w:r>
            <w:r>
              <w:rPr>
                <w:rFonts w:ascii="宋体" w:hAnsi="宋体" w:cs="宋体" w:hint="eastAsia"/>
                <w:b/>
                <w:bCs/>
                <w:color w:val="000000"/>
                <w:kern w:val="0"/>
                <w:sz w:val="24"/>
              </w:rPr>
              <w:br/>
              <w:t>（65分）</w:t>
            </w:r>
          </w:p>
        </w:tc>
        <w:tc>
          <w:tcPr>
            <w:tcW w:w="1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履职效能</w:t>
            </w:r>
            <w:r>
              <w:rPr>
                <w:rFonts w:ascii="宋体" w:hAnsi="宋体" w:cs="宋体" w:hint="eastAsia"/>
                <w:b/>
                <w:bCs/>
                <w:color w:val="000000"/>
                <w:kern w:val="0"/>
                <w:sz w:val="24"/>
              </w:rPr>
              <w:br/>
              <w:t>（15分）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支付进度</w:t>
            </w:r>
          </w:p>
        </w:tc>
        <w:tc>
          <w:tcPr>
            <w:tcW w:w="654" w:type="dxa"/>
            <w:vMerge w:val="restart"/>
            <w:tcBorders>
              <w:top w:val="nil"/>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15</w:t>
            </w:r>
          </w:p>
        </w:tc>
        <w:tc>
          <w:tcPr>
            <w:tcW w:w="14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部门整体绩效目标中选定3-5个核心职能目标，反映该项职能目标完成效果情况</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部门整体绩效目标中选定3-5个可量化计算、可评价的核心职能目标，分别设定指标分值、指标解释、评分方法和评分说明，总分值不超过15分。该项指标得分=年终完成履职效果目标数量÷年初目标设置总数×100%×指标分值。履职效能总分为各项履职效果得分的和。</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15</w:t>
            </w:r>
          </w:p>
        </w:tc>
        <w:tc>
          <w:tcPr>
            <w:tcW w:w="1810" w:type="dxa"/>
            <w:vMerge w:val="restart"/>
            <w:tcBorders>
              <w:top w:val="single" w:sz="4" w:space="0" w:color="000000"/>
              <w:left w:val="single" w:sz="4" w:space="0" w:color="000000"/>
              <w:bottom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关于“XX履职效果”请根据部门职能在整体绩效中的目标体现具体填入</w:t>
            </w:r>
          </w:p>
        </w:tc>
      </w:tr>
      <w:tr w:rsidR="00AB247A">
        <w:trPr>
          <w:trHeight w:val="31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执行情况</w:t>
            </w:r>
          </w:p>
        </w:tc>
        <w:tc>
          <w:tcPr>
            <w:tcW w:w="654" w:type="dxa"/>
            <w:vMerge/>
            <w:tcBorders>
              <w:top w:val="nil"/>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4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42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18"/>
                <w:szCs w:val="18"/>
              </w:rPr>
            </w:pPr>
          </w:p>
        </w:tc>
      </w:tr>
      <w:tr w:rsidR="00AB247A">
        <w:trPr>
          <w:trHeight w:val="31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真实性</w:t>
            </w:r>
          </w:p>
        </w:tc>
        <w:tc>
          <w:tcPr>
            <w:tcW w:w="654" w:type="dxa"/>
            <w:vMerge/>
            <w:tcBorders>
              <w:top w:val="nil"/>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4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42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18"/>
                <w:szCs w:val="18"/>
              </w:rPr>
            </w:pPr>
          </w:p>
        </w:tc>
      </w:tr>
      <w:tr w:rsidR="00AB247A">
        <w:trPr>
          <w:trHeight w:val="31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完整度</w:t>
            </w:r>
          </w:p>
        </w:tc>
        <w:tc>
          <w:tcPr>
            <w:tcW w:w="654" w:type="dxa"/>
            <w:vMerge/>
            <w:tcBorders>
              <w:top w:val="nil"/>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4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42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18"/>
                <w:szCs w:val="18"/>
              </w:rPr>
            </w:pPr>
          </w:p>
        </w:tc>
      </w:tr>
      <w:tr w:rsidR="00AB247A">
        <w:trPr>
          <w:trHeight w:val="164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满意度</w:t>
            </w:r>
          </w:p>
        </w:tc>
        <w:tc>
          <w:tcPr>
            <w:tcW w:w="654" w:type="dxa"/>
            <w:vMerge/>
            <w:tcBorders>
              <w:top w:val="nil"/>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4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42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left"/>
              <w:rPr>
                <w:rFonts w:ascii="宋体" w:hAnsi="宋体" w:cs="宋体"/>
                <w:color w:val="000000"/>
                <w:sz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18"/>
                <w:szCs w:val="18"/>
              </w:rPr>
            </w:pPr>
          </w:p>
        </w:tc>
      </w:tr>
      <w:tr w:rsidR="00AB247A">
        <w:trPr>
          <w:trHeight w:val="252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预算管理</w:t>
            </w:r>
            <w:r>
              <w:rPr>
                <w:rFonts w:ascii="宋体" w:hAnsi="宋体" w:cs="宋体" w:hint="eastAsia"/>
                <w:b/>
                <w:bCs/>
                <w:color w:val="000000"/>
                <w:kern w:val="0"/>
                <w:sz w:val="24"/>
              </w:rPr>
              <w:br/>
              <w:t>（25分）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预算编制质量</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6</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是否严格按要求编制年初部门预算，年初预算编制的科学性和准确性</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Style w:val="font21"/>
                <w:rFonts w:hint="default"/>
              </w:rPr>
              <w:t>预算编制审核过程中，未按要求编制部门预算（含基本支出）的，财政退回一次扣0.1分，直至扣完。如预算项目未细化预算，未与绩效目标相对应；绩效目标编制不细化量化，未根据实际需求编制预算项目，未进行事前绩效评估等。</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46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非税收入</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主要考核单位非税收入的执行进度</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1.该项指标得分=1至12月完成数÷年初计划×3，受季节、政策或一次性因素影响的酌情考虑。</w:t>
            </w:r>
            <w:r>
              <w:rPr>
                <w:rFonts w:ascii="宋体" w:hAnsi="宋体" w:cs="宋体" w:hint="eastAsia"/>
                <w:color w:val="000000"/>
                <w:kern w:val="0"/>
                <w:sz w:val="24"/>
              </w:rPr>
              <w:br/>
              <w:t>2.每年7月、10月、11月、12月开始后七日内，报送《非税收入征缴情况统计表》，漏报一次扣0.2分。</w:t>
            </w:r>
            <w:r>
              <w:rPr>
                <w:rFonts w:ascii="宋体" w:hAnsi="宋体" w:cs="宋体" w:hint="eastAsia"/>
                <w:color w:val="000000"/>
                <w:kern w:val="0"/>
                <w:sz w:val="24"/>
              </w:rPr>
              <w:br/>
              <w:t>3.年度终了后，次年1月15日前报送全年非税收缴执行情况正式文件报告，得0.2分。</w:t>
            </w:r>
            <w:r>
              <w:rPr>
                <w:rFonts w:ascii="宋体" w:hAnsi="宋体" w:cs="宋体" w:hint="eastAsia"/>
                <w:color w:val="000000"/>
                <w:kern w:val="0"/>
                <w:sz w:val="24"/>
              </w:rPr>
              <w:br/>
              <w:t>累计不超过4分。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3.6</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若不涉及，直接得指标分值的90%，即3.6分</w:t>
            </w:r>
          </w:p>
        </w:tc>
      </w:tr>
      <w:tr w:rsidR="00AB247A">
        <w:trPr>
          <w:trHeight w:val="283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政府购买服务政策执行</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根据政府购买服务指导性目录结合单位实际编制预算，无预算不购买。按政府采购相关程序实施。</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1.根据单位实际，根据政府购买服务指导性目录编制预算，得1分。</w:t>
            </w:r>
            <w:r>
              <w:rPr>
                <w:rFonts w:ascii="宋体" w:hAnsi="宋体" w:cs="宋体" w:hint="eastAsia"/>
                <w:color w:val="000000"/>
                <w:kern w:val="0"/>
                <w:sz w:val="24"/>
              </w:rPr>
              <w:br/>
              <w:t>2.符合政府采购规定的，按政府采购相关程序实施，0.5分</w:t>
            </w:r>
            <w:r>
              <w:rPr>
                <w:rFonts w:ascii="宋体" w:hAnsi="宋体" w:cs="宋体" w:hint="eastAsia"/>
                <w:color w:val="000000"/>
                <w:kern w:val="0"/>
                <w:sz w:val="24"/>
              </w:rPr>
              <w:br/>
              <w:t>3.政府购买服务项目实行全过程绩效管理，得0.5分。</w:t>
            </w:r>
            <w:r>
              <w:rPr>
                <w:rFonts w:ascii="宋体" w:hAnsi="宋体" w:cs="宋体" w:hint="eastAsia"/>
                <w:color w:val="000000"/>
                <w:kern w:val="0"/>
                <w:sz w:val="24"/>
              </w:rPr>
              <w:br/>
              <w:t>如未编制政府购买服务预算，不得分。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1.8</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若不涉及，直接得指标分值的90%，即1.8分</w:t>
            </w:r>
          </w:p>
        </w:tc>
      </w:tr>
      <w:tr w:rsidR="00AB247A">
        <w:trPr>
          <w:trHeight w:val="189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支出执行情况</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单位1至6月、7至12月预算执行情况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该项指标得分=（1-1至6月支出预警金额占比×0.8-1至6月支出违规金额占比×0.2）×2+（1-7至12月支出预警金额占比×0.8-7至12月支出违规金额占比×0.2）×2。</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89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预算分配进度</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上级资金分配和支付进度</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1.上级资金下达本级后主管部门在一个月内细化方案并完成分配下达，得2分。每超出规定时限1个月的，扣0.2分，直至扣完。</w:t>
            </w:r>
            <w:r>
              <w:rPr>
                <w:rFonts w:ascii="宋体" w:hAnsi="宋体" w:cs="宋体" w:hint="eastAsia"/>
                <w:color w:val="000000"/>
                <w:kern w:val="0"/>
                <w:sz w:val="24"/>
              </w:rPr>
              <w:br/>
              <w:t>2.考核上级资金支付进度，得分=支付数÷下达计划数*2。</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78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严控一般性支出</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单位严控“三公”经费、会议、培训、差旅、办节办展、办公设备购置、信息网络及软件购置更新、课题经费等8项一般性支出情况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nil"/>
              <w:left w:val="nil"/>
              <w:bottom w:val="nil"/>
              <w:right w:val="nil"/>
            </w:tcBorders>
            <w:shd w:val="clear" w:color="auto" w:fill="auto"/>
            <w:vAlign w:val="center"/>
          </w:tcPr>
          <w:p w:rsidR="00AB247A" w:rsidRDefault="00714F03">
            <w:pPr>
              <w:widowControl/>
              <w:textAlignment w:val="center"/>
              <w:rPr>
                <w:rFonts w:ascii="宋体" w:hAnsi="宋体" w:cs="宋体"/>
                <w:color w:val="000000"/>
                <w:sz w:val="24"/>
              </w:rPr>
            </w:pPr>
            <w:r>
              <w:rPr>
                <w:rFonts w:ascii="宋体" w:hAnsi="宋体" w:cs="宋体" w:hint="eastAsia"/>
                <w:color w:val="000000"/>
                <w:kern w:val="0"/>
                <w:sz w:val="24"/>
              </w:rPr>
              <w:t>该项指标得分=基础分值+加分值。</w:t>
            </w:r>
            <w:r>
              <w:rPr>
                <w:rFonts w:ascii="宋体" w:hAnsi="宋体" w:cs="宋体" w:hint="eastAsia"/>
                <w:color w:val="000000"/>
                <w:kern w:val="0"/>
                <w:sz w:val="24"/>
              </w:rPr>
              <w:br/>
              <w:t>1.基础分值。一般性支出财政拨款年初预算较上年实现压减得1分；一般性支出财政拨款预算执行较上年实现压减得1分。</w:t>
            </w:r>
            <w:r>
              <w:rPr>
                <w:rFonts w:ascii="宋体" w:hAnsi="宋体" w:cs="宋体" w:hint="eastAsia"/>
                <w:color w:val="000000"/>
                <w:kern w:val="0"/>
                <w:sz w:val="24"/>
              </w:rPr>
              <w:br/>
              <w:t>2.加分值。一般性支出财政拨款年初预算较上年每压减1%得0.2分，累计不超过1分；一般性支出财政拨款预算执行较上年每压减1%得0.4分，累计不超过2分。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4378"/>
        </w:trPr>
        <w:tc>
          <w:tcPr>
            <w:tcW w:w="1137" w:type="dxa"/>
            <w:vMerge/>
            <w:tcBorders>
              <w:top w:val="single" w:sz="4" w:space="0" w:color="000000"/>
              <w:bottom w:val="single" w:sz="4" w:space="0" w:color="000000"/>
              <w:right w:val="single" w:sz="4" w:space="0" w:color="auto"/>
            </w:tcBorders>
            <w:shd w:val="clear" w:color="auto" w:fill="auto"/>
            <w:vAlign w:val="center"/>
          </w:tcPr>
          <w:p w:rsidR="00AB247A" w:rsidRDefault="00AB247A">
            <w:pPr>
              <w:jc w:val="center"/>
              <w:rPr>
                <w:rFonts w:ascii="宋体" w:hAnsi="宋体" w:cs="宋体"/>
                <w:b/>
                <w:bCs/>
                <w:color w:val="000000"/>
                <w:sz w:val="24"/>
              </w:rPr>
            </w:pP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内控管理</w:t>
            </w:r>
            <w:r>
              <w:rPr>
                <w:rFonts w:ascii="宋体" w:hAnsi="宋体" w:cs="宋体" w:hint="eastAsia"/>
                <w:b/>
                <w:bCs/>
                <w:color w:val="000000"/>
                <w:kern w:val="0"/>
                <w:sz w:val="24"/>
              </w:rPr>
              <w:br/>
              <w:t>（5分）</w:t>
            </w:r>
          </w:p>
        </w:tc>
        <w:tc>
          <w:tcPr>
            <w:tcW w:w="1613" w:type="dxa"/>
            <w:tcBorders>
              <w:top w:val="single" w:sz="4" w:space="0" w:color="000000"/>
              <w:left w:val="single" w:sz="4" w:space="0" w:color="auto"/>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内控制度</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按照要求建立健全内控制度。</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1.未结合单位实际建立健全内控制度，包括但不限于重大经济事项集体决策、财务管理、资产管理、采购管理、绩效管理等制度，每缺失一项扣0.1分。</w:t>
            </w:r>
            <w:r>
              <w:rPr>
                <w:rFonts w:ascii="宋体" w:hAnsi="宋体" w:cs="宋体" w:hint="eastAsia"/>
                <w:color w:val="000000"/>
                <w:kern w:val="0"/>
                <w:sz w:val="24"/>
              </w:rPr>
              <w:br/>
              <w:t>2.未结合单位实际明确重大经济事项标准，或者标准过高与单位实际不符的，扣0.1分。</w:t>
            </w:r>
            <w:r>
              <w:rPr>
                <w:rFonts w:ascii="宋体" w:hAnsi="宋体" w:cs="宋体" w:hint="eastAsia"/>
                <w:color w:val="000000"/>
                <w:kern w:val="0"/>
                <w:sz w:val="24"/>
              </w:rPr>
              <w:br/>
              <w:t>3.按照单位集体决策制度规定，应当经过集体决策而未经过集体决策的重大经济事项，每发现一项扣0.1分，最高1分。</w:t>
            </w:r>
            <w:r>
              <w:rPr>
                <w:rFonts w:ascii="宋体" w:hAnsi="宋体" w:cs="宋体" w:hint="eastAsia"/>
                <w:color w:val="000000"/>
                <w:kern w:val="0"/>
                <w:sz w:val="24"/>
              </w:rPr>
              <w:br/>
              <w:t>4.抽查经济业务事项审签落实情况，每发现一项未落实扣0.1分，最高2分。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1810" w:type="dxa"/>
            <w:tcBorders>
              <w:top w:val="single" w:sz="4" w:space="0" w:color="000000"/>
              <w:left w:val="single" w:sz="4" w:space="0" w:color="000000"/>
              <w:bottom w:val="nil"/>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财务管理</w:t>
            </w:r>
            <w:r>
              <w:rPr>
                <w:rFonts w:ascii="宋体" w:hAnsi="宋体" w:cs="宋体" w:hint="eastAsia"/>
                <w:b/>
                <w:bCs/>
                <w:color w:val="000000"/>
                <w:kern w:val="0"/>
                <w:sz w:val="24"/>
              </w:rPr>
              <w:br/>
              <w:t>（6分）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财务岗位设置</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单位财务岗位设置是否符合相关财务管理制度要求</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是否评分法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单位合理设置财务工作岗位，明确职责权限，并严格实行不相容岗位分离的，得2分。否则该项不得分。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810" w:type="dxa"/>
            <w:tcBorders>
              <w:top w:val="single" w:sz="4" w:space="0" w:color="000000"/>
              <w:left w:val="single" w:sz="4" w:space="0" w:color="000000"/>
              <w:bottom w:val="nil"/>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财务管理规范</w:t>
            </w:r>
          </w:p>
        </w:tc>
        <w:tc>
          <w:tcPr>
            <w:tcW w:w="654"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单位资金使用是否符合相关财务管理制度规定</w:t>
            </w:r>
          </w:p>
        </w:tc>
        <w:tc>
          <w:tcPr>
            <w:tcW w:w="936"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资金使用不符合相关财务管理制度规定的，发现一处扣0.2分，扣完为止。</w:t>
            </w:r>
          </w:p>
        </w:tc>
        <w:tc>
          <w:tcPr>
            <w:tcW w:w="872"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252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资产管理</w:t>
            </w:r>
            <w:r>
              <w:rPr>
                <w:rFonts w:ascii="宋体" w:hAnsi="宋体" w:cs="宋体" w:hint="eastAsia"/>
                <w:b/>
                <w:bCs/>
                <w:color w:val="000000"/>
                <w:kern w:val="0"/>
                <w:sz w:val="24"/>
              </w:rPr>
              <w:br/>
              <w:t>（8分）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资产月报和年报报送</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单位资产月报和年报报送的及时性、数据的准确性、完整性。</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1.月报报送每月7日前未报送的一次扣0.1分，最多扣1.2分；年报报送延期1天扣0.1分，最多扣0.3分。</w:t>
            </w:r>
            <w:r>
              <w:rPr>
                <w:rFonts w:ascii="宋体" w:hAnsi="宋体" w:cs="宋体" w:hint="eastAsia"/>
                <w:color w:val="000000"/>
                <w:kern w:val="0"/>
                <w:sz w:val="24"/>
              </w:rPr>
              <w:br/>
              <w:t>2.报表数据前后期增幅异常、指标极值且无合理解释，或数据出现重大错误的，每处扣0.1分，最多扣0.5分。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810" w:type="dxa"/>
            <w:vMerge w:val="restart"/>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89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账账相符</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财务账中的《资产负债表》与资产年报中的《资产负债表》一致性。</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全部相符的得2分；明细项中有1项不一致，得1分；有2项及以上不一致的，不得分。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资产管理规范</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资产配置工作规范性</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按照市中区行政事业性国有资产配置和预算管理规定合理配置资产，出现一个问题扣0.2分。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采购管理</w:t>
            </w:r>
            <w:r>
              <w:rPr>
                <w:rFonts w:ascii="宋体" w:hAnsi="宋体" w:cs="宋体" w:hint="eastAsia"/>
                <w:b/>
                <w:bCs/>
                <w:color w:val="000000"/>
                <w:kern w:val="0"/>
                <w:sz w:val="24"/>
              </w:rPr>
              <w:br/>
              <w:t>（6分）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支持中小企业发展</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是否严格执行政府采购促进中小企业发展相关管理办法</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是否评分法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对适宜由中小企业提供的采购项目和采购包，预留采购份额专门面向中小企业采购，并在采购预算中单独列示，不符合要求的扣2分。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810" w:type="dxa"/>
            <w:vMerge w:val="restart"/>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15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采购管理规范</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未按政府采购法及实施条例规定实施政府采购</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1.对采购文件投诉成立的，每一项扣0.5分；对有政府采购违法行为，被责令整改的，每项扣0.2分，不予处罚的每项扣0.5分，给予警告以上行政处罚的每项扣1分。</w:t>
            </w:r>
            <w:r>
              <w:rPr>
                <w:rFonts w:ascii="宋体" w:hAnsi="宋体" w:cs="宋体" w:hint="eastAsia"/>
                <w:color w:val="000000"/>
                <w:kern w:val="0"/>
                <w:sz w:val="24"/>
              </w:rPr>
              <w:br/>
              <w:t>2.绩效监督检查发现政府采购问题的，每一项扣0.2分。</w:t>
            </w:r>
            <w:r>
              <w:rPr>
                <w:rFonts w:ascii="宋体" w:hAnsi="宋体" w:cs="宋体" w:hint="eastAsia"/>
                <w:color w:val="000000"/>
                <w:kern w:val="0"/>
                <w:sz w:val="24"/>
              </w:rPr>
              <w:br/>
              <w:t>属于同一事项的不重复扣分，以最高扣分项扣分。扣完为止。</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vMerge/>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465"/>
        </w:trPr>
        <w:tc>
          <w:tcPr>
            <w:tcW w:w="1137" w:type="dxa"/>
            <w:vMerge w:val="restart"/>
            <w:tcBorders>
              <w:top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lastRenderedPageBreak/>
              <w:t>项目绩效</w:t>
            </w:r>
            <w:r>
              <w:rPr>
                <w:rFonts w:ascii="宋体" w:hAnsi="宋体" w:cs="宋体" w:hint="eastAsia"/>
                <w:b/>
                <w:bCs/>
                <w:color w:val="000000"/>
                <w:kern w:val="0"/>
                <w:sz w:val="24"/>
              </w:rPr>
              <w:br/>
              <w:t>（35分）</w:t>
            </w: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项目决策</w:t>
            </w:r>
            <w:r>
              <w:rPr>
                <w:rFonts w:ascii="宋体" w:hAnsi="宋体" w:cs="宋体" w:hint="eastAsia"/>
                <w:b/>
                <w:bCs/>
                <w:color w:val="000000"/>
                <w:kern w:val="0"/>
                <w:sz w:val="24"/>
              </w:rPr>
              <w:br/>
              <w:t>（12分）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决策程序</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预算项目设立是否按规定履行评估论证、申报程序</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4-单位未履行事前评估程序的部门预算阶段项目（含一次性项目）数量÷部门预算阶段项目（含一次性项目）总数×100%×4。抽评的部门预算阶段项目（含一次性项目）总数10个以下的全部纳入，每增加5个多纳入1个，最多不超过30个，下同。若无部门预算阶段项目（含一次性项目），则主要查看部门预算项目整体决策程序。</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78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目标设置</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预算项目绩效目标与计划期内的任务量、预算安排的资金量匹配情况，绩效目标设置是否科学合理、规范完整、量化细化、预算匹配</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4-绩效目标与计划期内的任务量、预算安排不相匹配的部门预算阶段项目（含一次性项目）数量÷部门预算阶段项目（含一次性项目）总数×100%×4。若无部门预算阶段项目（含一次性项目），则抽评涉及核心业务、资金量大的其他部门预算项目，下同。</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89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项目入库</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预算项目是否在规定时间完成项目入库</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该项指标得分=4-规定时间未入财政库部门预算阶段项目（含一次性项目）数量÷最终安排部门预算阶段项目（含一次性项目）总数×100%×4。规定时间以当年预算股通知日期为准。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项目执行</w:t>
            </w:r>
            <w:r>
              <w:rPr>
                <w:rFonts w:ascii="宋体" w:hAnsi="宋体" w:cs="宋体" w:hint="eastAsia"/>
                <w:b/>
                <w:bCs/>
                <w:color w:val="000000"/>
                <w:kern w:val="0"/>
                <w:sz w:val="24"/>
              </w:rPr>
              <w:br/>
              <w:t>（12分）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执行同向</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预算项目实际列支内容是否与绩效目标设置方向相符</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该项指标得分=4-实际列支内容与绩效目标设置方向不相符的部门预算阶段项目（含一次性项目）数量÷部门预算阶段项目（含一次性项目）总数×100%×4。</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220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nil"/>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项目调整</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预算项目是否采取对应调整措施</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该项指标得分=4-应采取未采取收回预算、调整目标等处置措施的部门预算阶段项目（含一次性项目）数量÷应采取收回预算、调整目标等处置措施的部门预算阶段项目（含一次性项目）总数×100%×4。</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94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执行结果</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预算项目预算执行情况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该项指标得分=全年单位实际支付金额÷全年下达单位计划×100%×4。</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90"/>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目标实现</w:t>
            </w:r>
            <w:r>
              <w:rPr>
                <w:rFonts w:ascii="宋体" w:hAnsi="宋体" w:cs="宋体" w:hint="eastAsia"/>
                <w:b/>
                <w:bCs/>
                <w:color w:val="000000"/>
                <w:kern w:val="0"/>
                <w:sz w:val="24"/>
              </w:rPr>
              <w:br/>
              <w:t>（11分）</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目标完成</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预算项目绩效目标数量指标完成情况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该项指标得分=完成绩效目标数量指标的部门预算阶段项目（含一次性项目）数量÷部门预算阶段项目（含一次性项目）总数×100%×4。</w:t>
            </w:r>
            <w:r>
              <w:rPr>
                <w:rFonts w:ascii="宋体" w:hAnsi="宋体" w:cs="宋体" w:hint="eastAsia"/>
                <w:color w:val="000000"/>
                <w:kern w:val="0"/>
                <w:sz w:val="24"/>
              </w:rPr>
              <w:br/>
              <w:t>取数口径：1.计算单个部门预算阶段项</w:t>
            </w:r>
            <w:r>
              <w:rPr>
                <w:rFonts w:ascii="宋体" w:hAnsi="宋体" w:cs="宋体" w:hint="eastAsia"/>
                <w:color w:val="000000"/>
                <w:kern w:val="0"/>
                <w:sz w:val="24"/>
              </w:rPr>
              <w:lastRenderedPageBreak/>
              <w:t>目（含一次性项目）完成比例：单个项目内已完成绩效目标的数量指标个数÷该项目绩效目标数量指标总数。</w:t>
            </w:r>
            <w:r>
              <w:rPr>
                <w:rFonts w:ascii="宋体" w:hAnsi="宋体" w:cs="宋体" w:hint="eastAsia"/>
                <w:color w:val="000000"/>
                <w:kern w:val="0"/>
                <w:sz w:val="24"/>
              </w:rPr>
              <w:br/>
              <w:t>2.计算所有部门预算阶段项目（含一次性项目）完成比例：所有项目完成比例的算数平均值。</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lastRenderedPageBreak/>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5553"/>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目标偏离</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预算项目绩效目标数量指标实现程度与预期目标的偏离情况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已完成预期指标值的数量指标中偏离度在30%内的指标个数÷已完成预期指标值的数量指标个数×100%×4。偏离度=|（绩效指标实际完成值-设定预期指标值）÷设定预期指标值|。部门预算阶段项目（含一次性项目）绩效目标实际完成值偏离预期指标30%以上（含30%）的，不计分。</w:t>
            </w:r>
            <w:r>
              <w:rPr>
                <w:rFonts w:ascii="宋体" w:hAnsi="宋体" w:cs="宋体" w:hint="eastAsia"/>
                <w:color w:val="000000"/>
                <w:kern w:val="0"/>
                <w:sz w:val="24"/>
              </w:rPr>
              <w:br/>
              <w:t>取数口径：1.计算单个部门预算阶段项目（含一次性项目）完成比例：单个项目内已完成绩效目标偏离度（正偏离）在30%内的数量指标个数÷该项目绩效目标数量指标总数。</w:t>
            </w:r>
            <w:r>
              <w:rPr>
                <w:rFonts w:ascii="宋体" w:hAnsi="宋体" w:cs="宋体" w:hint="eastAsia"/>
                <w:color w:val="000000"/>
                <w:kern w:val="0"/>
                <w:sz w:val="24"/>
              </w:rPr>
              <w:br/>
              <w:t>2.计算所有部门预算阶段项目（含一次性项目）完成比例：所有项目完成比例的算数平均值。</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409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179"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实现效果</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3</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预算项目绩效目标效益指标实施效果</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比率分值法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该项指标得分=完成绩效目标效益指标的部门预算阶段项目（含一次性项目）数量÷部门预算阶段项目（含一次性项目）总数×100%×3。</w:t>
            </w:r>
            <w:r>
              <w:rPr>
                <w:rFonts w:ascii="宋体" w:hAnsi="宋体" w:cs="宋体" w:hint="eastAsia"/>
                <w:color w:val="000000"/>
                <w:kern w:val="0"/>
                <w:sz w:val="24"/>
              </w:rPr>
              <w:br/>
              <w:t>取数口径：1.计算单个部门预算阶段项目（含一次性项目）完成比例：单个项目内已完成绩效目标的效益指标个数÷该项目绩效目标效益指标总数。</w:t>
            </w:r>
            <w:r>
              <w:rPr>
                <w:rFonts w:ascii="宋体" w:hAnsi="宋体" w:cs="宋体" w:hint="eastAsia"/>
                <w:color w:val="000000"/>
                <w:kern w:val="0"/>
                <w:sz w:val="24"/>
              </w:rPr>
              <w:br/>
              <w:t>2.计算所有部门预算阶段项目（含一次性项目）完成比例：所有项目完成比例的算数平均值。</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3</w:t>
            </w: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890"/>
        </w:trPr>
        <w:tc>
          <w:tcPr>
            <w:tcW w:w="1137" w:type="dxa"/>
            <w:vMerge w:val="restart"/>
            <w:tcBorders>
              <w:top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加分项</w:t>
            </w:r>
            <w:r>
              <w:rPr>
                <w:rFonts w:ascii="宋体" w:hAnsi="宋体" w:cs="宋体" w:hint="eastAsia"/>
                <w:b/>
                <w:bCs/>
                <w:color w:val="000000"/>
                <w:kern w:val="0"/>
                <w:sz w:val="24"/>
              </w:rPr>
              <w:br/>
              <w:t>（5分）</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向上争取资金</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向上争取资金情况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积极向上申报项目资金，或省级项目资金绩效评价良好，获得更多上级资金分配，并抵减本级财力安排的，经财政复评认定后予以加分：每争取100万元加0.1分（四舍五入）最高3分。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项目（政策）绩效评价</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项目（政策）绩效评价（评估）结果</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政策和项目绩效评价（评估），评价结果为优、良的，且在项目管理中有明显成效的，提高财政资金效率的，经财政复评认定后予以加分，最高加2分。</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2520"/>
        </w:trPr>
        <w:tc>
          <w:tcPr>
            <w:tcW w:w="1137" w:type="dxa"/>
            <w:vMerge w:val="restart"/>
            <w:tcBorders>
              <w:top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b/>
                <w:bCs/>
                <w:color w:val="000000"/>
                <w:sz w:val="24"/>
              </w:rPr>
            </w:pPr>
            <w:r>
              <w:rPr>
                <w:rFonts w:ascii="宋体" w:hAnsi="宋体" w:cs="宋体" w:hint="eastAsia"/>
                <w:b/>
                <w:bCs/>
                <w:color w:val="000000"/>
                <w:kern w:val="0"/>
                <w:sz w:val="24"/>
              </w:rPr>
              <w:lastRenderedPageBreak/>
              <w:t>扣分项</w:t>
            </w:r>
            <w:r>
              <w:rPr>
                <w:rFonts w:ascii="宋体" w:hAnsi="宋体" w:cs="宋体" w:hint="eastAsia"/>
                <w:b/>
                <w:bCs/>
                <w:color w:val="000000"/>
                <w:kern w:val="0"/>
                <w:sz w:val="24"/>
              </w:rPr>
              <w:br/>
              <w:t>（10分）</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预算绩效存在问题</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预算管理和绩效管理工作存在问题</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依据评价年度人大监督、巡视巡察、审计监督、财会监督等结果以及评价指标体系涉及的履职效果、预算管理、财务管理、资产管理、采购管理、项目绩效等方面出现的问题，每有一个问题点扣0.2分；以前年度未按要求完成整改的扣0.2分，扣完为止。</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1575"/>
        </w:trPr>
        <w:tc>
          <w:tcPr>
            <w:tcW w:w="1137" w:type="dxa"/>
            <w:vMerge/>
            <w:tcBorders>
              <w:top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b/>
                <w:bCs/>
                <w:color w:val="000000"/>
                <w:sz w:val="24"/>
              </w:rPr>
            </w:pP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被评价部门配合度</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被评价对象工作配合情况</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center"/>
              <w:textAlignment w:val="center"/>
              <w:rPr>
                <w:rFonts w:ascii="宋体" w:hAnsi="宋体" w:cs="宋体"/>
                <w:color w:val="000000"/>
                <w:sz w:val="24"/>
              </w:rPr>
            </w:pPr>
            <w:r>
              <w:rPr>
                <w:rFonts w:ascii="宋体" w:hAnsi="宋体" w:cs="宋体" w:hint="eastAsia"/>
                <w:color w:val="000000"/>
                <w:kern w:val="0"/>
                <w:sz w:val="24"/>
              </w:rPr>
              <w:t>缺（错）项</w:t>
            </w:r>
            <w:r>
              <w:rPr>
                <w:rFonts w:ascii="宋体" w:hAnsi="宋体" w:cs="宋体" w:hint="eastAsia"/>
                <w:color w:val="000000"/>
                <w:kern w:val="0"/>
                <w:sz w:val="24"/>
              </w:rPr>
              <w:br/>
              <w:t>扣分法</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714F03">
            <w:pPr>
              <w:widowControl/>
              <w:jc w:val="left"/>
              <w:textAlignment w:val="center"/>
              <w:rPr>
                <w:rFonts w:ascii="宋体" w:hAnsi="宋体" w:cs="宋体"/>
                <w:color w:val="000000"/>
                <w:sz w:val="24"/>
              </w:rPr>
            </w:pPr>
            <w:r>
              <w:rPr>
                <w:rFonts w:ascii="宋体" w:hAnsi="宋体" w:cs="宋体" w:hint="eastAsia"/>
                <w:color w:val="000000"/>
                <w:kern w:val="0"/>
                <w:sz w:val="24"/>
              </w:rPr>
              <w:t>评价工作开展过程中，被评价对象拖延推诿、提交资料不及时等拒不配合评价工作的，每发现一次扣1分，扣完为止。</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47A" w:rsidRDefault="00AB247A">
            <w:pPr>
              <w:jc w:val="center"/>
              <w:rPr>
                <w:rFonts w:ascii="宋体" w:hAnsi="宋体" w:cs="宋体"/>
                <w:color w:val="000000"/>
                <w:sz w:val="24"/>
              </w:rPr>
            </w:pPr>
          </w:p>
        </w:tc>
        <w:tc>
          <w:tcPr>
            <w:tcW w:w="1810" w:type="dxa"/>
            <w:tcBorders>
              <w:top w:val="single" w:sz="4" w:space="0" w:color="000000"/>
              <w:left w:val="single" w:sz="4" w:space="0" w:color="000000"/>
              <w:bottom w:val="single" w:sz="4" w:space="0" w:color="000000"/>
            </w:tcBorders>
            <w:shd w:val="clear" w:color="auto" w:fill="auto"/>
            <w:vAlign w:val="center"/>
          </w:tcPr>
          <w:p w:rsidR="00AB247A" w:rsidRDefault="00AB247A">
            <w:pPr>
              <w:jc w:val="center"/>
              <w:rPr>
                <w:rFonts w:ascii="宋体" w:hAnsi="宋体" w:cs="宋体"/>
                <w:color w:val="000000"/>
                <w:sz w:val="24"/>
              </w:rPr>
            </w:pPr>
          </w:p>
        </w:tc>
      </w:tr>
      <w:tr w:rsidR="00AB247A">
        <w:trPr>
          <w:trHeight w:val="315"/>
        </w:trPr>
        <w:tc>
          <w:tcPr>
            <w:tcW w:w="3929" w:type="dxa"/>
            <w:gridSpan w:val="3"/>
            <w:tcBorders>
              <w:top w:val="single" w:sz="4" w:space="0" w:color="000000"/>
              <w:right w:val="single" w:sz="4" w:space="0" w:color="000000"/>
            </w:tcBorders>
            <w:shd w:val="clear" w:color="auto" w:fill="auto"/>
            <w:noWrap/>
            <w:vAlign w:val="center"/>
          </w:tcPr>
          <w:p w:rsidR="00AB247A" w:rsidRDefault="00714F0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分值</w:t>
            </w:r>
          </w:p>
        </w:tc>
        <w:tc>
          <w:tcPr>
            <w:tcW w:w="654" w:type="dxa"/>
            <w:tcBorders>
              <w:top w:val="single" w:sz="4" w:space="0" w:color="000000"/>
              <w:left w:val="single" w:sz="4" w:space="0" w:color="000000"/>
              <w:right w:val="single" w:sz="4" w:space="0" w:color="000000"/>
            </w:tcBorders>
            <w:shd w:val="clear" w:color="auto" w:fill="auto"/>
            <w:noWrap/>
            <w:vAlign w:val="center"/>
          </w:tcPr>
          <w:p w:rsidR="00AB247A" w:rsidRDefault="00AB247A">
            <w:pPr>
              <w:rPr>
                <w:rFonts w:ascii="宋体" w:hAnsi="宋体" w:cs="宋体"/>
                <w:color w:val="000000"/>
                <w:sz w:val="22"/>
                <w:szCs w:val="22"/>
              </w:rPr>
            </w:pPr>
          </w:p>
        </w:tc>
        <w:tc>
          <w:tcPr>
            <w:tcW w:w="1448" w:type="dxa"/>
            <w:tcBorders>
              <w:top w:val="single" w:sz="4" w:space="0" w:color="000000"/>
              <w:left w:val="single" w:sz="4" w:space="0" w:color="000000"/>
              <w:right w:val="single" w:sz="4" w:space="0" w:color="000000"/>
            </w:tcBorders>
            <w:shd w:val="clear" w:color="auto" w:fill="auto"/>
            <w:noWrap/>
            <w:vAlign w:val="center"/>
          </w:tcPr>
          <w:p w:rsidR="00AB247A" w:rsidRDefault="00AB247A">
            <w:pPr>
              <w:jc w:val="left"/>
              <w:rPr>
                <w:rFonts w:ascii="宋体" w:hAnsi="宋体" w:cs="宋体"/>
                <w:color w:val="000000"/>
                <w:sz w:val="22"/>
                <w:szCs w:val="22"/>
              </w:rPr>
            </w:pPr>
          </w:p>
        </w:tc>
        <w:tc>
          <w:tcPr>
            <w:tcW w:w="936" w:type="dxa"/>
            <w:tcBorders>
              <w:top w:val="single" w:sz="4" w:space="0" w:color="000000"/>
              <w:left w:val="single" w:sz="4" w:space="0" w:color="000000"/>
              <w:right w:val="single" w:sz="4" w:space="0" w:color="000000"/>
            </w:tcBorders>
            <w:shd w:val="clear" w:color="auto" w:fill="auto"/>
            <w:noWrap/>
            <w:vAlign w:val="center"/>
          </w:tcPr>
          <w:p w:rsidR="00AB247A" w:rsidRDefault="00AB247A">
            <w:pPr>
              <w:rPr>
                <w:rFonts w:ascii="宋体" w:hAnsi="宋体" w:cs="宋体"/>
                <w:color w:val="000000"/>
                <w:sz w:val="22"/>
                <w:szCs w:val="22"/>
              </w:rPr>
            </w:pPr>
          </w:p>
        </w:tc>
        <w:tc>
          <w:tcPr>
            <w:tcW w:w="4243" w:type="dxa"/>
            <w:tcBorders>
              <w:top w:val="single" w:sz="4" w:space="0" w:color="000000"/>
              <w:left w:val="single" w:sz="4" w:space="0" w:color="000000"/>
              <w:right w:val="single" w:sz="4" w:space="0" w:color="000000"/>
            </w:tcBorders>
            <w:shd w:val="clear" w:color="auto" w:fill="auto"/>
            <w:noWrap/>
            <w:vAlign w:val="center"/>
          </w:tcPr>
          <w:p w:rsidR="00AB247A" w:rsidRDefault="00AB247A">
            <w:pPr>
              <w:rPr>
                <w:rFonts w:ascii="宋体" w:hAnsi="宋体" w:cs="宋体"/>
                <w:color w:val="000000"/>
                <w:sz w:val="22"/>
                <w:szCs w:val="22"/>
              </w:rPr>
            </w:pPr>
          </w:p>
        </w:tc>
        <w:tc>
          <w:tcPr>
            <w:tcW w:w="872" w:type="dxa"/>
            <w:tcBorders>
              <w:top w:val="single" w:sz="4" w:space="0" w:color="000000"/>
              <w:left w:val="single" w:sz="4" w:space="0" w:color="000000"/>
              <w:right w:val="single" w:sz="4" w:space="0" w:color="000000"/>
            </w:tcBorders>
            <w:shd w:val="clear" w:color="auto" w:fill="auto"/>
            <w:noWrap/>
            <w:vAlign w:val="center"/>
          </w:tcPr>
          <w:p w:rsidR="00AB247A" w:rsidRDefault="00714F0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rPr>
              <w:t>98.4</w:t>
            </w:r>
          </w:p>
        </w:tc>
        <w:tc>
          <w:tcPr>
            <w:tcW w:w="1810" w:type="dxa"/>
            <w:tcBorders>
              <w:top w:val="single" w:sz="4" w:space="0" w:color="000000"/>
              <w:left w:val="single" w:sz="4" w:space="0" w:color="000000"/>
            </w:tcBorders>
            <w:shd w:val="clear" w:color="auto" w:fill="auto"/>
            <w:vAlign w:val="center"/>
          </w:tcPr>
          <w:p w:rsidR="00AB247A" w:rsidRDefault="00AB247A">
            <w:pPr>
              <w:jc w:val="center"/>
              <w:rPr>
                <w:rFonts w:ascii="宋体" w:hAnsi="宋体" w:cs="宋体"/>
                <w:color w:val="000000"/>
                <w:sz w:val="24"/>
              </w:rPr>
            </w:pPr>
          </w:p>
        </w:tc>
      </w:tr>
    </w:tbl>
    <w:p w:rsidR="00AB247A" w:rsidRDefault="00AB247A">
      <w:pPr>
        <w:pStyle w:val="a0"/>
      </w:pPr>
    </w:p>
    <w:p w:rsidR="00AB247A" w:rsidRDefault="00AB247A">
      <w:pPr>
        <w:pStyle w:val="ac"/>
        <w:spacing w:line="578" w:lineRule="exact"/>
        <w:jc w:val="center"/>
        <w:rPr>
          <w:rFonts w:ascii="Times New Roman" w:eastAsia="方正小标宋简体" w:hAnsi="Times New Roman" w:cs="方正小标宋简体"/>
          <w:color w:val="auto"/>
          <w:kern w:val="2"/>
          <w:sz w:val="44"/>
          <w:szCs w:val="44"/>
          <w:lang w:val="en-US"/>
        </w:rPr>
      </w:pPr>
    </w:p>
    <w:p w:rsidR="00AB247A" w:rsidRDefault="00AB247A">
      <w:pPr>
        <w:pStyle w:val="ac"/>
        <w:spacing w:line="578" w:lineRule="exact"/>
        <w:rPr>
          <w:rFonts w:ascii="Times New Roman" w:eastAsia="方正小标宋简体" w:hAnsi="Times New Roman" w:cs="方正小标宋简体"/>
          <w:color w:val="auto"/>
          <w:kern w:val="2"/>
          <w:sz w:val="44"/>
          <w:szCs w:val="44"/>
          <w:lang w:val="en-US"/>
        </w:rPr>
      </w:pPr>
    </w:p>
    <w:p w:rsidR="00AB247A" w:rsidRDefault="00AB247A">
      <w:pPr>
        <w:pStyle w:val="ac"/>
        <w:spacing w:line="578" w:lineRule="exact"/>
        <w:rPr>
          <w:rFonts w:ascii="Times New Roman" w:eastAsia="方正小标宋简体" w:hAnsi="Times New Roman" w:cs="方正小标宋简体"/>
          <w:color w:val="auto"/>
          <w:kern w:val="2"/>
          <w:sz w:val="44"/>
          <w:szCs w:val="44"/>
          <w:lang w:val="en-US"/>
        </w:rPr>
      </w:pPr>
    </w:p>
    <w:p w:rsidR="00AB247A" w:rsidRDefault="00714F03">
      <w:pPr>
        <w:rPr>
          <w:rFonts w:eastAsia="黑体"/>
          <w:sz w:val="44"/>
          <w:szCs w:val="44"/>
        </w:rPr>
      </w:pPr>
      <w:bookmarkStart w:id="63" w:name="_Toc15396618"/>
      <w:r>
        <w:rPr>
          <w:rFonts w:eastAsia="黑体" w:hint="eastAsia"/>
          <w:sz w:val="44"/>
          <w:szCs w:val="44"/>
        </w:rPr>
        <w:br w:type="page"/>
      </w:r>
    </w:p>
    <w:p w:rsidR="00AB247A" w:rsidRDefault="00AB247A">
      <w:pPr>
        <w:spacing w:line="578" w:lineRule="exact"/>
        <w:jc w:val="center"/>
        <w:rPr>
          <w:rFonts w:eastAsia="黑体"/>
          <w:sz w:val="44"/>
          <w:szCs w:val="44"/>
        </w:rPr>
        <w:sectPr w:rsidR="00AB247A">
          <w:pgSz w:w="16838" w:h="11906" w:orient="landscape"/>
          <w:pgMar w:top="1800" w:right="1440" w:bottom="1800" w:left="1440" w:header="851" w:footer="992" w:gutter="0"/>
          <w:cols w:space="425"/>
          <w:docGrid w:type="lines" w:linePitch="312"/>
        </w:sectPr>
      </w:pPr>
    </w:p>
    <w:p w:rsidR="00AB247A" w:rsidRDefault="00714F03">
      <w:pPr>
        <w:spacing w:line="578" w:lineRule="exact"/>
        <w:jc w:val="center"/>
        <w:rPr>
          <w:rFonts w:eastAsia="仿宋_GB2312" w:cs="仿宋_GB2312"/>
          <w:kern w:val="0"/>
          <w:sz w:val="32"/>
          <w:szCs w:val="32"/>
        </w:rPr>
      </w:pPr>
      <w:r>
        <w:rPr>
          <w:rFonts w:eastAsia="黑体" w:hint="eastAsia"/>
          <w:sz w:val="44"/>
          <w:szCs w:val="44"/>
        </w:rPr>
        <w:lastRenderedPageBreak/>
        <w:t>第</w:t>
      </w:r>
      <w:r>
        <w:rPr>
          <w:rStyle w:val="1Char"/>
          <w:rFonts w:eastAsia="黑体" w:hint="eastAsia"/>
          <w:b w:val="0"/>
        </w:rPr>
        <w:t>五部分</w:t>
      </w:r>
      <w:r>
        <w:rPr>
          <w:rStyle w:val="1Char"/>
          <w:rFonts w:eastAsia="黑体" w:hint="eastAsia"/>
          <w:b w:val="0"/>
        </w:rPr>
        <w:t xml:space="preserve"> </w:t>
      </w:r>
      <w:r>
        <w:rPr>
          <w:rStyle w:val="1Char"/>
          <w:rFonts w:eastAsia="黑体" w:hint="eastAsia"/>
          <w:b w:val="0"/>
        </w:rPr>
        <w:t>附表</w:t>
      </w:r>
      <w:bookmarkStart w:id="64" w:name="_Toc15396619"/>
      <w:bookmarkEnd w:id="61"/>
      <w:bookmarkEnd w:id="63"/>
    </w:p>
    <w:p w:rsidR="00AB247A" w:rsidRDefault="00714F03">
      <w:pPr>
        <w:pStyle w:val="21"/>
        <w:adjustRightInd w:val="0"/>
        <w:snapToGrid w:val="0"/>
        <w:spacing w:line="560" w:lineRule="exact"/>
        <w:jc w:val="left"/>
        <w:rPr>
          <w:rFonts w:eastAsia="仿宋_GB2312" w:cs="仿宋_GB2312"/>
          <w:sz w:val="32"/>
          <w:szCs w:val="32"/>
        </w:rPr>
      </w:pPr>
      <w:r>
        <w:rPr>
          <w:rFonts w:eastAsia="仿宋_GB2312" w:cs="仿宋_GB2312" w:hint="eastAsia"/>
          <w:sz w:val="32"/>
          <w:szCs w:val="32"/>
        </w:rPr>
        <w:t>一、收入支出决算总表</w:t>
      </w:r>
      <w:bookmarkEnd w:id="64"/>
    </w:p>
    <w:p w:rsidR="00AB247A" w:rsidRDefault="00714F03">
      <w:pPr>
        <w:pStyle w:val="21"/>
        <w:adjustRightInd w:val="0"/>
        <w:snapToGrid w:val="0"/>
        <w:spacing w:line="560" w:lineRule="exact"/>
        <w:jc w:val="left"/>
        <w:rPr>
          <w:rFonts w:eastAsia="仿宋_GB2312" w:cs="仿宋_GB2312"/>
          <w:sz w:val="32"/>
          <w:szCs w:val="32"/>
        </w:rPr>
      </w:pPr>
      <w:bookmarkStart w:id="65" w:name="_Toc15396620"/>
      <w:r>
        <w:rPr>
          <w:rFonts w:eastAsia="仿宋_GB2312" w:cs="仿宋_GB2312" w:hint="eastAsia"/>
          <w:sz w:val="32"/>
          <w:szCs w:val="32"/>
        </w:rPr>
        <w:t>二、收入决算表</w:t>
      </w:r>
      <w:bookmarkEnd w:id="65"/>
    </w:p>
    <w:p w:rsidR="00AB247A" w:rsidRDefault="00714F03">
      <w:pPr>
        <w:pStyle w:val="21"/>
        <w:adjustRightInd w:val="0"/>
        <w:snapToGrid w:val="0"/>
        <w:spacing w:line="560" w:lineRule="exact"/>
        <w:jc w:val="left"/>
        <w:rPr>
          <w:rFonts w:eastAsia="仿宋_GB2312" w:cs="仿宋_GB2312"/>
          <w:sz w:val="32"/>
          <w:szCs w:val="32"/>
        </w:rPr>
      </w:pPr>
      <w:bookmarkStart w:id="66" w:name="_Toc15396621"/>
      <w:r>
        <w:rPr>
          <w:rFonts w:eastAsia="仿宋_GB2312" w:cs="仿宋_GB2312" w:hint="eastAsia"/>
          <w:sz w:val="32"/>
          <w:szCs w:val="32"/>
        </w:rPr>
        <w:t>三、支出决算表</w:t>
      </w:r>
      <w:bookmarkEnd w:id="66"/>
    </w:p>
    <w:p w:rsidR="00AB247A" w:rsidRDefault="00714F03">
      <w:pPr>
        <w:pStyle w:val="21"/>
        <w:adjustRightInd w:val="0"/>
        <w:snapToGrid w:val="0"/>
        <w:spacing w:line="560" w:lineRule="exact"/>
        <w:jc w:val="left"/>
        <w:rPr>
          <w:rFonts w:eastAsia="仿宋_GB2312" w:cs="仿宋_GB2312"/>
          <w:sz w:val="32"/>
          <w:szCs w:val="32"/>
        </w:rPr>
      </w:pPr>
      <w:bookmarkStart w:id="67" w:name="_Toc15396622"/>
      <w:r>
        <w:rPr>
          <w:rFonts w:eastAsia="仿宋_GB2312" w:cs="仿宋_GB2312" w:hint="eastAsia"/>
          <w:sz w:val="32"/>
          <w:szCs w:val="32"/>
        </w:rPr>
        <w:t>四、财政拨款收入支出决算总表</w:t>
      </w:r>
      <w:bookmarkEnd w:id="67"/>
    </w:p>
    <w:p w:rsidR="00AB247A" w:rsidRDefault="00714F03">
      <w:pPr>
        <w:pStyle w:val="21"/>
        <w:adjustRightInd w:val="0"/>
        <w:snapToGrid w:val="0"/>
        <w:spacing w:line="560" w:lineRule="exact"/>
        <w:jc w:val="left"/>
        <w:rPr>
          <w:rFonts w:eastAsia="仿宋_GB2312" w:cs="仿宋_GB2312"/>
          <w:sz w:val="32"/>
          <w:szCs w:val="32"/>
        </w:rPr>
      </w:pPr>
      <w:bookmarkStart w:id="68" w:name="_Toc15396623"/>
      <w:r>
        <w:rPr>
          <w:rFonts w:eastAsia="仿宋_GB2312" w:cs="仿宋_GB2312" w:hint="eastAsia"/>
          <w:sz w:val="32"/>
          <w:szCs w:val="32"/>
        </w:rPr>
        <w:t>五、财政拨款支出决算明细表</w:t>
      </w:r>
      <w:bookmarkStart w:id="69" w:name="_Toc15396624"/>
      <w:bookmarkEnd w:id="68"/>
    </w:p>
    <w:p w:rsidR="00AB247A" w:rsidRDefault="00714F03">
      <w:pPr>
        <w:pStyle w:val="21"/>
        <w:adjustRightInd w:val="0"/>
        <w:snapToGrid w:val="0"/>
        <w:spacing w:line="560" w:lineRule="exact"/>
        <w:jc w:val="left"/>
        <w:rPr>
          <w:rFonts w:eastAsia="仿宋_GB2312" w:cs="仿宋_GB2312"/>
          <w:sz w:val="32"/>
          <w:szCs w:val="32"/>
        </w:rPr>
      </w:pPr>
      <w:r>
        <w:rPr>
          <w:rFonts w:eastAsia="仿宋_GB2312" w:cs="仿宋_GB2312" w:hint="eastAsia"/>
          <w:sz w:val="32"/>
          <w:szCs w:val="32"/>
        </w:rPr>
        <w:t>六、一般公共预算财政拨款支出决算表</w:t>
      </w:r>
      <w:bookmarkEnd w:id="69"/>
    </w:p>
    <w:p w:rsidR="00AB247A" w:rsidRDefault="00714F03">
      <w:pPr>
        <w:pStyle w:val="21"/>
        <w:adjustRightInd w:val="0"/>
        <w:snapToGrid w:val="0"/>
        <w:spacing w:line="560" w:lineRule="exact"/>
        <w:jc w:val="left"/>
        <w:rPr>
          <w:rFonts w:eastAsia="仿宋_GB2312" w:cs="仿宋_GB2312"/>
          <w:sz w:val="32"/>
          <w:szCs w:val="32"/>
        </w:rPr>
      </w:pPr>
      <w:bookmarkStart w:id="70" w:name="_Toc15396625"/>
      <w:r>
        <w:rPr>
          <w:rFonts w:eastAsia="仿宋_GB2312" w:cs="仿宋_GB2312" w:hint="eastAsia"/>
          <w:sz w:val="32"/>
          <w:szCs w:val="32"/>
        </w:rPr>
        <w:t>七、一般公共预算财政拨款支出决算明细表</w:t>
      </w:r>
      <w:bookmarkEnd w:id="70"/>
    </w:p>
    <w:p w:rsidR="00AB247A" w:rsidRDefault="00714F03">
      <w:pPr>
        <w:pStyle w:val="21"/>
        <w:adjustRightInd w:val="0"/>
        <w:snapToGrid w:val="0"/>
        <w:spacing w:line="560" w:lineRule="exact"/>
        <w:jc w:val="left"/>
        <w:rPr>
          <w:rFonts w:eastAsia="仿宋_GB2312" w:cs="仿宋_GB2312"/>
          <w:sz w:val="32"/>
          <w:szCs w:val="32"/>
        </w:rPr>
      </w:pPr>
      <w:bookmarkStart w:id="71" w:name="_Toc15396626"/>
      <w:r>
        <w:rPr>
          <w:rFonts w:eastAsia="仿宋_GB2312" w:cs="仿宋_GB2312" w:hint="eastAsia"/>
          <w:sz w:val="32"/>
          <w:szCs w:val="32"/>
        </w:rPr>
        <w:t>八、一般公共预算财政拨款基本支出决算表</w:t>
      </w:r>
      <w:bookmarkEnd w:id="71"/>
    </w:p>
    <w:p w:rsidR="00AB247A" w:rsidRDefault="00714F03">
      <w:pPr>
        <w:pStyle w:val="21"/>
        <w:adjustRightInd w:val="0"/>
        <w:snapToGrid w:val="0"/>
        <w:spacing w:line="560" w:lineRule="exact"/>
        <w:jc w:val="left"/>
        <w:rPr>
          <w:rFonts w:eastAsia="仿宋_GB2312" w:cs="仿宋_GB2312"/>
          <w:sz w:val="32"/>
          <w:szCs w:val="32"/>
        </w:rPr>
      </w:pPr>
      <w:bookmarkStart w:id="72" w:name="_Toc15396627"/>
      <w:r>
        <w:rPr>
          <w:rFonts w:eastAsia="仿宋_GB2312" w:cs="仿宋_GB2312" w:hint="eastAsia"/>
          <w:sz w:val="32"/>
          <w:szCs w:val="32"/>
        </w:rPr>
        <w:t>九、一般公共预算财政拨款项目支出决算表</w:t>
      </w:r>
      <w:bookmarkEnd w:id="72"/>
    </w:p>
    <w:p w:rsidR="00AB247A" w:rsidRDefault="00714F03">
      <w:pPr>
        <w:pStyle w:val="21"/>
        <w:adjustRightInd w:val="0"/>
        <w:snapToGrid w:val="0"/>
        <w:spacing w:line="560" w:lineRule="exact"/>
        <w:jc w:val="left"/>
        <w:rPr>
          <w:rFonts w:eastAsia="仿宋_GB2312" w:cs="仿宋_GB2312"/>
          <w:sz w:val="32"/>
          <w:szCs w:val="32"/>
        </w:rPr>
      </w:pPr>
      <w:bookmarkStart w:id="73" w:name="_Toc15396628"/>
      <w:r>
        <w:rPr>
          <w:rFonts w:eastAsia="仿宋_GB2312" w:cs="仿宋_GB2312" w:hint="eastAsia"/>
          <w:sz w:val="32"/>
          <w:szCs w:val="32"/>
        </w:rPr>
        <w:t>十、</w:t>
      </w:r>
      <w:bookmarkEnd w:id="73"/>
      <w:r>
        <w:rPr>
          <w:rFonts w:eastAsia="仿宋_GB2312" w:cs="仿宋_GB2312" w:hint="eastAsia"/>
          <w:sz w:val="32"/>
          <w:szCs w:val="32"/>
        </w:rPr>
        <w:t>政府性基金预算财政拨款收入支出决算表</w:t>
      </w:r>
    </w:p>
    <w:p w:rsidR="00AB247A" w:rsidRDefault="00714F03">
      <w:pPr>
        <w:pStyle w:val="21"/>
        <w:adjustRightInd w:val="0"/>
        <w:snapToGrid w:val="0"/>
        <w:spacing w:line="560" w:lineRule="exact"/>
        <w:jc w:val="left"/>
        <w:rPr>
          <w:rFonts w:eastAsia="仿宋_GB2312" w:cs="仿宋_GB2312"/>
          <w:sz w:val="32"/>
          <w:szCs w:val="32"/>
        </w:rPr>
      </w:pPr>
      <w:bookmarkStart w:id="74" w:name="_Toc15396629"/>
      <w:r>
        <w:rPr>
          <w:rFonts w:eastAsia="仿宋_GB2312" w:cs="仿宋_GB2312" w:hint="eastAsia"/>
          <w:sz w:val="32"/>
          <w:szCs w:val="32"/>
        </w:rPr>
        <w:t>十一、</w:t>
      </w:r>
      <w:bookmarkEnd w:id="74"/>
      <w:r>
        <w:rPr>
          <w:rFonts w:eastAsia="仿宋_GB2312" w:cs="仿宋_GB2312" w:hint="eastAsia"/>
          <w:sz w:val="32"/>
          <w:szCs w:val="32"/>
        </w:rPr>
        <w:t>国有资本经营预算财政拨款收入支出决算表</w:t>
      </w:r>
    </w:p>
    <w:p w:rsidR="00AB247A" w:rsidRDefault="00714F03">
      <w:pPr>
        <w:pStyle w:val="21"/>
        <w:adjustRightInd w:val="0"/>
        <w:snapToGrid w:val="0"/>
        <w:spacing w:line="560" w:lineRule="exact"/>
        <w:jc w:val="left"/>
        <w:rPr>
          <w:rFonts w:eastAsia="仿宋_GB2312" w:cs="仿宋_GB2312"/>
          <w:sz w:val="32"/>
          <w:szCs w:val="32"/>
        </w:rPr>
      </w:pPr>
      <w:bookmarkStart w:id="75" w:name="_Toc15396630"/>
      <w:r>
        <w:rPr>
          <w:rFonts w:eastAsia="仿宋_GB2312" w:cs="仿宋_GB2312" w:hint="eastAsia"/>
          <w:sz w:val="32"/>
          <w:szCs w:val="32"/>
        </w:rPr>
        <w:t>十二、</w:t>
      </w:r>
      <w:bookmarkEnd w:id="75"/>
      <w:r>
        <w:rPr>
          <w:rFonts w:eastAsia="仿宋_GB2312" w:cs="仿宋_GB2312" w:hint="eastAsia"/>
          <w:sz w:val="32"/>
          <w:szCs w:val="32"/>
        </w:rPr>
        <w:t>国有资本经营预算财政拨款支出决算表</w:t>
      </w:r>
    </w:p>
    <w:p w:rsidR="00AB247A" w:rsidRDefault="00714F03">
      <w:pPr>
        <w:pStyle w:val="21"/>
        <w:adjustRightInd w:val="0"/>
        <w:snapToGrid w:val="0"/>
        <w:spacing w:line="560" w:lineRule="exact"/>
        <w:jc w:val="left"/>
        <w:rPr>
          <w:rFonts w:eastAsia="仿宋_GB2312" w:cs="仿宋_GB2312"/>
          <w:sz w:val="32"/>
          <w:szCs w:val="32"/>
        </w:rPr>
      </w:pPr>
      <w:bookmarkStart w:id="76" w:name="_Toc15396631"/>
      <w:r>
        <w:rPr>
          <w:rFonts w:eastAsia="仿宋_GB2312" w:cs="仿宋_GB2312" w:hint="eastAsia"/>
          <w:sz w:val="32"/>
          <w:szCs w:val="32"/>
        </w:rPr>
        <w:t>十三、</w:t>
      </w:r>
      <w:bookmarkEnd w:id="76"/>
      <w:r>
        <w:rPr>
          <w:rFonts w:eastAsia="仿宋_GB2312" w:cs="仿宋_GB2312" w:hint="eastAsia"/>
          <w:sz w:val="32"/>
          <w:szCs w:val="32"/>
        </w:rPr>
        <w:t>财政拨款“三公”经费支出决算表</w:t>
      </w:r>
    </w:p>
    <w:p w:rsidR="00AB247A" w:rsidRDefault="00AB247A">
      <w:bookmarkStart w:id="77" w:name="_GoBack"/>
      <w:bookmarkEnd w:id="77"/>
    </w:p>
    <w:sectPr w:rsidR="00AB247A" w:rsidSect="00AB247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DD8" w:rsidRDefault="00397DD8" w:rsidP="00AB247A">
      <w:r>
        <w:separator/>
      </w:r>
    </w:p>
  </w:endnote>
  <w:endnote w:type="continuationSeparator" w:id="0">
    <w:p w:rsidR="00397DD8" w:rsidRDefault="00397DD8" w:rsidP="00AB24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Segoe Print"/>
    <w:charset w:val="00"/>
    <w:family w:val="roman"/>
    <w:pitch w:val="default"/>
    <w:sig w:usb0="00000000" w:usb1="00000000" w:usb2="00000000" w:usb3="00000000" w:csb0="00000000"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AB247A">
    <w:pPr>
      <w:pStyle w:val="a7"/>
      <w:jc w:val="center"/>
    </w:pPr>
  </w:p>
  <w:p w:rsidR="00AB247A" w:rsidRDefault="00AB247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AB247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5F6F76">
    <w:pPr>
      <w:pStyle w:val="a7"/>
      <w:jc w:val="center"/>
    </w:pPr>
    <w:r>
      <w:pict>
        <v:shapetype id="_x0000_t202" coordsize="21600,21600" o:spt="202" path="m,l,21600r21600,l21600,xe">
          <v:stroke joinstyle="miter"/>
          <v:path gradientshapeok="t" o:connecttype="rect"/>
        </v:shapetype>
        <v:shape id="_x0000_s2049" type="#_x0000_t202" style="position:absolute;left:0;text-align:left;margin-left:312pt;margin-top:1pt;width:2in;height:2in;z-index:251659264;mso-wrap-style:none;mso-position-horizontal:outside;mso-position-horizontal-relative:margin" filled="f" stroked="f">
          <v:textbox style="mso-fit-shape-to-text:t" inset="16pt,0,16pt,0">
            <w:txbxContent>
              <w:p w:rsidR="00AB247A" w:rsidRDefault="00714F03">
                <w:pPr>
                  <w:pStyle w:val="a7"/>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sidR="005F6F76">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  \* MERGEFORMAT </w:instrText>
                </w:r>
                <w:r w:rsidR="005F6F76">
                  <w:rPr>
                    <w:rFonts w:ascii="仿宋_GB2312" w:eastAsia="仿宋_GB2312" w:hAnsi="仿宋_GB2312" w:cs="仿宋_GB2312" w:hint="eastAsia"/>
                    <w:sz w:val="28"/>
                    <w:szCs w:val="28"/>
                  </w:rPr>
                  <w:fldChar w:fldCharType="separate"/>
                </w:r>
                <w:r w:rsidR="008320B6">
                  <w:rPr>
                    <w:rFonts w:ascii="仿宋_GB2312" w:eastAsia="仿宋_GB2312" w:hAnsi="仿宋_GB2312" w:cs="仿宋_GB2312"/>
                    <w:noProof/>
                    <w:sz w:val="28"/>
                    <w:szCs w:val="28"/>
                  </w:rPr>
                  <w:t>1</w:t>
                </w:r>
                <w:r w:rsidR="005F6F76">
                  <w:rPr>
                    <w:rFonts w:ascii="仿宋_GB2312" w:eastAsia="仿宋_GB2312" w:hAnsi="仿宋_GB2312" w:cs="仿宋_GB2312" w:hint="eastAsia"/>
                    <w:sz w:val="28"/>
                    <w:szCs w:val="28"/>
                  </w:rPr>
                  <w:fldChar w:fldCharType="end"/>
                </w:r>
                <w:r>
                  <w:rPr>
                    <w:rFonts w:ascii="仿宋_GB2312" w:eastAsia="仿宋_GB2312" w:hAnsi="仿宋_GB2312" w:cs="仿宋_GB2312" w:hint="eastAsia"/>
                    <w:sz w:val="28"/>
                    <w:szCs w:val="28"/>
                  </w:rPr>
                  <w:t xml:space="preserve"> —</w:t>
                </w:r>
              </w:p>
            </w:txbxContent>
          </v:textbox>
          <w10:wrap anchorx="margin"/>
        </v:shape>
      </w:pict>
    </w:r>
  </w:p>
  <w:p w:rsidR="00AB247A" w:rsidRDefault="00AB247A">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AB247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DD8" w:rsidRDefault="00397DD8" w:rsidP="00AB247A">
      <w:r>
        <w:separator/>
      </w:r>
    </w:p>
  </w:footnote>
  <w:footnote w:type="continuationSeparator" w:id="0">
    <w:p w:rsidR="00397DD8" w:rsidRDefault="00397DD8" w:rsidP="00AB24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AB247A">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47A" w:rsidRDefault="00AB247A">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
  <w:rsids>
    <w:rsidRoot w:val="00F1361C"/>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 w:val="000222C6"/>
    <w:rsid w:val="0002549F"/>
    <w:rsid w:val="000468DB"/>
    <w:rsid w:val="0006487A"/>
    <w:rsid w:val="00065F8F"/>
    <w:rsid w:val="00070A43"/>
    <w:rsid w:val="00073DEE"/>
    <w:rsid w:val="000768F2"/>
    <w:rsid w:val="00086479"/>
    <w:rsid w:val="0009184B"/>
    <w:rsid w:val="00094236"/>
    <w:rsid w:val="0009580E"/>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218"/>
    <w:rsid w:val="001B6F9B"/>
    <w:rsid w:val="001C0962"/>
    <w:rsid w:val="001C5FD3"/>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B76E8"/>
    <w:rsid w:val="002D6D05"/>
    <w:rsid w:val="002E26BC"/>
    <w:rsid w:val="002F1818"/>
    <w:rsid w:val="002F567B"/>
    <w:rsid w:val="003216A9"/>
    <w:rsid w:val="00335A74"/>
    <w:rsid w:val="0036561B"/>
    <w:rsid w:val="0037013F"/>
    <w:rsid w:val="00380C92"/>
    <w:rsid w:val="00397DD8"/>
    <w:rsid w:val="003A484F"/>
    <w:rsid w:val="003A4883"/>
    <w:rsid w:val="003B0BE0"/>
    <w:rsid w:val="003B0C1B"/>
    <w:rsid w:val="003B688C"/>
    <w:rsid w:val="003C0291"/>
    <w:rsid w:val="003C39AE"/>
    <w:rsid w:val="003C7B60"/>
    <w:rsid w:val="003D0C0F"/>
    <w:rsid w:val="003D1FB2"/>
    <w:rsid w:val="003D66DA"/>
    <w:rsid w:val="003D6788"/>
    <w:rsid w:val="003E1310"/>
    <w:rsid w:val="003E6F55"/>
    <w:rsid w:val="003E71FE"/>
    <w:rsid w:val="003F29F6"/>
    <w:rsid w:val="003F6A2B"/>
    <w:rsid w:val="00406254"/>
    <w:rsid w:val="004223DE"/>
    <w:rsid w:val="00434489"/>
    <w:rsid w:val="00437085"/>
    <w:rsid w:val="00443880"/>
    <w:rsid w:val="004464F4"/>
    <w:rsid w:val="00471401"/>
    <w:rsid w:val="00473F31"/>
    <w:rsid w:val="0047474D"/>
    <w:rsid w:val="00476253"/>
    <w:rsid w:val="0048263A"/>
    <w:rsid w:val="00487E5D"/>
    <w:rsid w:val="004A711F"/>
    <w:rsid w:val="004B199D"/>
    <w:rsid w:val="004B4690"/>
    <w:rsid w:val="004C0FB6"/>
    <w:rsid w:val="004E0A2D"/>
    <w:rsid w:val="004E206B"/>
    <w:rsid w:val="004E6DF7"/>
    <w:rsid w:val="004F0FBD"/>
    <w:rsid w:val="00505A47"/>
    <w:rsid w:val="0050784D"/>
    <w:rsid w:val="00512FDA"/>
    <w:rsid w:val="00520DA0"/>
    <w:rsid w:val="005664BB"/>
    <w:rsid w:val="00566FFA"/>
    <w:rsid w:val="0057481D"/>
    <w:rsid w:val="0058486E"/>
    <w:rsid w:val="00585B33"/>
    <w:rsid w:val="0059014D"/>
    <w:rsid w:val="00594367"/>
    <w:rsid w:val="005A5D7D"/>
    <w:rsid w:val="005B5C64"/>
    <w:rsid w:val="005C5337"/>
    <w:rsid w:val="005C6BD0"/>
    <w:rsid w:val="005D1C8B"/>
    <w:rsid w:val="005D468D"/>
    <w:rsid w:val="005D5CED"/>
    <w:rsid w:val="005F1A4C"/>
    <w:rsid w:val="005F6F76"/>
    <w:rsid w:val="00602DCE"/>
    <w:rsid w:val="00605688"/>
    <w:rsid w:val="006070AF"/>
    <w:rsid w:val="00607E6C"/>
    <w:rsid w:val="006101B1"/>
    <w:rsid w:val="006112BF"/>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86386"/>
    <w:rsid w:val="006A3141"/>
    <w:rsid w:val="006A5E34"/>
    <w:rsid w:val="006B2422"/>
    <w:rsid w:val="006B2B9A"/>
    <w:rsid w:val="006C1937"/>
    <w:rsid w:val="006F020C"/>
    <w:rsid w:val="007127B7"/>
    <w:rsid w:val="00714F03"/>
    <w:rsid w:val="0071798E"/>
    <w:rsid w:val="0072477D"/>
    <w:rsid w:val="007416B6"/>
    <w:rsid w:val="00746F48"/>
    <w:rsid w:val="0075404D"/>
    <w:rsid w:val="0076182A"/>
    <w:rsid w:val="00767B7E"/>
    <w:rsid w:val="007770C3"/>
    <w:rsid w:val="00784D24"/>
    <w:rsid w:val="00785FBA"/>
    <w:rsid w:val="00786E4A"/>
    <w:rsid w:val="007875EB"/>
    <w:rsid w:val="0079426B"/>
    <w:rsid w:val="007B09B8"/>
    <w:rsid w:val="007C3807"/>
    <w:rsid w:val="007C3F79"/>
    <w:rsid w:val="007D1682"/>
    <w:rsid w:val="007D22B7"/>
    <w:rsid w:val="007D312A"/>
    <w:rsid w:val="007D3F19"/>
    <w:rsid w:val="007D56B5"/>
    <w:rsid w:val="007E23B0"/>
    <w:rsid w:val="007E23E5"/>
    <w:rsid w:val="007F1991"/>
    <w:rsid w:val="007F2C2F"/>
    <w:rsid w:val="007F55FC"/>
    <w:rsid w:val="007F5665"/>
    <w:rsid w:val="00800112"/>
    <w:rsid w:val="00813348"/>
    <w:rsid w:val="008253BB"/>
    <w:rsid w:val="008320B6"/>
    <w:rsid w:val="0083706E"/>
    <w:rsid w:val="008408F6"/>
    <w:rsid w:val="008418B1"/>
    <w:rsid w:val="008423A5"/>
    <w:rsid w:val="00850625"/>
    <w:rsid w:val="00853718"/>
    <w:rsid w:val="0085381F"/>
    <w:rsid w:val="00855221"/>
    <w:rsid w:val="00860645"/>
    <w:rsid w:val="00871F1E"/>
    <w:rsid w:val="00871F71"/>
    <w:rsid w:val="00872FD8"/>
    <w:rsid w:val="00885AF4"/>
    <w:rsid w:val="008939CD"/>
    <w:rsid w:val="008B768C"/>
    <w:rsid w:val="008C2FBF"/>
    <w:rsid w:val="008C4DB1"/>
    <w:rsid w:val="008C4EAF"/>
    <w:rsid w:val="008C5176"/>
    <w:rsid w:val="008C7FD0"/>
    <w:rsid w:val="008E1DE7"/>
    <w:rsid w:val="008E4E40"/>
    <w:rsid w:val="008E707C"/>
    <w:rsid w:val="00900B08"/>
    <w:rsid w:val="00902155"/>
    <w:rsid w:val="00902FA3"/>
    <w:rsid w:val="00923564"/>
    <w:rsid w:val="0092392E"/>
    <w:rsid w:val="009315F9"/>
    <w:rsid w:val="00933499"/>
    <w:rsid w:val="00935C98"/>
    <w:rsid w:val="0094666E"/>
    <w:rsid w:val="00946945"/>
    <w:rsid w:val="00951248"/>
    <w:rsid w:val="0095152F"/>
    <w:rsid w:val="00952ED7"/>
    <w:rsid w:val="00954C49"/>
    <w:rsid w:val="00955E37"/>
    <w:rsid w:val="00965092"/>
    <w:rsid w:val="0097099F"/>
    <w:rsid w:val="00971997"/>
    <w:rsid w:val="00971FFC"/>
    <w:rsid w:val="0098660A"/>
    <w:rsid w:val="009931C3"/>
    <w:rsid w:val="009B2C43"/>
    <w:rsid w:val="009B4EAE"/>
    <w:rsid w:val="009B7573"/>
    <w:rsid w:val="009C22F4"/>
    <w:rsid w:val="009C2A4B"/>
    <w:rsid w:val="009C2E98"/>
    <w:rsid w:val="009D3171"/>
    <w:rsid w:val="009D3447"/>
    <w:rsid w:val="009D4711"/>
    <w:rsid w:val="009F1185"/>
    <w:rsid w:val="009F18CD"/>
    <w:rsid w:val="009F2A13"/>
    <w:rsid w:val="009F4FE7"/>
    <w:rsid w:val="009F7527"/>
    <w:rsid w:val="00A04EB0"/>
    <w:rsid w:val="00A13CC1"/>
    <w:rsid w:val="00A1515E"/>
    <w:rsid w:val="00A16847"/>
    <w:rsid w:val="00A237D8"/>
    <w:rsid w:val="00A268C4"/>
    <w:rsid w:val="00A307CD"/>
    <w:rsid w:val="00A316F5"/>
    <w:rsid w:val="00A331C8"/>
    <w:rsid w:val="00A40A00"/>
    <w:rsid w:val="00A4142F"/>
    <w:rsid w:val="00A422EB"/>
    <w:rsid w:val="00A45BB7"/>
    <w:rsid w:val="00A56DF2"/>
    <w:rsid w:val="00A56E6E"/>
    <w:rsid w:val="00A66081"/>
    <w:rsid w:val="00A67AB5"/>
    <w:rsid w:val="00A733B2"/>
    <w:rsid w:val="00A741C2"/>
    <w:rsid w:val="00A765A0"/>
    <w:rsid w:val="00A91760"/>
    <w:rsid w:val="00A93B00"/>
    <w:rsid w:val="00A93C21"/>
    <w:rsid w:val="00AA7C0C"/>
    <w:rsid w:val="00AB247A"/>
    <w:rsid w:val="00AB6002"/>
    <w:rsid w:val="00AB64C9"/>
    <w:rsid w:val="00AC3C6A"/>
    <w:rsid w:val="00AD5620"/>
    <w:rsid w:val="00AD656B"/>
    <w:rsid w:val="00AD7C1B"/>
    <w:rsid w:val="00AE16BA"/>
    <w:rsid w:val="00AE1EBE"/>
    <w:rsid w:val="00B03C9D"/>
    <w:rsid w:val="00B060AE"/>
    <w:rsid w:val="00B10517"/>
    <w:rsid w:val="00B14E76"/>
    <w:rsid w:val="00B161B8"/>
    <w:rsid w:val="00B2048C"/>
    <w:rsid w:val="00B25F00"/>
    <w:rsid w:val="00B310B9"/>
    <w:rsid w:val="00B35F3F"/>
    <w:rsid w:val="00B36CBB"/>
    <w:rsid w:val="00B4032E"/>
    <w:rsid w:val="00B425E0"/>
    <w:rsid w:val="00B440AA"/>
    <w:rsid w:val="00B44B70"/>
    <w:rsid w:val="00B53C56"/>
    <w:rsid w:val="00B57DAF"/>
    <w:rsid w:val="00B77EA6"/>
    <w:rsid w:val="00B81598"/>
    <w:rsid w:val="00B841F1"/>
    <w:rsid w:val="00B87E0B"/>
    <w:rsid w:val="00B944D6"/>
    <w:rsid w:val="00BA2279"/>
    <w:rsid w:val="00BA3F85"/>
    <w:rsid w:val="00BA5689"/>
    <w:rsid w:val="00BB4DF0"/>
    <w:rsid w:val="00BC289F"/>
    <w:rsid w:val="00BC2D50"/>
    <w:rsid w:val="00BC5361"/>
    <w:rsid w:val="00BC5460"/>
    <w:rsid w:val="00BC6B50"/>
    <w:rsid w:val="00BD0E25"/>
    <w:rsid w:val="00BF4510"/>
    <w:rsid w:val="00BF5BD6"/>
    <w:rsid w:val="00C03E31"/>
    <w:rsid w:val="00C33E72"/>
    <w:rsid w:val="00C354B2"/>
    <w:rsid w:val="00C35554"/>
    <w:rsid w:val="00C42709"/>
    <w:rsid w:val="00C533CC"/>
    <w:rsid w:val="00C5751C"/>
    <w:rsid w:val="00C61BFC"/>
    <w:rsid w:val="00C62B85"/>
    <w:rsid w:val="00C65438"/>
    <w:rsid w:val="00C82EA0"/>
    <w:rsid w:val="00C84CD6"/>
    <w:rsid w:val="00C87FD8"/>
    <w:rsid w:val="00C91381"/>
    <w:rsid w:val="00C91CBB"/>
    <w:rsid w:val="00C92FEF"/>
    <w:rsid w:val="00CA3C7E"/>
    <w:rsid w:val="00CB4E70"/>
    <w:rsid w:val="00CC05DC"/>
    <w:rsid w:val="00CC09B6"/>
    <w:rsid w:val="00CC666F"/>
    <w:rsid w:val="00CD1E3F"/>
    <w:rsid w:val="00CE44F6"/>
    <w:rsid w:val="00CE49DA"/>
    <w:rsid w:val="00CE7B61"/>
    <w:rsid w:val="00D00095"/>
    <w:rsid w:val="00D114F0"/>
    <w:rsid w:val="00D20620"/>
    <w:rsid w:val="00D254F7"/>
    <w:rsid w:val="00D25767"/>
    <w:rsid w:val="00D26091"/>
    <w:rsid w:val="00D2685C"/>
    <w:rsid w:val="00D34E7C"/>
    <w:rsid w:val="00D35489"/>
    <w:rsid w:val="00D36AFE"/>
    <w:rsid w:val="00D51276"/>
    <w:rsid w:val="00D66188"/>
    <w:rsid w:val="00D7035F"/>
    <w:rsid w:val="00D75B9D"/>
    <w:rsid w:val="00DA58B1"/>
    <w:rsid w:val="00DA634F"/>
    <w:rsid w:val="00DA65AC"/>
    <w:rsid w:val="00DB1913"/>
    <w:rsid w:val="00DB707E"/>
    <w:rsid w:val="00DC410D"/>
    <w:rsid w:val="00DC5A81"/>
    <w:rsid w:val="00DC68CA"/>
    <w:rsid w:val="00DC7CBA"/>
    <w:rsid w:val="00DD73B7"/>
    <w:rsid w:val="00DF28BC"/>
    <w:rsid w:val="00DF29CF"/>
    <w:rsid w:val="00DF34B9"/>
    <w:rsid w:val="00E01053"/>
    <w:rsid w:val="00E07ACF"/>
    <w:rsid w:val="00E26552"/>
    <w:rsid w:val="00E27B15"/>
    <w:rsid w:val="00E331A1"/>
    <w:rsid w:val="00E33202"/>
    <w:rsid w:val="00E336A9"/>
    <w:rsid w:val="00E472B1"/>
    <w:rsid w:val="00E50624"/>
    <w:rsid w:val="00E54633"/>
    <w:rsid w:val="00E568DF"/>
    <w:rsid w:val="00E63D26"/>
    <w:rsid w:val="00E64269"/>
    <w:rsid w:val="00E82267"/>
    <w:rsid w:val="00E853CE"/>
    <w:rsid w:val="00E867B6"/>
    <w:rsid w:val="00EA010F"/>
    <w:rsid w:val="00EA3A38"/>
    <w:rsid w:val="00ED1B63"/>
    <w:rsid w:val="00ED3C1F"/>
    <w:rsid w:val="00ED4085"/>
    <w:rsid w:val="00ED420E"/>
    <w:rsid w:val="00ED6FBE"/>
    <w:rsid w:val="00EE2F57"/>
    <w:rsid w:val="00EF4C34"/>
    <w:rsid w:val="00EF5853"/>
    <w:rsid w:val="00EF77C6"/>
    <w:rsid w:val="00F05438"/>
    <w:rsid w:val="00F130B5"/>
    <w:rsid w:val="00F1361C"/>
    <w:rsid w:val="00F156F0"/>
    <w:rsid w:val="00F160C7"/>
    <w:rsid w:val="00F2408F"/>
    <w:rsid w:val="00F240E9"/>
    <w:rsid w:val="00F312F0"/>
    <w:rsid w:val="00F36D8F"/>
    <w:rsid w:val="00F417B1"/>
    <w:rsid w:val="00F45853"/>
    <w:rsid w:val="00F50281"/>
    <w:rsid w:val="00F602DF"/>
    <w:rsid w:val="00F754A1"/>
    <w:rsid w:val="00F80735"/>
    <w:rsid w:val="00F81FD9"/>
    <w:rsid w:val="00F841AA"/>
    <w:rsid w:val="00F84A94"/>
    <w:rsid w:val="00F87E96"/>
    <w:rsid w:val="00FA23E8"/>
    <w:rsid w:val="00FB7965"/>
    <w:rsid w:val="00FC7202"/>
    <w:rsid w:val="00FD3CC1"/>
    <w:rsid w:val="00FE40BD"/>
    <w:rsid w:val="00FE7444"/>
    <w:rsid w:val="00FF1E02"/>
    <w:rsid w:val="00FF30B4"/>
    <w:rsid w:val="012A5EC2"/>
    <w:rsid w:val="015975B8"/>
    <w:rsid w:val="02FEBE30"/>
    <w:rsid w:val="04916F1E"/>
    <w:rsid w:val="061E35DE"/>
    <w:rsid w:val="066E0107"/>
    <w:rsid w:val="07996F6E"/>
    <w:rsid w:val="07DFD8BA"/>
    <w:rsid w:val="0939146E"/>
    <w:rsid w:val="09867E8F"/>
    <w:rsid w:val="0A2032A3"/>
    <w:rsid w:val="0CA8290A"/>
    <w:rsid w:val="0D35B1ED"/>
    <w:rsid w:val="0E254B6B"/>
    <w:rsid w:val="0F98263C"/>
    <w:rsid w:val="101860EC"/>
    <w:rsid w:val="101F47CC"/>
    <w:rsid w:val="10C055FF"/>
    <w:rsid w:val="11694EBD"/>
    <w:rsid w:val="11772AA4"/>
    <w:rsid w:val="118107EC"/>
    <w:rsid w:val="12E24EE2"/>
    <w:rsid w:val="13D50BC4"/>
    <w:rsid w:val="149E450D"/>
    <w:rsid w:val="14B17F78"/>
    <w:rsid w:val="15E33EE6"/>
    <w:rsid w:val="165E0673"/>
    <w:rsid w:val="16B831D5"/>
    <w:rsid w:val="16BB723D"/>
    <w:rsid w:val="17E50567"/>
    <w:rsid w:val="186504BB"/>
    <w:rsid w:val="19A445FC"/>
    <w:rsid w:val="1BE8440E"/>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9FD04D3"/>
    <w:rsid w:val="2BE97B86"/>
    <w:rsid w:val="2BFF7BC6"/>
    <w:rsid w:val="2C8A61B5"/>
    <w:rsid w:val="2DC773DC"/>
    <w:rsid w:val="2DF04E50"/>
    <w:rsid w:val="2E586DFA"/>
    <w:rsid w:val="2F040D46"/>
    <w:rsid w:val="2F6B035B"/>
    <w:rsid w:val="2FAE5751"/>
    <w:rsid w:val="2FB1A395"/>
    <w:rsid w:val="2FD9A7D8"/>
    <w:rsid w:val="2FDBF714"/>
    <w:rsid w:val="30AB6865"/>
    <w:rsid w:val="31750675"/>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02255D"/>
    <w:rsid w:val="3AB79AF3"/>
    <w:rsid w:val="3AE834C0"/>
    <w:rsid w:val="3B7EF35A"/>
    <w:rsid w:val="3B9FDB6C"/>
    <w:rsid w:val="3BF5BC2F"/>
    <w:rsid w:val="3CEBA265"/>
    <w:rsid w:val="3D98207C"/>
    <w:rsid w:val="3DEE7CF3"/>
    <w:rsid w:val="3E740A63"/>
    <w:rsid w:val="3E78745D"/>
    <w:rsid w:val="3EE17838"/>
    <w:rsid w:val="3F55381A"/>
    <w:rsid w:val="3F7F7599"/>
    <w:rsid w:val="3FF4CAE0"/>
    <w:rsid w:val="3FF7B227"/>
    <w:rsid w:val="44E268DA"/>
    <w:rsid w:val="450D13D7"/>
    <w:rsid w:val="45506656"/>
    <w:rsid w:val="471272CE"/>
    <w:rsid w:val="486A6C7A"/>
    <w:rsid w:val="4A627F82"/>
    <w:rsid w:val="4B0E749A"/>
    <w:rsid w:val="4B2477C4"/>
    <w:rsid w:val="4B4F25DA"/>
    <w:rsid w:val="4BE068DB"/>
    <w:rsid w:val="4D577224"/>
    <w:rsid w:val="4DBF1CEB"/>
    <w:rsid w:val="4DF0007C"/>
    <w:rsid w:val="4EAB630A"/>
    <w:rsid w:val="4ECE2238"/>
    <w:rsid w:val="4F833267"/>
    <w:rsid w:val="4FE9BD67"/>
    <w:rsid w:val="4FFB052F"/>
    <w:rsid w:val="537E6D0A"/>
    <w:rsid w:val="53F74C96"/>
    <w:rsid w:val="55170BA8"/>
    <w:rsid w:val="553218C9"/>
    <w:rsid w:val="567E1AA5"/>
    <w:rsid w:val="56E47B74"/>
    <w:rsid w:val="57175D52"/>
    <w:rsid w:val="57BD3DD4"/>
    <w:rsid w:val="5AF92295"/>
    <w:rsid w:val="5B250254"/>
    <w:rsid w:val="5BDD79E6"/>
    <w:rsid w:val="5BF561CA"/>
    <w:rsid w:val="5BFF5DFC"/>
    <w:rsid w:val="5CD71FC4"/>
    <w:rsid w:val="5D1F11B5"/>
    <w:rsid w:val="5D695134"/>
    <w:rsid w:val="5DAE1B18"/>
    <w:rsid w:val="5DE7D9E5"/>
    <w:rsid w:val="5E9D6101"/>
    <w:rsid w:val="5ECEC941"/>
    <w:rsid w:val="5FBF9FF3"/>
    <w:rsid w:val="5FCD4E2C"/>
    <w:rsid w:val="5FEF394A"/>
    <w:rsid w:val="5FF67715"/>
    <w:rsid w:val="61446B4C"/>
    <w:rsid w:val="615800BD"/>
    <w:rsid w:val="62BF3928"/>
    <w:rsid w:val="63B3701E"/>
    <w:rsid w:val="647F5392"/>
    <w:rsid w:val="65E6658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C87A4B"/>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11" w:unhideWhenUsed="0" w:qFormat="1"/>
    <w:lsdException w:name="Body Text First Indent 2" w:semiHidden="0" w:qFormat="1"/>
    <w:lsdException w:name="Hyperlink" w:semiHidden="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B247A"/>
    <w:pPr>
      <w:widowControl w:val="0"/>
      <w:jc w:val="both"/>
    </w:pPr>
    <w:rPr>
      <w:kern w:val="2"/>
      <w:sz w:val="21"/>
      <w:szCs w:val="24"/>
    </w:rPr>
  </w:style>
  <w:style w:type="paragraph" w:styleId="1">
    <w:name w:val="heading 1"/>
    <w:basedOn w:val="a"/>
    <w:next w:val="a"/>
    <w:link w:val="1Char"/>
    <w:uiPriority w:val="9"/>
    <w:qFormat/>
    <w:rsid w:val="00AB247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B247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B247A"/>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20"/>
    <w:semiHidden/>
    <w:qFormat/>
    <w:rsid w:val="00AB247A"/>
    <w:pPr>
      <w:snapToGrid w:val="0"/>
      <w:jc w:val="left"/>
    </w:pPr>
    <w:rPr>
      <w:sz w:val="18"/>
      <w:szCs w:val="18"/>
    </w:rPr>
  </w:style>
  <w:style w:type="paragraph" w:styleId="20">
    <w:name w:val="Body Text First Indent 2"/>
    <w:basedOn w:val="a4"/>
    <w:next w:val="a"/>
    <w:uiPriority w:val="99"/>
    <w:unhideWhenUsed/>
    <w:qFormat/>
    <w:rsid w:val="00AB247A"/>
    <w:pPr>
      <w:ind w:firstLineChars="200" w:firstLine="420"/>
    </w:pPr>
  </w:style>
  <w:style w:type="paragraph" w:styleId="a4">
    <w:name w:val="Body Text Indent"/>
    <w:basedOn w:val="a"/>
    <w:next w:val="20"/>
    <w:qFormat/>
    <w:rsid w:val="00AB247A"/>
    <w:pPr>
      <w:spacing w:after="120"/>
      <w:ind w:leftChars="200" w:left="200"/>
    </w:pPr>
    <w:rPr>
      <w:rFonts w:ascii="仿宋_GB2312"/>
      <w:szCs w:val="32"/>
    </w:rPr>
  </w:style>
  <w:style w:type="paragraph" w:styleId="a5">
    <w:name w:val="Body Text"/>
    <w:basedOn w:val="a"/>
    <w:link w:val="Char"/>
    <w:uiPriority w:val="99"/>
    <w:qFormat/>
    <w:rsid w:val="00AB247A"/>
    <w:pPr>
      <w:spacing w:beforeLines="30"/>
    </w:pPr>
    <w:rPr>
      <w:rFonts w:ascii="仿宋_GB2312" w:eastAsia="仿宋_GB2312"/>
      <w:kern w:val="0"/>
      <w:sz w:val="30"/>
    </w:rPr>
  </w:style>
  <w:style w:type="paragraph" w:styleId="30">
    <w:name w:val="toc 3"/>
    <w:basedOn w:val="a"/>
    <w:next w:val="a"/>
    <w:uiPriority w:val="39"/>
    <w:unhideWhenUsed/>
    <w:qFormat/>
    <w:rsid w:val="00AB247A"/>
    <w:pPr>
      <w:tabs>
        <w:tab w:val="right" w:leader="dot" w:pos="8296"/>
      </w:tabs>
      <w:ind w:leftChars="400" w:left="840"/>
    </w:pPr>
  </w:style>
  <w:style w:type="paragraph" w:styleId="a6">
    <w:name w:val="Balloon Text"/>
    <w:basedOn w:val="a"/>
    <w:link w:val="Char0"/>
    <w:uiPriority w:val="99"/>
    <w:semiHidden/>
    <w:unhideWhenUsed/>
    <w:qFormat/>
    <w:rsid w:val="00AB247A"/>
    <w:rPr>
      <w:sz w:val="18"/>
      <w:szCs w:val="18"/>
    </w:rPr>
  </w:style>
  <w:style w:type="paragraph" w:styleId="a7">
    <w:name w:val="footer"/>
    <w:basedOn w:val="a"/>
    <w:link w:val="Char1"/>
    <w:uiPriority w:val="99"/>
    <w:qFormat/>
    <w:rsid w:val="00AB247A"/>
    <w:pPr>
      <w:tabs>
        <w:tab w:val="center" w:pos="4153"/>
        <w:tab w:val="right" w:pos="8306"/>
      </w:tabs>
      <w:snapToGrid w:val="0"/>
      <w:jc w:val="left"/>
    </w:pPr>
    <w:rPr>
      <w:rFonts w:ascii="Calibri" w:hAnsi="Calibri"/>
      <w:kern w:val="0"/>
      <w:sz w:val="18"/>
      <w:szCs w:val="18"/>
    </w:rPr>
  </w:style>
  <w:style w:type="paragraph" w:styleId="a8">
    <w:name w:val="header"/>
    <w:basedOn w:val="a"/>
    <w:link w:val="Char2"/>
    <w:uiPriority w:val="99"/>
    <w:semiHidden/>
    <w:qFormat/>
    <w:rsid w:val="00AB247A"/>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AB247A"/>
    <w:pPr>
      <w:tabs>
        <w:tab w:val="right" w:leader="dot" w:pos="8296"/>
      </w:tabs>
      <w:spacing w:before="93"/>
      <w:jc w:val="center"/>
    </w:pPr>
    <w:rPr>
      <w:rFonts w:ascii="仿宋" w:eastAsia="仿宋" w:hAnsi="仿宋"/>
      <w:sz w:val="28"/>
      <w:szCs w:val="28"/>
    </w:rPr>
  </w:style>
  <w:style w:type="paragraph" w:styleId="21">
    <w:name w:val="toc 2"/>
    <w:basedOn w:val="a"/>
    <w:next w:val="a"/>
    <w:uiPriority w:val="39"/>
    <w:unhideWhenUsed/>
    <w:qFormat/>
    <w:rsid w:val="00AB247A"/>
    <w:pPr>
      <w:tabs>
        <w:tab w:val="right" w:leader="dot" w:pos="8296"/>
      </w:tabs>
      <w:ind w:leftChars="200" w:left="420"/>
    </w:pPr>
  </w:style>
  <w:style w:type="character" w:styleId="a9">
    <w:name w:val="Strong"/>
    <w:basedOn w:val="a1"/>
    <w:uiPriority w:val="99"/>
    <w:qFormat/>
    <w:rsid w:val="00AB247A"/>
    <w:rPr>
      <w:b/>
    </w:rPr>
  </w:style>
  <w:style w:type="character" w:styleId="aa">
    <w:name w:val="Hyperlink"/>
    <w:basedOn w:val="a1"/>
    <w:uiPriority w:val="99"/>
    <w:unhideWhenUsed/>
    <w:qFormat/>
    <w:rsid w:val="00AB247A"/>
    <w:rPr>
      <w:color w:val="0000FF" w:themeColor="hyperlink"/>
      <w:u w:val="single"/>
    </w:rPr>
  </w:style>
  <w:style w:type="paragraph" w:customStyle="1" w:styleId="5">
    <w:name w:val="标题 5（有编号）（绿盟科技）"/>
    <w:next w:val="a"/>
    <w:uiPriority w:val="99"/>
    <w:qFormat/>
    <w:rsid w:val="00AB247A"/>
    <w:pPr>
      <w:keepNext/>
      <w:keepLines/>
      <w:widowControl w:val="0"/>
      <w:spacing w:before="280" w:after="156" w:line="377" w:lineRule="auto"/>
      <w:outlineLvl w:val="4"/>
    </w:pPr>
    <w:rPr>
      <w:rFonts w:ascii="Arial" w:eastAsia="黑体" w:hAnsi="Arial"/>
      <w:b/>
      <w:kern w:val="2"/>
      <w:sz w:val="24"/>
      <w:szCs w:val="28"/>
    </w:rPr>
  </w:style>
  <w:style w:type="character" w:customStyle="1" w:styleId="HeaderChar">
    <w:name w:val="Header Char"/>
    <w:basedOn w:val="a1"/>
    <w:uiPriority w:val="99"/>
    <w:semiHidden/>
    <w:qFormat/>
    <w:rsid w:val="00AB247A"/>
    <w:rPr>
      <w:rFonts w:ascii="Times New Roman" w:hAnsi="Times New Roman"/>
      <w:sz w:val="18"/>
      <w:szCs w:val="18"/>
    </w:rPr>
  </w:style>
  <w:style w:type="character" w:customStyle="1" w:styleId="Char2">
    <w:name w:val="页眉 Char"/>
    <w:link w:val="a8"/>
    <w:uiPriority w:val="99"/>
    <w:semiHidden/>
    <w:qFormat/>
    <w:locked/>
    <w:rsid w:val="00AB247A"/>
    <w:rPr>
      <w:sz w:val="18"/>
    </w:rPr>
  </w:style>
  <w:style w:type="character" w:customStyle="1" w:styleId="FooterChar">
    <w:name w:val="Footer Char"/>
    <w:basedOn w:val="a1"/>
    <w:uiPriority w:val="99"/>
    <w:semiHidden/>
    <w:qFormat/>
    <w:rsid w:val="00AB247A"/>
    <w:rPr>
      <w:rFonts w:ascii="Times New Roman" w:hAnsi="Times New Roman"/>
      <w:sz w:val="18"/>
      <w:szCs w:val="18"/>
    </w:rPr>
  </w:style>
  <w:style w:type="character" w:customStyle="1" w:styleId="Char1">
    <w:name w:val="页脚 Char"/>
    <w:link w:val="a7"/>
    <w:uiPriority w:val="99"/>
    <w:qFormat/>
    <w:locked/>
    <w:rsid w:val="00AB247A"/>
    <w:rPr>
      <w:sz w:val="18"/>
    </w:rPr>
  </w:style>
  <w:style w:type="character" w:customStyle="1" w:styleId="BodyTextChar">
    <w:name w:val="Body Text Char"/>
    <w:basedOn w:val="a1"/>
    <w:uiPriority w:val="99"/>
    <w:semiHidden/>
    <w:qFormat/>
    <w:rsid w:val="00AB247A"/>
    <w:rPr>
      <w:rFonts w:ascii="Times New Roman" w:hAnsi="Times New Roman"/>
      <w:szCs w:val="24"/>
    </w:rPr>
  </w:style>
  <w:style w:type="character" w:customStyle="1" w:styleId="Char">
    <w:name w:val="正文文本 Char"/>
    <w:link w:val="a5"/>
    <w:uiPriority w:val="99"/>
    <w:qFormat/>
    <w:locked/>
    <w:rsid w:val="00AB247A"/>
    <w:rPr>
      <w:rFonts w:ascii="仿宋_GB2312" w:eastAsia="仿宋_GB2312" w:hAnsi="Times New Roman"/>
      <w:sz w:val="24"/>
    </w:rPr>
  </w:style>
  <w:style w:type="paragraph" w:customStyle="1" w:styleId="Default">
    <w:name w:val="Default"/>
    <w:uiPriority w:val="99"/>
    <w:qFormat/>
    <w:rsid w:val="00AB247A"/>
    <w:pPr>
      <w:widowControl w:val="0"/>
      <w:autoSpaceDE w:val="0"/>
      <w:autoSpaceDN w:val="0"/>
      <w:adjustRightInd w:val="0"/>
    </w:pPr>
    <w:rPr>
      <w:rFonts w:ascii="仿宋" w:eastAsia="仿宋" w:hAnsi="Calibri" w:cs="仿宋"/>
      <w:color w:val="000000"/>
      <w:sz w:val="24"/>
      <w:szCs w:val="24"/>
    </w:rPr>
  </w:style>
  <w:style w:type="paragraph" w:styleId="ab">
    <w:name w:val="List Paragraph"/>
    <w:basedOn w:val="a"/>
    <w:uiPriority w:val="34"/>
    <w:qFormat/>
    <w:rsid w:val="00AB247A"/>
    <w:pPr>
      <w:ind w:firstLineChars="200" w:firstLine="420"/>
    </w:pPr>
  </w:style>
  <w:style w:type="character" w:customStyle="1" w:styleId="1Char">
    <w:name w:val="标题 1 Char"/>
    <w:basedOn w:val="a1"/>
    <w:link w:val="1"/>
    <w:uiPriority w:val="9"/>
    <w:qFormat/>
    <w:rsid w:val="00AB247A"/>
    <w:rPr>
      <w:rFonts w:ascii="Times New Roman" w:hAnsi="Times New Roman"/>
      <w:b/>
      <w:bCs/>
      <w:kern w:val="44"/>
      <w:sz w:val="44"/>
      <w:szCs w:val="44"/>
    </w:rPr>
  </w:style>
  <w:style w:type="character" w:customStyle="1" w:styleId="2Char">
    <w:name w:val="标题 2 Char"/>
    <w:basedOn w:val="a1"/>
    <w:link w:val="2"/>
    <w:uiPriority w:val="9"/>
    <w:qFormat/>
    <w:rsid w:val="00AB247A"/>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AB247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1"/>
    <w:link w:val="a6"/>
    <w:uiPriority w:val="99"/>
    <w:semiHidden/>
    <w:qFormat/>
    <w:rsid w:val="00AB247A"/>
    <w:rPr>
      <w:rFonts w:ascii="Times New Roman" w:hAnsi="Times New Roman"/>
      <w:kern w:val="2"/>
      <w:sz w:val="18"/>
      <w:szCs w:val="18"/>
    </w:rPr>
  </w:style>
  <w:style w:type="character" w:customStyle="1" w:styleId="3Char">
    <w:name w:val="标题 3 Char"/>
    <w:basedOn w:val="a1"/>
    <w:link w:val="3"/>
    <w:uiPriority w:val="9"/>
    <w:qFormat/>
    <w:rsid w:val="00AB247A"/>
    <w:rPr>
      <w:rFonts w:ascii="Times New Roman" w:hAnsi="Times New Roman"/>
      <w:b/>
      <w:bCs/>
      <w:kern w:val="2"/>
      <w:sz w:val="32"/>
      <w:szCs w:val="32"/>
    </w:rPr>
  </w:style>
  <w:style w:type="paragraph" w:customStyle="1" w:styleId="TOC2">
    <w:name w:val="TOC 标题2"/>
    <w:basedOn w:val="1"/>
    <w:next w:val="a"/>
    <w:uiPriority w:val="39"/>
    <w:unhideWhenUsed/>
    <w:qFormat/>
    <w:rsid w:val="00AB247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c">
    <w:name w:val="四号正文"/>
    <w:basedOn w:val="a"/>
    <w:qFormat/>
    <w:rsid w:val="00AB247A"/>
    <w:pPr>
      <w:spacing w:line="360" w:lineRule="auto"/>
    </w:pPr>
    <w:rPr>
      <w:rFonts w:ascii="??" w:hAnsi="??"/>
      <w:color w:val="000000"/>
      <w:kern w:val="0"/>
      <w:sz w:val="28"/>
      <w:szCs w:val="21"/>
      <w:lang w:val="zh-CN"/>
    </w:rPr>
  </w:style>
  <w:style w:type="character" w:customStyle="1" w:styleId="font21">
    <w:name w:val="font21"/>
    <w:basedOn w:val="a1"/>
    <w:rsid w:val="00AB247A"/>
    <w:rPr>
      <w:rFonts w:ascii="宋体" w:eastAsia="宋体" w:hAnsi="宋体" w:cs="宋体"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61</Pages>
  <Words>2637</Words>
  <Characters>15036</Characters>
  <Application>Microsoft Office Word</Application>
  <DocSecurity>0</DocSecurity>
  <Lines>125</Lines>
  <Paragraphs>35</Paragraphs>
  <ScaleCrop>false</ScaleCrop>
  <Company>四川省财政厅</Company>
  <LinksUpToDate>false</LinksUpToDate>
  <CharactersWithSpaces>17638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dreamsummit</cp:lastModifiedBy>
  <cp:revision>65</cp:revision>
  <cp:lastPrinted>2025-08-06T17:34:00Z</cp:lastPrinted>
  <dcterms:created xsi:type="dcterms:W3CDTF">2020-08-09T09:49:00Z</dcterms:created>
  <dcterms:modified xsi:type="dcterms:W3CDTF">2025-10-17T08:20:00Z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7D7DC6DB45C7450B9956169B097F724C_13</vt:lpwstr>
  </property>
  <property fmtid="{D5CDD505-2E9C-101B-9397-08002B2CF9AE}" pid="4" name="KSOTemplateDocerSaveRecord">
    <vt:lpwstr>eyJoZGlkIjoiMGIwYzc5NDRiNjBhZTEwZTNkNDMzMjI3ZmZjZmJjNmYiLCJ1c2VySWQiOiIxNDg0NTc1NDAwIn0=</vt:lpwstr>
  </property>
</Properties>
</file>