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乐山市市中区牟子镇人民政府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2022年整体支出绩效评价整改的报告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根据省财政厅绩效评价考核相关要求以及区财政局《关于2023年绩效评价整改及公开的通知》要求，现对本单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位2022年度整体支出绩效自评报告中存在的问题整改如下：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存在问题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单位各科室、下属事业服务中心存在对预算绩效编制内容理解不透彻，常常依赖于财务人员进行编制，而财务人员不了解具体的项目实施内容，且本单位项目多，对绩效目标的设定编制不完善，不能科学、合理地做好绩效目标编制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zh-CN"/>
        </w:rPr>
        <w:t>整改措施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提高预算编制的准确性。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组织项目具体负责科室工作人员认真学习《预算法》和上级项目主管部门相关项目要求，深刻理解项目实施相关流程，共同参与预算编制工作，并及时与项目主管部门对接审核，较为科学、准确地编制预算。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提高项目绩效目标的合理性。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在编制预算时，结合项目特点，科学地设定绩效目标，与项目资金支出范围、项目实施效果、经济及社会效益密切联系，使项目绩效能顺利完成。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提高预算执行的完成率。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积极对接上级部门，及早下达预算指标，为项目开展做好相关准备。督促项目实施科室桉相关规定及早进入流程，按时间节点组织实施，力争项目早实施、按期完成并形成相关资料组卷，并进行绩效评价。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乐山市市中区牟子镇人民政府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2023年12月6日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67E1"/>
    <w:multiLevelType w:val="singleLevel"/>
    <w:tmpl w:val="18DF67E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73A4DC"/>
    <w:multiLevelType w:val="singleLevel"/>
    <w:tmpl w:val="3B73A4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939BD"/>
    <w:rsid w:val="0209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2023-12-08T00:52:00Z</dcterms:created>
  <dc:creator>Administrator</dc:creator>
  <cp:lastModifiedBy>Administrator</cp:lastModifiedBy>
  <dcterms:modified xsi:type="dcterms:W3CDTF">2023-12-08T01:16:20Z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