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hint="eastAsia" w:ascii="方正小标宋简体" w:hAnsi="宋体" w:eastAsia="方正小标宋简体"/>
          <w:color w:val="auto"/>
          <w:sz w:val="21"/>
          <w:szCs w:val="21"/>
          <w:highlight w:val="none"/>
          <w:lang w:eastAsia="zh-CN"/>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425"/>
      <w:bookmarkStart w:id="3" w:name="_Toc15378441"/>
      <w:bookmarkStart w:id="4" w:name="_Toc15396597"/>
      <w:bookmarkStart w:id="5" w:name="_Toc22932"/>
      <w:bookmarkStart w:id="6" w:name="_Toc1537719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bookmarkEnd w:id="0"/>
    <w:p>
      <w:pPr>
        <w:adjustRightInd w:val="0"/>
        <w:snapToGrid w:val="0"/>
        <w:spacing w:line="360" w:lineRule="auto"/>
        <w:jc w:val="center"/>
        <w:outlineLvl w:val="0"/>
        <w:rPr>
          <w:rFonts w:hint="eastAsia" w:ascii="方正小标宋简体" w:hAnsi="方正小标宋简体" w:eastAsia="方正小标宋简体"/>
          <w:kern w:val="2"/>
          <w:sz w:val="72"/>
          <w:szCs w:val="24"/>
          <w:lang w:val="zh-CN"/>
        </w:rPr>
      </w:pPr>
      <w:bookmarkStart w:id="7" w:name="_Toc3404"/>
      <w:bookmarkStart w:id="8" w:name="_Toc15377194"/>
      <w:bookmarkStart w:id="9" w:name="_Toc15306268"/>
      <w:bookmarkStart w:id="10" w:name="_Toc15396598"/>
      <w:bookmarkStart w:id="11" w:name="_Toc15377426"/>
      <w:bookmarkStart w:id="12" w:name="_Toc15396476"/>
      <w:bookmarkStart w:id="13" w:name="_Toc15378442"/>
      <w:r>
        <w:rPr>
          <w:rFonts w:hint="eastAsia" w:ascii="方正小标宋简体" w:hAnsi="方正小标宋简体" w:eastAsia="方正小标宋简体"/>
          <w:kern w:val="2"/>
          <w:sz w:val="72"/>
          <w:szCs w:val="24"/>
          <w:lang w:val="zh-CN"/>
        </w:rPr>
        <w:t>乐山市斑竹湾实验学校</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29306"/>
      <w:r>
        <w:rPr>
          <w:rFonts w:hint="eastAsia" w:ascii="方正小标宋简体" w:hAnsi="方正小标宋简体" w:eastAsia="方正小标宋简体"/>
          <w:kern w:val="2"/>
          <w:sz w:val="72"/>
          <w:szCs w:val="24"/>
          <w:lang w:val="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adjustRightInd w:val="0"/>
        <w:snapToGrid w:val="0"/>
        <w:spacing w:line="360" w:lineRule="auto"/>
        <w:jc w:val="center"/>
        <w:outlineLvl w:val="0"/>
        <w:rPr>
          <w:rFonts w:ascii="方正小标宋简体" w:hAnsi="宋体" w:eastAsia="方正小标宋简体"/>
          <w:color w:val="auto"/>
          <w:sz w:val="52"/>
          <w:szCs w:val="52"/>
          <w:highlight w:val="none"/>
        </w:rPr>
      </w:pPr>
      <w:bookmarkStart w:id="15" w:name="_Toc18013"/>
      <w:r>
        <w:rPr>
          <w:rFonts w:hint="eastAsia" w:ascii="方正小标宋简体" w:hAnsi="宋体" w:eastAsia="方正小标宋简体"/>
          <w:color w:val="auto"/>
          <w:sz w:val="52"/>
          <w:szCs w:val="52"/>
          <w:highlight w:val="none"/>
        </w:rPr>
        <w:t>(</w:t>
      </w:r>
      <w:r>
        <w:rPr>
          <w:rFonts w:hint="eastAsia" w:ascii="方正小标宋简体" w:hAnsi="宋体" w:eastAsia="方正小标宋简体"/>
          <w:color w:val="auto"/>
          <w:sz w:val="52"/>
          <w:szCs w:val="52"/>
          <w:highlight w:val="none"/>
          <w:lang w:eastAsia="zh-CN"/>
        </w:rPr>
        <w:t>单位公开</w:t>
      </w:r>
      <w:r>
        <w:rPr>
          <w:rFonts w:hint="eastAsia" w:ascii="方正小标宋简体" w:hAnsi="宋体" w:eastAsia="方正小标宋简体"/>
          <w:color w:val="auto"/>
          <w:sz w:val="52"/>
          <w:szCs w:val="52"/>
          <w:highlight w:val="none"/>
        </w:rPr>
        <w:t>范本)</w:t>
      </w:r>
      <w:bookmarkEnd w:id="15"/>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1"/>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11</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p>
      <w:pPr>
        <w:rPr>
          <w:color w:val="auto"/>
          <w:highlight w:val="none"/>
        </w:rPr>
      </w:pPr>
    </w:p>
    <w:sdt>
      <w:sdtPr>
        <w:rPr>
          <w:rFonts w:ascii="宋体" w:hAnsi="宋体" w:eastAsia="宋体" w:cs="Times New Roman"/>
          <w:kern w:val="2"/>
          <w:sz w:val="21"/>
          <w:szCs w:val="24"/>
          <w:lang w:val="en-US" w:eastAsia="zh-CN" w:bidi="ar-SA"/>
        </w:rPr>
        <w:id w:val="147455427"/>
        <w15:color w:val="DBDBDB"/>
        <w:docPartObj>
          <w:docPartGallery w:val="Table of Contents"/>
          <w:docPartUnique/>
        </w:docPartObj>
      </w:sdtPr>
      <w:sdtEndPr>
        <w:rPr>
          <w:rFonts w:hint="eastAsia" w:ascii="仿宋" w:hAnsi="仿宋" w:eastAsia="仿宋" w:cs="仿宋"/>
          <w:b/>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sz w:val="20"/>
              <w:szCs w:val="20"/>
            </w:rPr>
          </w:pPr>
          <w:bookmarkStart w:id="16" w:name="_Toc15377196"/>
          <w:bookmarkStart w:id="17" w:name="_Toc15396599"/>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TOC \o "1-2" \h \u </w:instrText>
          </w:r>
          <w:r>
            <w:rPr>
              <w:rFonts w:hint="eastAsia" w:ascii="仿宋" w:hAnsi="仿宋" w:eastAsia="仿宋" w:cs="仿宋"/>
              <w:sz w:val="20"/>
              <w:szCs w:val="20"/>
            </w:rPr>
            <w:fldChar w:fldCharType="separate"/>
          </w:r>
        </w:p>
        <w:p>
          <w:pPr>
            <w:pStyle w:val="11"/>
            <w:keepNext w:val="0"/>
            <w:keepLines w:val="0"/>
            <w:pageBreakBefore w:val="0"/>
            <w:kinsoku/>
            <w:wordWrap/>
            <w:overflowPunct/>
            <w:topLinePunct w:val="0"/>
            <w:autoSpaceDE/>
            <w:autoSpaceDN/>
            <w:bidi w:val="0"/>
            <w:adjustRightInd w:val="0"/>
            <w:snapToGrid w:val="0"/>
            <w:spacing w:before="0" w:line="440" w:lineRule="atLeast"/>
            <w:jc w:val="left"/>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_Toc29471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highlight w:val="none"/>
            </w:rPr>
            <w:t xml:space="preserve">第一部分 </w:t>
          </w:r>
          <w:r>
            <w:rPr>
              <w:rFonts w:hint="eastAsia" w:ascii="仿宋" w:hAnsi="仿宋" w:eastAsia="仿宋" w:cs="仿宋"/>
              <w:b w:val="0"/>
              <w:bCs/>
              <w:sz w:val="24"/>
              <w:szCs w:val="24"/>
              <w:highlight w:val="none"/>
              <w:lang w:eastAsia="zh-CN"/>
            </w:rPr>
            <w:t>单位</w:t>
          </w:r>
          <w:r>
            <w:rPr>
              <w:rFonts w:hint="eastAsia" w:ascii="仿宋" w:hAnsi="仿宋" w:eastAsia="仿宋" w:cs="仿宋"/>
              <w:b w:val="0"/>
              <w:bCs/>
              <w:sz w:val="24"/>
              <w:szCs w:val="24"/>
              <w:highlight w:val="none"/>
            </w:rPr>
            <w:t>概况</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_Toc29471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4</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_Toc7052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lang w:eastAsia="zh-CN"/>
            </w:rPr>
            <w:t xml:space="preserve">一、 </w:t>
          </w:r>
          <w:r>
            <w:rPr>
              <w:rFonts w:hint="eastAsia" w:ascii="宋体" w:hAnsi="宋体" w:eastAsia="宋体" w:cs="宋体"/>
              <w:b w:val="0"/>
              <w:bCs/>
              <w:sz w:val="24"/>
              <w:szCs w:val="24"/>
              <w:highlight w:val="none"/>
              <w:lang w:eastAsia="zh-CN"/>
            </w:rPr>
            <w:t>主要职责</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_Toc7052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4</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_Toc24154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lang w:val="en-US" w:eastAsia="zh-CN"/>
            </w:rPr>
            <w:t xml:space="preserve">二、 </w:t>
          </w:r>
          <w:r>
            <w:rPr>
              <w:rFonts w:hint="eastAsia" w:ascii="宋体" w:hAnsi="宋体" w:eastAsia="宋体" w:cs="宋体"/>
              <w:b w:val="0"/>
              <w:bCs/>
              <w:sz w:val="24"/>
              <w:szCs w:val="24"/>
              <w:highlight w:val="none"/>
              <w:lang w:val="en-US" w:eastAsia="zh-CN"/>
            </w:rPr>
            <w:t>机构设置</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_Toc24154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5</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2"/>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_Toc18726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highlight w:val="none"/>
            </w:rPr>
            <w:t xml:space="preserve">第二部分 </w:t>
          </w:r>
          <w:r>
            <w:rPr>
              <w:rFonts w:hint="eastAsia" w:ascii="仿宋" w:hAnsi="仿宋" w:eastAsia="仿宋" w:cs="仿宋"/>
              <w:b w:val="0"/>
              <w:bCs/>
              <w:sz w:val="24"/>
              <w:szCs w:val="24"/>
              <w:highlight w:val="none"/>
              <w:lang w:val="en-US" w:eastAsia="zh-CN"/>
            </w:rPr>
            <w:t>2022年度</w:t>
          </w:r>
          <w:r>
            <w:rPr>
              <w:rFonts w:hint="eastAsia" w:ascii="仿宋" w:hAnsi="仿宋" w:eastAsia="仿宋" w:cs="仿宋"/>
              <w:b w:val="0"/>
              <w:bCs/>
              <w:sz w:val="24"/>
              <w:szCs w:val="24"/>
              <w:highlight w:val="none"/>
              <w:lang w:eastAsia="zh-CN"/>
            </w:rPr>
            <w:t>单位</w:t>
          </w:r>
          <w:r>
            <w:rPr>
              <w:rFonts w:hint="eastAsia" w:ascii="仿宋" w:hAnsi="仿宋" w:eastAsia="仿宋" w:cs="仿宋"/>
              <w:b w:val="0"/>
              <w:bCs/>
              <w:sz w:val="24"/>
              <w:szCs w:val="24"/>
              <w:highlight w:val="none"/>
            </w:rPr>
            <w:t>决算情况说明</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_Toc18726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6</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_Toc30925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一、 收入支出决算总体情况说明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_Toc30925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6</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_Toc15523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二、 收入决算情况说明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_Toc15523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6</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_Toc13341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三、 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_Toc13341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7</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_Toc2681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四、财政拨款收入支出决算总体情况说明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_Toc2681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8</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_Toc31891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五、一般公共预算财政拨款支出决算情况说明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_Toc31891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_Toc6775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六、一般公共预算财政拨款基本支出决算情况说明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_Toc6775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13</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_Toc27628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七、财政拨款“三公”经费支出决算情况说明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_Toc27628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14</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_Toc10176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八、政府性基金预算支出决算情况说明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_Toc10176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16</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_Toc5150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九、 国有资本经营预算支出决算情况说明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_Toc5150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16</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_Toc7712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十、 其他重要事项的情况说明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_Toc7712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17</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2"/>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_Toc18103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 xml:space="preserve">第三部分 </w:t>
          </w:r>
          <w:r>
            <w:rPr>
              <w:rFonts w:hint="eastAsia" w:ascii="仿宋" w:hAnsi="仿宋" w:eastAsia="仿宋" w:cs="仿宋"/>
              <w:b w:val="0"/>
              <w:bCs/>
              <w:sz w:val="24"/>
              <w:szCs w:val="24"/>
              <w:highlight w:val="none"/>
            </w:rPr>
            <w:t>名词解释</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_Toc18103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18</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2"/>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_Toc7504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highlight w:val="none"/>
            </w:rPr>
            <w:t>第四部分 附件</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_Toc7504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21</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2"/>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_Toc2200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highlight w:val="none"/>
            </w:rPr>
            <w:t>第五部分 附表</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_Toc2200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22</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_Toc9755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一、收入支出决算总表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_Toc9755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_Toc1133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二、收入决算表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_Toc1133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_Toc20886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三、支出决算表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_Toc20886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_Toc19378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四、财政拨款收入支出决算总表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_Toc19378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_Toc10954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五、财政拨款支出决算明细表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_Toc10954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_Toc3758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六、一般公共预算财政拨款支出决算表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_Toc3758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_Toc25385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七、一般公共预算财政拨款支出决算明细表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_Toc25385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_Toc6704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八、一般公共预算财政拨款基本支出决算表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_Toc6704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_Toc30953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九、一般公共预算财政拨款项目支出决算表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_Toc30953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_Toc11720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十、政府性基金预算财政拨款收入支出决算表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_Toc11720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_Toc18104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十一、国有资本经营预算</w:t>
          </w:r>
          <w:r>
            <w:rPr>
              <w:rFonts w:hint="eastAsia" w:ascii="宋体" w:hAnsi="宋体" w:eastAsia="宋体" w:cs="宋体"/>
              <w:b w:val="0"/>
              <w:bCs/>
              <w:sz w:val="24"/>
              <w:szCs w:val="24"/>
              <w:lang w:eastAsia="zh-CN"/>
            </w:rPr>
            <w:t>财政拨款收入</w:t>
          </w:r>
          <w:r>
            <w:rPr>
              <w:rFonts w:hint="eastAsia" w:ascii="宋体" w:hAnsi="宋体" w:eastAsia="宋体" w:cs="宋体"/>
              <w:b w:val="0"/>
              <w:bCs/>
              <w:sz w:val="24"/>
              <w:szCs w:val="24"/>
            </w:rPr>
            <w:t>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_Toc18104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_Toc5419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十二、</w:t>
          </w:r>
          <w:r>
            <w:rPr>
              <w:rFonts w:hint="eastAsia" w:ascii="宋体" w:hAnsi="宋体" w:eastAsia="宋体" w:cs="宋体"/>
              <w:b w:val="0"/>
              <w:bCs/>
              <w:sz w:val="24"/>
              <w:szCs w:val="24"/>
              <w:lang w:eastAsia="zh-CN"/>
            </w:rPr>
            <w:t>国有资本经营预算财政拨款支出决算表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_Toc5419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tabs>
              <w:tab w:val="right" w:leader="dot" w:pos="8306"/>
            </w:tabs>
            <w:kinsoku/>
            <w:wordWrap/>
            <w:overflowPunct/>
            <w:topLinePunct w:val="0"/>
            <w:autoSpaceDE/>
            <w:autoSpaceDN/>
            <w:bidi w:val="0"/>
            <w:spacing w:line="440" w:lineRule="atLeast"/>
            <w:textAlignment w:val="auto"/>
            <w:rPr>
              <w:rFonts w:hint="eastAsia" w:ascii="仿宋" w:hAnsi="仿宋" w:eastAsia="仿宋" w:cs="仿宋"/>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_Toc24125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十三、</w:t>
          </w:r>
          <w:r>
            <w:rPr>
              <w:rFonts w:hint="eastAsia" w:ascii="宋体" w:hAnsi="宋体" w:eastAsia="宋体" w:cs="宋体"/>
              <w:b w:val="0"/>
              <w:bCs/>
              <w:sz w:val="24"/>
              <w:szCs w:val="24"/>
              <w:lang w:eastAsia="zh-CN"/>
            </w:rPr>
            <w:t>财政拨款“三公”经费支出决算表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_Toc24125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22</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rPr>
              <w:rFonts w:hint="eastAsia" w:ascii="仿宋" w:hAnsi="仿宋" w:eastAsia="仿宋" w:cs="仿宋"/>
              <w:sz w:val="20"/>
              <w:szCs w:val="20"/>
            </w:rPr>
          </w:pPr>
          <w:r>
            <w:rPr>
              <w:rFonts w:hint="eastAsia" w:ascii="仿宋" w:hAnsi="仿宋" w:eastAsia="仿宋" w:cs="仿宋"/>
              <w:b/>
              <w:sz w:val="20"/>
              <w:szCs w:val="20"/>
            </w:rPr>
            <w:fldChar w:fldCharType="end"/>
          </w:r>
        </w:p>
      </w:sdtContent>
    </w:sdt>
    <w:p>
      <w:pPr>
        <w:widowControl/>
        <w:spacing w:line="440" w:lineRule="exact"/>
        <w:jc w:val="left"/>
        <w:rPr>
          <w:rFonts w:ascii="仿宋" w:hAnsi="仿宋" w:eastAsia="仿宋"/>
          <w:bCs/>
          <w:color w:val="auto"/>
          <w:kern w:val="44"/>
          <w:sz w:val="24"/>
          <w:highlight w:val="none"/>
        </w:rPr>
      </w:pPr>
      <w:r>
        <w:rPr>
          <w:rFonts w:ascii="仿宋" w:hAnsi="仿宋" w:eastAsia="仿宋"/>
          <w:b/>
          <w:color w:val="auto"/>
          <w:sz w:val="24"/>
          <w:highlight w:val="none"/>
        </w:rPr>
        <w:br w:type="page"/>
      </w:r>
    </w:p>
    <w:p>
      <w:pPr>
        <w:pStyle w:val="3"/>
        <w:jc w:val="center"/>
        <w:rPr>
          <w:rStyle w:val="26"/>
          <w:rFonts w:ascii="黑体" w:hAnsi="黑体" w:eastAsia="黑体"/>
          <w:b/>
          <w:bCs w:val="0"/>
          <w:color w:val="auto"/>
          <w:highlight w:val="none"/>
        </w:rPr>
      </w:pPr>
      <w:bookmarkStart w:id="18" w:name="_Toc29471"/>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6"/>
          <w:rFonts w:hint="eastAsia" w:ascii="黑体" w:hAnsi="黑体" w:eastAsia="黑体"/>
          <w:b w:val="0"/>
          <w:bCs w:val="0"/>
          <w:color w:val="auto"/>
          <w:highlight w:val="none"/>
        </w:rPr>
        <w:t>概况</w:t>
      </w:r>
      <w:bookmarkEnd w:id="16"/>
      <w:bookmarkEnd w:id="17"/>
      <w:bookmarkEnd w:id="18"/>
    </w:p>
    <w:p>
      <w:pPr>
        <w:widowControl/>
        <w:jc w:val="left"/>
        <w:rPr>
          <w:rFonts w:ascii="黑体" w:eastAsia="黑体"/>
          <w:color w:val="auto"/>
          <w:sz w:val="32"/>
          <w:szCs w:val="32"/>
          <w:highlight w:val="none"/>
        </w:rPr>
      </w:pPr>
    </w:p>
    <w:p>
      <w:pPr>
        <w:pStyle w:val="4"/>
        <w:numPr>
          <w:ilvl w:val="0"/>
          <w:numId w:val="1"/>
        </w:numPr>
        <w:rPr>
          <w:rStyle w:val="27"/>
          <w:rFonts w:hint="eastAsia" w:ascii="黑体" w:hAnsi="黑体" w:eastAsia="黑体"/>
          <w:b w:val="0"/>
          <w:bCs w:val="0"/>
          <w:color w:val="auto"/>
          <w:highlight w:val="none"/>
          <w:lang w:eastAsia="zh-CN"/>
        </w:rPr>
      </w:pPr>
      <w:bookmarkStart w:id="19" w:name="_Toc7052"/>
      <w:bookmarkStart w:id="20" w:name="_Toc15396600"/>
      <w:bookmarkStart w:id="21" w:name="_Toc15377197"/>
      <w:r>
        <w:rPr>
          <w:rStyle w:val="27"/>
          <w:rFonts w:hint="eastAsia" w:ascii="黑体" w:hAnsi="黑体" w:eastAsia="黑体"/>
          <w:b w:val="0"/>
          <w:bCs w:val="0"/>
          <w:color w:val="auto"/>
          <w:highlight w:val="none"/>
          <w:lang w:eastAsia="zh-CN"/>
        </w:rPr>
        <w:t>主要职责</w:t>
      </w:r>
      <w:bookmarkEnd w:id="19"/>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严格遵守国家法律法规，全面执行党的教育方针，坚持教育事业的公益性原则：坚持严格管理,信守职业道德，坚持用严谨的教学实绩取信于社会，以较高的教育质量回报社会。</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）贯彻方针。全面贯彻落实国家的教育方针、政策及相关的法律法规。</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）依法治校。加强学校领导班子和教职工学法用法，不断提高教师队伍学法用法的水平。</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）德育为首,全面发展。面向全体学生，遵循学生身心发展规律和社会发展要求，培养学生良好行为习惯，引导学生从小逐步树立正确的世界观、人生观和价值观,引导学生全面发展。</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）素质为重,突出实效。遵循教学规律，深化课堂教学改革，减轻学生过重的课业负担，全面提高教育教学质量。</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）安全牢记。做好校园安全工作，开展师生安全教育，建全安全应急机制，定期进行安全隐患排查，确保师生在校期间的安全和其他时段的安全。</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）积极配合政府动员辖区内适龄儿童入学，完成上级教育行政部门布置的其他工作任务。</w:t>
      </w:r>
    </w:p>
    <w:p>
      <w:pPr>
        <w:rPr>
          <w:rFonts w:hint="eastAsia"/>
          <w:lang w:eastAsia="zh-CN"/>
        </w:rPr>
      </w:pPr>
    </w:p>
    <w:p>
      <w:pPr>
        <w:pStyle w:val="4"/>
        <w:numPr>
          <w:ilvl w:val="0"/>
          <w:numId w:val="1"/>
        </w:numPr>
        <w:ind w:left="0" w:leftChars="0" w:firstLine="0" w:firstLineChars="0"/>
        <w:rPr>
          <w:rFonts w:hint="eastAsia" w:ascii="黑体" w:hAnsi="黑体" w:eastAsia="黑体"/>
          <w:b w:val="0"/>
          <w:color w:val="auto"/>
          <w:highlight w:val="none"/>
          <w:lang w:val="en-US" w:eastAsia="zh-CN"/>
        </w:rPr>
      </w:pPr>
      <w:bookmarkStart w:id="22" w:name="_Toc24154"/>
      <w:r>
        <w:rPr>
          <w:rFonts w:hint="eastAsia" w:ascii="黑体" w:hAnsi="黑体" w:eastAsia="黑体"/>
          <w:b w:val="0"/>
          <w:color w:val="auto"/>
          <w:highlight w:val="none"/>
          <w:lang w:val="en-US" w:eastAsia="zh-CN"/>
        </w:rPr>
        <w:t>机构设置</w:t>
      </w:r>
      <w:bookmarkEnd w:id="22"/>
    </w:p>
    <w:p>
      <w:pPr>
        <w:snapToGrid w:val="0"/>
        <w:spacing w:line="520" w:lineRule="exact"/>
        <w:ind w:firstLine="640" w:firstLineChars="200"/>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lang w:eastAsia="zh-CN"/>
        </w:rPr>
        <w:t>我校</w:t>
      </w:r>
      <w:r>
        <w:rPr>
          <w:rFonts w:hint="eastAsia" w:ascii="仿宋_GB2312" w:hAnsi="仿宋" w:eastAsia="仿宋_GB2312"/>
          <w:sz w:val="32"/>
          <w:szCs w:val="32"/>
          <w:highlight w:val="none"/>
        </w:rPr>
        <w:t>是乐山市教育局和乐山市市中区人民政府首次推行合作办学模式打造的学校</w:t>
      </w:r>
      <w:r>
        <w:rPr>
          <w:rFonts w:hint="eastAsia" w:ascii="仿宋_GB2312" w:hAnsi="仿宋" w:eastAsia="仿宋_GB2312"/>
          <w:sz w:val="32"/>
          <w:szCs w:val="32"/>
          <w:highlight w:val="none"/>
          <w:lang w:eastAsia="zh-CN"/>
        </w:rPr>
        <w:t>。</w:t>
      </w:r>
      <w:bookmarkEnd w:id="20"/>
      <w:bookmarkEnd w:id="21"/>
    </w:p>
    <w:p>
      <w:pPr>
        <w:snapToGrid w:val="0"/>
        <w:spacing w:line="520" w:lineRule="exact"/>
        <w:ind w:firstLine="640" w:firstLineChars="200"/>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eastAsia="zh-CN"/>
        </w:rPr>
        <w:t>由于我校是</w:t>
      </w:r>
      <w:r>
        <w:rPr>
          <w:rFonts w:hint="eastAsia" w:ascii="仿宋_GB2312" w:hAnsi="仿宋" w:eastAsia="仿宋_GB2312" w:cs="Times New Roman"/>
          <w:sz w:val="32"/>
          <w:szCs w:val="32"/>
          <w:highlight w:val="none"/>
          <w:lang w:val="en-US" w:eastAsia="zh-CN"/>
        </w:rPr>
        <w:t>我校是2022年10月新增单位，</w:t>
      </w:r>
      <w:r>
        <w:rPr>
          <w:rFonts w:hint="eastAsia" w:ascii="仿宋_GB2312" w:hAnsi="仿宋" w:eastAsia="仿宋_GB2312" w:cs="Times New Roman"/>
          <w:sz w:val="32"/>
          <w:szCs w:val="32"/>
          <w:highlight w:val="none"/>
          <w:lang w:eastAsia="zh-CN"/>
        </w:rPr>
        <w:t>202</w:t>
      </w:r>
      <w:r>
        <w:rPr>
          <w:rFonts w:hint="eastAsia" w:ascii="仿宋_GB2312" w:hAnsi="仿宋" w:eastAsia="仿宋_GB2312" w:cs="Times New Roman"/>
          <w:sz w:val="32"/>
          <w:szCs w:val="32"/>
          <w:highlight w:val="none"/>
          <w:lang w:val="en-US" w:eastAsia="zh-CN"/>
        </w:rPr>
        <w:t>2</w:t>
      </w:r>
      <w:r>
        <w:rPr>
          <w:rFonts w:hint="eastAsia" w:ascii="仿宋_GB2312" w:hAnsi="仿宋" w:eastAsia="仿宋_GB2312" w:cs="Times New Roman"/>
          <w:sz w:val="32"/>
          <w:szCs w:val="32"/>
          <w:highlight w:val="none"/>
          <w:lang w:eastAsia="zh-CN"/>
        </w:rPr>
        <w:t>年乐山市斑竹湾实验学校编制人数</w:t>
      </w:r>
      <w:r>
        <w:rPr>
          <w:rFonts w:hint="eastAsia" w:ascii="仿宋_GB2312" w:hAnsi="仿宋" w:eastAsia="仿宋_GB2312" w:cs="Times New Roman"/>
          <w:sz w:val="32"/>
          <w:szCs w:val="32"/>
          <w:highlight w:val="none"/>
          <w:lang w:val="en-US" w:eastAsia="zh-CN"/>
        </w:rPr>
        <w:t>11</w:t>
      </w:r>
      <w:r>
        <w:rPr>
          <w:rFonts w:hint="eastAsia" w:ascii="仿宋_GB2312" w:hAnsi="仿宋" w:eastAsia="仿宋_GB2312" w:cs="Times New Roman"/>
          <w:sz w:val="32"/>
          <w:szCs w:val="32"/>
          <w:highlight w:val="none"/>
          <w:lang w:eastAsia="zh-CN"/>
        </w:rPr>
        <w:t>人（其中：行政编制0人,乐山市斑竹湾实验学校事业编制</w:t>
      </w:r>
      <w:r>
        <w:rPr>
          <w:rFonts w:hint="eastAsia" w:ascii="仿宋_GB2312" w:hAnsi="仿宋" w:eastAsia="仿宋_GB2312" w:cs="Times New Roman"/>
          <w:sz w:val="32"/>
          <w:szCs w:val="32"/>
          <w:highlight w:val="none"/>
          <w:lang w:val="en-US" w:eastAsia="zh-CN"/>
        </w:rPr>
        <w:t>11</w:t>
      </w:r>
      <w:r>
        <w:rPr>
          <w:rFonts w:hint="eastAsia" w:ascii="仿宋_GB2312" w:hAnsi="仿宋" w:eastAsia="仿宋_GB2312" w:cs="Times New Roman"/>
          <w:sz w:val="32"/>
          <w:szCs w:val="32"/>
          <w:highlight w:val="none"/>
          <w:lang w:eastAsia="zh-CN"/>
        </w:rPr>
        <w:t>人,事业工勤</w:t>
      </w:r>
      <w:r>
        <w:rPr>
          <w:rFonts w:hint="eastAsia" w:ascii="仿宋_GB2312" w:hAnsi="仿宋" w:eastAsia="仿宋_GB2312" w:cs="Times New Roman"/>
          <w:sz w:val="32"/>
          <w:szCs w:val="32"/>
          <w:highlight w:val="none"/>
          <w:lang w:val="en-US" w:eastAsia="zh-CN"/>
        </w:rPr>
        <w:t>0</w:t>
      </w:r>
      <w:r>
        <w:rPr>
          <w:rFonts w:hint="eastAsia" w:ascii="仿宋_GB2312" w:hAnsi="仿宋" w:eastAsia="仿宋_GB2312" w:cs="Times New Roman"/>
          <w:sz w:val="32"/>
          <w:szCs w:val="32"/>
          <w:highlight w:val="none"/>
          <w:lang w:eastAsia="zh-CN"/>
        </w:rPr>
        <w:t>人)。内设3个处室: 教务处、党支部（含少队）、总务处。</w:t>
      </w:r>
    </w:p>
    <w:p>
      <w:pPr>
        <w:snapToGrid w:val="0"/>
        <w:spacing w:line="520" w:lineRule="exact"/>
        <w:ind w:firstLine="640" w:firstLineChars="200"/>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26"/>
          <w:rFonts w:ascii="黑体" w:hAnsi="黑体" w:eastAsia="黑体"/>
          <w:b w:val="0"/>
          <w:bCs/>
          <w:color w:val="auto"/>
          <w:highlight w:val="none"/>
        </w:rPr>
      </w:pPr>
      <w:bookmarkStart w:id="23" w:name="_Toc18726"/>
      <w:bookmarkStart w:id="24" w:name="_Toc15396602"/>
      <w:bookmarkStart w:id="25"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6"/>
          <w:rFonts w:hint="eastAsia" w:ascii="黑体" w:hAnsi="黑体" w:eastAsia="黑体"/>
          <w:b w:val="0"/>
          <w:bCs/>
          <w:color w:val="auto"/>
          <w:highlight w:val="none"/>
          <w:lang w:eastAsia="zh-CN"/>
        </w:rPr>
        <w:t>单位</w:t>
      </w:r>
      <w:r>
        <w:rPr>
          <w:rStyle w:val="26"/>
          <w:rFonts w:hint="eastAsia" w:ascii="黑体" w:hAnsi="黑体" w:eastAsia="黑体"/>
          <w:b w:val="0"/>
          <w:bCs/>
          <w:color w:val="auto"/>
          <w:highlight w:val="none"/>
        </w:rPr>
        <w:t>决算情况说明</w:t>
      </w:r>
      <w:bookmarkEnd w:id="23"/>
      <w:bookmarkEnd w:id="24"/>
      <w:bookmarkEnd w:id="25"/>
    </w:p>
    <w:p>
      <w:pPr>
        <w:rPr>
          <w:color w:val="auto"/>
          <w:highlight w:val="none"/>
        </w:rPr>
      </w:pPr>
    </w:p>
    <w:p>
      <w:pPr>
        <w:pStyle w:val="25"/>
        <w:numPr>
          <w:ilvl w:val="0"/>
          <w:numId w:val="2"/>
        </w:numPr>
        <w:spacing w:line="600" w:lineRule="exact"/>
        <w:ind w:firstLineChars="0"/>
        <w:outlineLvl w:val="1"/>
        <w:rPr>
          <w:rStyle w:val="27"/>
          <w:rFonts w:ascii="黑体" w:hAnsi="黑体" w:eastAsia="黑体"/>
          <w:b w:val="0"/>
          <w:color w:val="auto"/>
          <w:highlight w:val="none"/>
        </w:rPr>
      </w:pPr>
      <w:bookmarkStart w:id="26" w:name="_Toc30925"/>
      <w:bookmarkStart w:id="27" w:name="_Toc15377205"/>
      <w:bookmarkStart w:id="28" w:name="_Toc15396603"/>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入支出决算总体情况说明</w:t>
      </w:r>
      <w:bookmarkEnd w:id="26"/>
      <w:bookmarkEnd w:id="27"/>
      <w:bookmarkEnd w:id="28"/>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_GB2312" w:eastAsia="仿宋_GB2312"/>
          <w:color w:val="000000"/>
          <w:kern w:val="2"/>
          <w:sz w:val="32"/>
          <w:szCs w:val="24"/>
          <w:lang w:val="zh-CN"/>
        </w:rPr>
        <w:t>2022年度收、支总计76.2万元。与2021年相比，收、支总计各增加76.2万元，增长0%。主要变动原因是</w:t>
      </w:r>
      <w:r>
        <w:rPr>
          <w:rFonts w:hint="eastAsia" w:ascii="仿宋_GB2312" w:hAnsi="仿宋" w:eastAsia="仿宋_GB2312"/>
          <w:sz w:val="32"/>
          <w:szCs w:val="32"/>
          <w:lang w:val="en-US" w:eastAsia="zh-CN"/>
        </w:rPr>
        <w:t>我校是2022年10月新增单位，无年初预算数。</w:t>
      </w:r>
    </w:p>
    <w:p>
      <w:pPr>
        <w:spacing w:line="600" w:lineRule="exact"/>
        <w:ind w:firstLine="420" w:firstLineChars="200"/>
        <w:rPr>
          <w:rFonts w:ascii="仿宋" w:hAnsi="仿宋" w:eastAsia="仿宋"/>
          <w:color w:val="auto"/>
          <w:sz w:val="32"/>
          <w:szCs w:val="32"/>
          <w:highlight w:val="none"/>
        </w:rPr>
      </w:pPr>
      <w:r>
        <w:drawing>
          <wp:anchor distT="0" distB="0" distL="114300" distR="114300" simplePos="0" relativeHeight="251659264" behindDoc="0" locked="0" layoutInCell="1" allowOverlap="1">
            <wp:simplePos x="0" y="0"/>
            <wp:positionH relativeFrom="column">
              <wp:posOffset>123825</wp:posOffset>
            </wp:positionH>
            <wp:positionV relativeFrom="paragraph">
              <wp:posOffset>187325</wp:posOffset>
            </wp:positionV>
            <wp:extent cx="4959350" cy="3166745"/>
            <wp:effectExtent l="0" t="0" r="12700" b="1460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959350" cy="3166745"/>
                    </a:xfrm>
                    <a:prstGeom prst="rect">
                      <a:avLst/>
                    </a:prstGeom>
                    <a:noFill/>
                    <a:ln>
                      <a:noFill/>
                    </a:ln>
                  </pic:spPr>
                </pic:pic>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5"/>
        <w:numPr>
          <w:ilvl w:val="0"/>
          <w:numId w:val="2"/>
        </w:numPr>
        <w:spacing w:line="600" w:lineRule="exact"/>
        <w:ind w:firstLineChars="0"/>
        <w:outlineLvl w:val="1"/>
        <w:rPr>
          <w:rStyle w:val="27"/>
          <w:rFonts w:ascii="黑体" w:hAnsi="黑体" w:eastAsia="黑体"/>
          <w:b w:val="0"/>
          <w:color w:val="auto"/>
          <w:highlight w:val="none"/>
        </w:rPr>
      </w:pPr>
      <w:bookmarkStart w:id="29" w:name="_Toc15377206"/>
      <w:bookmarkStart w:id="30" w:name="_Toc15523"/>
      <w:bookmarkStart w:id="31" w:name="_Toc15396604"/>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入决算情况说明</w:t>
      </w:r>
      <w:bookmarkEnd w:id="29"/>
      <w:bookmarkEnd w:id="30"/>
      <w:bookmarkEnd w:id="31"/>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本年收入合计76.2万元，其中：一般公共预算财政拨款收入53.03万元，占69.6%；政府性基金预算财政拨款收入0万元，占0%；国有资本经营预算财政拨款收入0万元，占0%；上级补助收入0万元，占0%；事业收入0万元，占0%；经营收入0万元，占0%；附属单位上缴收入0万元，占0%；其他收入23.17万元，占30.4%。</w:t>
      </w:r>
    </w:p>
    <w:p>
      <w:pPr>
        <w:spacing w:line="600" w:lineRule="exact"/>
        <w:ind w:firstLine="420" w:firstLineChars="200"/>
        <w:outlineLvl w:val="1"/>
      </w:pPr>
      <w:bookmarkStart w:id="32" w:name="_Toc20461"/>
      <w:r>
        <w:drawing>
          <wp:anchor distT="0" distB="0" distL="114300" distR="114300" simplePos="0" relativeHeight="251660288" behindDoc="0" locked="0" layoutInCell="1" allowOverlap="1">
            <wp:simplePos x="0" y="0"/>
            <wp:positionH relativeFrom="column">
              <wp:posOffset>257175</wp:posOffset>
            </wp:positionH>
            <wp:positionV relativeFrom="paragraph">
              <wp:posOffset>714375</wp:posOffset>
            </wp:positionV>
            <wp:extent cx="5208270" cy="3555365"/>
            <wp:effectExtent l="0" t="0" r="11430" b="698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08270" cy="3555365"/>
                    </a:xfrm>
                    <a:prstGeom prst="rect">
                      <a:avLst/>
                    </a:prstGeom>
                    <a:noFill/>
                    <a:ln>
                      <a:noFill/>
                    </a:ln>
                  </pic:spPr>
                </pic:pic>
              </a:graphicData>
            </a:graphic>
          </wp:anchor>
        </w:drawing>
      </w: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01表</w:t>
      </w:r>
      <w:r>
        <w:rPr>
          <w:rFonts w:hint="eastAsia" w:ascii="仿宋" w:hAnsi="仿宋" w:eastAsia="仿宋"/>
          <w:b/>
          <w:color w:val="auto"/>
          <w:sz w:val="32"/>
          <w:szCs w:val="32"/>
          <w:highlight w:val="none"/>
          <w:lang w:eastAsia="zh-CN"/>
        </w:rPr>
        <w:t>，仅罗列本单位涉及的收入。</w:t>
      </w:r>
      <w:r>
        <w:rPr>
          <w:rFonts w:ascii="仿宋" w:hAnsi="仿宋" w:eastAsia="仿宋"/>
          <w:b/>
          <w:color w:val="auto"/>
          <w:sz w:val="32"/>
          <w:szCs w:val="32"/>
          <w:highlight w:val="none"/>
        </w:rPr>
        <w:t>）</w:t>
      </w:r>
      <w:bookmarkEnd w:id="32"/>
    </w:p>
    <w:p>
      <w:pPr>
        <w:spacing w:line="600" w:lineRule="exact"/>
        <w:ind w:left="1378" w:leftChars="504" w:hanging="320" w:hangingChars="100"/>
        <w:rPr>
          <w:rFonts w:hint="eastAsia" w:ascii="仿宋" w:hAnsi="仿宋" w:eastAsia="仿宋"/>
          <w:color w:val="auto"/>
          <w:sz w:val="32"/>
          <w:szCs w:val="32"/>
          <w:highlight w:val="none"/>
        </w:rPr>
      </w:pPr>
    </w:p>
    <w:p>
      <w:pPr>
        <w:spacing w:line="600" w:lineRule="exact"/>
        <w:ind w:left="1378" w:leftChars="504" w:hanging="320" w:hangingChars="1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5"/>
        <w:numPr>
          <w:ilvl w:val="0"/>
          <w:numId w:val="2"/>
        </w:numPr>
        <w:spacing w:line="600" w:lineRule="exact"/>
        <w:ind w:firstLineChars="0"/>
        <w:outlineLvl w:val="1"/>
        <w:rPr>
          <w:rStyle w:val="27"/>
          <w:rFonts w:ascii="黑体" w:hAnsi="黑体" w:eastAsia="黑体"/>
          <w:b w:val="0"/>
          <w:color w:val="auto"/>
          <w:highlight w:val="none"/>
        </w:rPr>
      </w:pPr>
      <w:bookmarkStart w:id="33" w:name="_Toc13341"/>
      <w:bookmarkStart w:id="34" w:name="_Toc15396605"/>
      <w:bookmarkStart w:id="35" w:name="_Toc15377207"/>
      <w:r>
        <w:rPr>
          <w:rFonts w:hint="eastAsia" w:ascii="黑体" w:hAnsi="黑体" w:eastAsia="黑体"/>
          <w:color w:val="auto"/>
          <w:sz w:val="32"/>
          <w:szCs w:val="32"/>
          <w:highlight w:val="none"/>
        </w:rPr>
        <w:t>支</w:t>
      </w:r>
      <w:r>
        <w:rPr>
          <w:rStyle w:val="27"/>
          <w:rFonts w:hint="eastAsia" w:ascii="黑体" w:hAnsi="黑体" w:eastAsia="黑体"/>
          <w:b w:val="0"/>
          <w:color w:val="auto"/>
          <w:highlight w:val="none"/>
        </w:rPr>
        <w:t>出决算情况说明</w:t>
      </w:r>
      <w:bookmarkEnd w:id="33"/>
      <w:bookmarkEnd w:id="34"/>
      <w:bookmarkEnd w:id="35"/>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2022年本年支出合计69.42万元，其中：基本支出15.76万元，占22.7%；项目支出53.65万元，占77.3%；上缴上级支出0万元，占0%；经营支出0万元，占0%；对附属单位补助支出0万元，占0%。</w:t>
      </w:r>
    </w:p>
    <w:p>
      <w:pPr>
        <w:spacing w:line="600" w:lineRule="exact"/>
        <w:ind w:firstLine="643" w:firstLineChars="200"/>
        <w:outlineLvl w:val="1"/>
        <w:rPr>
          <w:rFonts w:ascii="仿宋" w:hAnsi="仿宋" w:eastAsia="仿宋"/>
          <w:b/>
          <w:color w:val="auto"/>
          <w:sz w:val="32"/>
          <w:szCs w:val="32"/>
          <w:highlight w:val="none"/>
        </w:rPr>
      </w:pPr>
      <w:bookmarkStart w:id="36" w:name="_Toc15895"/>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04</w:t>
      </w:r>
      <w:r>
        <w:rPr>
          <w:rFonts w:hint="eastAsia" w:ascii="仿宋" w:hAnsi="仿宋" w:eastAsia="仿宋"/>
          <w:b/>
          <w:color w:val="auto"/>
          <w:sz w:val="32"/>
          <w:szCs w:val="32"/>
          <w:highlight w:val="none"/>
        </w:rPr>
        <w:t>表</w:t>
      </w:r>
      <w:r>
        <w:rPr>
          <w:rFonts w:hint="eastAsia" w:ascii="仿宋" w:hAnsi="仿宋" w:eastAsia="仿宋"/>
          <w:b/>
          <w:color w:val="auto"/>
          <w:sz w:val="32"/>
          <w:szCs w:val="32"/>
          <w:highlight w:val="none"/>
          <w:lang w:eastAsia="zh-CN"/>
        </w:rPr>
        <w:t>，仅罗列本单位涉及的支出。</w:t>
      </w:r>
      <w:r>
        <w:rPr>
          <w:rFonts w:hint="eastAsia" w:ascii="仿宋" w:hAnsi="仿宋" w:eastAsia="仿宋"/>
          <w:b/>
          <w:color w:val="auto"/>
          <w:sz w:val="32"/>
          <w:szCs w:val="32"/>
          <w:highlight w:val="none"/>
        </w:rPr>
        <w:t>）</w:t>
      </w:r>
      <w:bookmarkEnd w:id="36"/>
    </w:p>
    <w:p>
      <w:pPr>
        <w:spacing w:line="600" w:lineRule="exact"/>
        <w:ind w:firstLine="640"/>
        <w:rPr>
          <w:rFonts w:ascii="仿宋" w:hAnsi="仿宋" w:eastAsia="仿宋"/>
          <w:color w:val="auto"/>
          <w:sz w:val="32"/>
          <w:szCs w:val="32"/>
          <w:highlight w:val="none"/>
          <w:shd w:val="pct10" w:color="auto" w:fill="FFFFFF"/>
        </w:rPr>
      </w:pPr>
    </w:p>
    <w:p>
      <w:pPr>
        <w:pStyle w:val="13"/>
        <w:rPr>
          <w:rFonts w:ascii="仿宋" w:hAnsi="仿宋" w:eastAsia="仿宋"/>
          <w:color w:val="auto"/>
          <w:sz w:val="32"/>
          <w:szCs w:val="32"/>
          <w:highlight w:val="none"/>
          <w:shd w:val="pct10" w:color="auto" w:fill="FFFFFF"/>
        </w:rPr>
      </w:pPr>
      <w:r>
        <w:drawing>
          <wp:inline distT="0" distB="0" distL="114300" distR="114300">
            <wp:extent cx="4909185" cy="3104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909185" cy="3104515"/>
                    </a:xfrm>
                    <a:prstGeom prst="rect">
                      <a:avLst/>
                    </a:prstGeom>
                    <a:noFill/>
                    <a:ln>
                      <a:noFill/>
                    </a:ln>
                  </pic:spPr>
                </pic:pic>
              </a:graphicData>
            </a:graphic>
          </wp:inline>
        </w:drawing>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7"/>
          <w:rFonts w:ascii="黑体" w:hAnsi="黑体" w:eastAsia="黑体"/>
          <w:b w:val="0"/>
          <w:color w:val="auto"/>
          <w:highlight w:val="none"/>
        </w:rPr>
      </w:pPr>
      <w:bookmarkStart w:id="37" w:name="_Toc15396606"/>
      <w:bookmarkStart w:id="38" w:name="_Toc15377208"/>
      <w:bookmarkStart w:id="39" w:name="_Toc2681"/>
      <w:r>
        <w:rPr>
          <w:rFonts w:hint="eastAsia" w:ascii="黑体" w:hAnsi="黑体" w:eastAsia="黑体"/>
          <w:color w:val="auto"/>
          <w:sz w:val="32"/>
          <w:szCs w:val="32"/>
          <w:highlight w:val="none"/>
        </w:rPr>
        <w:t>四、财</w:t>
      </w:r>
      <w:r>
        <w:rPr>
          <w:rStyle w:val="27"/>
          <w:rFonts w:hint="eastAsia" w:ascii="黑体" w:hAnsi="黑体" w:eastAsia="黑体"/>
          <w:b w:val="0"/>
          <w:color w:val="auto"/>
          <w:highlight w:val="none"/>
        </w:rPr>
        <w:t>政拨款收入支出决算总体情况说明</w:t>
      </w:r>
      <w:bookmarkEnd w:id="37"/>
      <w:bookmarkEnd w:id="38"/>
      <w:bookmarkEnd w:id="39"/>
    </w:p>
    <w:p>
      <w:pPr>
        <w:spacing w:beforeLines="0" w:afterLines="0" w:line="576" w:lineRule="exact"/>
        <w:ind w:firstLine="640"/>
        <w:jc w:val="both"/>
        <w:rPr>
          <w:rFonts w:ascii="仿宋" w:hAnsi="仿宋" w:eastAsia="仿宋"/>
          <w:color w:val="auto"/>
          <w:sz w:val="32"/>
          <w:szCs w:val="32"/>
          <w:highlight w:val="none"/>
        </w:rPr>
      </w:pPr>
      <w:r>
        <w:rPr>
          <w:rFonts w:hint="eastAsia" w:ascii="仿宋_GB2312" w:hAnsi="仿宋_GB2312" w:eastAsia="仿宋_GB2312"/>
          <w:color w:val="000000"/>
          <w:kern w:val="2"/>
          <w:sz w:val="32"/>
          <w:szCs w:val="24"/>
          <w:lang w:val="zh-CN"/>
        </w:rPr>
        <w:t>2022年财政拨款收、支总计53.03万元。与2021年相比，财政拨款收、支总计各增加53.03万元，增长0%。主要变动原因是</w:t>
      </w:r>
      <w:r>
        <w:rPr>
          <w:rFonts w:hint="eastAsia" w:ascii="仿宋_GB2312" w:hAnsi="仿宋" w:eastAsia="仿宋_GB2312"/>
          <w:sz w:val="32"/>
          <w:szCs w:val="32"/>
          <w:lang w:val="en-US" w:eastAsia="zh-CN"/>
        </w:rPr>
        <w:t>我校是2022年10月新增单位，无年初预算数</w:t>
      </w:r>
      <w:r>
        <w:rPr>
          <w:rFonts w:hint="eastAsia" w:ascii="仿宋_GB2312" w:hAnsi="仿宋_GB2312" w:eastAsia="仿宋_GB2312"/>
          <w:color w:val="000000"/>
          <w:kern w:val="2"/>
          <w:sz w:val="32"/>
          <w:szCs w:val="24"/>
          <w:lang w:val="zh-CN"/>
        </w:rPr>
        <w:t>。</w:t>
      </w:r>
    </w:p>
    <w:p>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01-1</w:t>
      </w:r>
      <w:r>
        <w:rPr>
          <w:rFonts w:hint="eastAsia" w:ascii="仿宋" w:hAnsi="仿宋" w:eastAsia="仿宋"/>
          <w:b/>
          <w:color w:val="auto"/>
          <w:sz w:val="32"/>
          <w:szCs w:val="32"/>
          <w:highlight w:val="none"/>
        </w:rPr>
        <w:t>表</w:t>
      </w:r>
      <w:r>
        <w:rPr>
          <w:rFonts w:ascii="仿宋" w:hAnsi="仿宋" w:eastAsia="仿宋"/>
          <w:b/>
          <w:color w:val="auto"/>
          <w:sz w:val="32"/>
          <w:szCs w:val="32"/>
          <w:highlight w:val="none"/>
        </w:rPr>
        <w:t>）</w:t>
      </w:r>
    </w:p>
    <w:p>
      <w:pPr>
        <w:spacing w:line="600" w:lineRule="exact"/>
        <w:rPr>
          <w:rFonts w:ascii="仿宋" w:hAnsi="仿宋" w:eastAsia="仿宋"/>
          <w:color w:val="auto"/>
          <w:sz w:val="32"/>
          <w:szCs w:val="32"/>
          <w:highlight w:val="none"/>
        </w:rPr>
      </w:pP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1312" behindDoc="0" locked="0" layoutInCell="1" allowOverlap="1">
            <wp:simplePos x="0" y="0"/>
            <wp:positionH relativeFrom="column">
              <wp:posOffset>314325</wp:posOffset>
            </wp:positionH>
            <wp:positionV relativeFrom="paragraph">
              <wp:posOffset>409575</wp:posOffset>
            </wp:positionV>
            <wp:extent cx="4848860" cy="2813050"/>
            <wp:effectExtent l="0" t="0" r="8890" b="635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848860" cy="2813050"/>
                    </a:xfrm>
                    <a:prstGeom prst="rect">
                      <a:avLst/>
                    </a:prstGeom>
                    <a:noFill/>
                    <a:ln>
                      <a:noFill/>
                    </a:ln>
                  </pic:spPr>
                </pic:pic>
              </a:graphicData>
            </a:graphic>
          </wp:anchor>
        </w:drawing>
      </w: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7"/>
          <w:rFonts w:ascii="黑体" w:hAnsi="黑体" w:eastAsia="黑体"/>
          <w:b w:val="0"/>
          <w:color w:val="auto"/>
          <w:highlight w:val="none"/>
        </w:rPr>
      </w:pPr>
      <w:bookmarkStart w:id="40" w:name="_Toc15377209"/>
      <w:bookmarkStart w:id="41" w:name="_Toc15396607"/>
      <w:bookmarkStart w:id="42" w:name="_Toc3189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般公共预算财政拨款支出决算情况说明</w:t>
      </w:r>
      <w:bookmarkEnd w:id="40"/>
      <w:bookmarkEnd w:id="41"/>
      <w:bookmarkEnd w:id="42"/>
    </w:p>
    <w:p>
      <w:pPr>
        <w:spacing w:line="600" w:lineRule="exact"/>
        <w:ind w:firstLine="643" w:firstLineChars="200"/>
        <w:outlineLvl w:val="2"/>
        <w:rPr>
          <w:rFonts w:ascii="仿宋" w:hAnsi="仿宋" w:eastAsia="仿宋"/>
          <w:b/>
          <w:color w:val="auto"/>
          <w:sz w:val="32"/>
          <w:szCs w:val="32"/>
          <w:highlight w:val="none"/>
        </w:rPr>
      </w:pPr>
      <w:bookmarkStart w:id="43" w:name="_Toc15377210"/>
      <w:r>
        <w:rPr>
          <w:rFonts w:hint="eastAsia" w:ascii="仿宋" w:hAnsi="仿宋" w:eastAsia="仿宋"/>
          <w:b/>
          <w:color w:val="auto"/>
          <w:sz w:val="32"/>
          <w:szCs w:val="32"/>
          <w:highlight w:val="none"/>
        </w:rPr>
        <w:t>（一）一般公共预算财政拨款支出决算总体情况</w:t>
      </w:r>
      <w:bookmarkEnd w:id="43"/>
    </w:p>
    <w:p>
      <w:pPr>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2022年财政拨款收、支总计53.03万元。与2021年相比，财政拨款收、支总计各增加53.03万元，增长0%。主要变动原因是</w:t>
      </w:r>
      <w:r>
        <w:rPr>
          <w:rFonts w:hint="eastAsia" w:ascii="仿宋_GB2312" w:hAnsi="仿宋" w:eastAsia="仿宋_GB2312"/>
          <w:sz w:val="32"/>
          <w:szCs w:val="32"/>
          <w:lang w:val="en-US" w:eastAsia="zh-CN"/>
        </w:rPr>
        <w:t>我校是2022年10月新增单位，无年初预算数</w:t>
      </w:r>
      <w:r>
        <w:rPr>
          <w:rFonts w:hint="eastAsia" w:ascii="仿宋_GB2312" w:hAnsi="仿宋_GB2312" w:eastAsia="仿宋_GB2312"/>
          <w:color w:val="000000"/>
          <w:kern w:val="2"/>
          <w:sz w:val="32"/>
          <w:szCs w:val="24"/>
          <w:lang w:val="zh-CN"/>
        </w:rPr>
        <w:t>。</w:t>
      </w:r>
    </w:p>
    <w:p>
      <w:pPr>
        <w:spacing w:line="600" w:lineRule="exact"/>
        <w:ind w:firstLine="640" w:firstLineChars="200"/>
        <w:rPr>
          <w:rFonts w:ascii="仿宋" w:hAnsi="仿宋" w:eastAsia="仿宋"/>
          <w:color w:val="auto"/>
          <w:sz w:val="32"/>
          <w:szCs w:val="32"/>
          <w:highlight w:val="none"/>
        </w:rPr>
      </w:pPr>
    </w:p>
    <w:p>
      <w:pPr>
        <w:pStyle w:val="13"/>
        <w:ind w:left="0" w:leftChars="0" w:firstLine="0" w:firstLineChars="0"/>
        <w:rPr>
          <w:rFonts w:ascii="仿宋" w:hAnsi="仿宋" w:eastAsia="仿宋"/>
          <w:color w:val="auto"/>
          <w:sz w:val="32"/>
          <w:szCs w:val="32"/>
          <w:highlight w:val="none"/>
        </w:rPr>
      </w:pPr>
      <w:r>
        <w:drawing>
          <wp:inline distT="0" distB="0" distL="114300" distR="114300">
            <wp:extent cx="5266690" cy="3040380"/>
            <wp:effectExtent l="0" t="0" r="1016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266690" cy="3040380"/>
                    </a:xfrm>
                    <a:prstGeom prst="rect">
                      <a:avLst/>
                    </a:prstGeom>
                    <a:noFill/>
                    <a:ln>
                      <a:noFill/>
                    </a:ln>
                  </pic:spPr>
                </pic:pic>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44" w:name="_Toc15377211"/>
      <w:r>
        <w:rPr>
          <w:rFonts w:hint="eastAsia" w:ascii="仿宋" w:hAnsi="仿宋" w:eastAsia="仿宋"/>
          <w:b/>
          <w:color w:val="auto"/>
          <w:sz w:val="32"/>
          <w:szCs w:val="32"/>
          <w:highlight w:val="none"/>
        </w:rPr>
        <w:t>（二）一般公共预算财政拨款支出决算结构情况</w:t>
      </w:r>
      <w:bookmarkEnd w:id="44"/>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2022年一般公共预算财政拨款支出53.03万元，主要用于以下方面: 一般公共服务支出0万元，占0%；外交支出0万元，占0%；国防支出0万元，占0%；公共安全支出0万元，占0%；教育支出49.13万元，占92.6%；科学技术支出0万元，占0%；文化体育与传媒支出0万元，占0%；社会保障和就业支出2万元，占3.8%；卫生健康支出0.34万元，占0.6%；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1.56万元，占2.9%；粮油物资储备支出0万元，占0%；国有资本经营预算支出0万元，占0%；灾害防治及应急管理支出0万元，占0%；其他支出0万元，占0%；债务还本支出0万元，占0%；债务付息支出0万元，占0%；抗疫特别国债安排的支出0万元，占0%。</w:t>
      </w:r>
    </w:p>
    <w:p>
      <w:pPr>
        <w:spacing w:line="600" w:lineRule="exact"/>
        <w:ind w:firstLine="640"/>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注：数据来源于财决</w:t>
      </w:r>
      <w:r>
        <w:rPr>
          <w:rFonts w:hint="eastAsia" w:ascii="仿宋" w:hAnsi="仿宋" w:eastAsia="仿宋"/>
          <w:b/>
          <w:color w:val="auto"/>
          <w:sz w:val="32"/>
          <w:szCs w:val="32"/>
          <w:highlight w:val="none"/>
          <w:lang w:val="en-US" w:eastAsia="zh-CN"/>
        </w:rPr>
        <w:t>01-1表，仅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本单位涉及的</w:t>
      </w:r>
      <w:r>
        <w:rPr>
          <w:rFonts w:hint="eastAsia" w:ascii="仿宋" w:hAnsi="仿宋" w:eastAsia="仿宋"/>
          <w:b/>
          <w:color w:val="auto"/>
          <w:sz w:val="32"/>
          <w:szCs w:val="32"/>
          <w:highlight w:val="none"/>
        </w:rPr>
        <w:t>全部功能分类科目，至类级。）</w:t>
      </w:r>
    </w:p>
    <w:p>
      <w:pPr>
        <w:spacing w:line="600" w:lineRule="exact"/>
        <w:ind w:firstLine="640"/>
        <w:rPr>
          <w:rFonts w:ascii="仿宋" w:hAnsi="仿宋" w:eastAsia="仿宋"/>
          <w:color w:val="auto"/>
          <w:sz w:val="32"/>
          <w:szCs w:val="32"/>
          <w:highlight w:val="none"/>
        </w:rPr>
      </w:pPr>
    </w:p>
    <w:p>
      <w:pPr>
        <w:pStyle w:val="13"/>
        <w:rPr>
          <w:rFonts w:ascii="仿宋" w:hAnsi="仿宋" w:eastAsia="仿宋"/>
          <w:color w:val="auto"/>
          <w:sz w:val="32"/>
          <w:szCs w:val="32"/>
          <w:highlight w:val="none"/>
        </w:rPr>
      </w:pPr>
    </w:p>
    <w:p>
      <w:pPr>
        <w:pStyle w:val="13"/>
        <w:rPr>
          <w:rFonts w:ascii="仿宋" w:hAnsi="仿宋" w:eastAsia="仿宋"/>
          <w:color w:val="auto"/>
          <w:sz w:val="32"/>
          <w:szCs w:val="32"/>
          <w:highlight w:val="none"/>
        </w:rPr>
      </w:pPr>
    </w:p>
    <w:p>
      <w:pPr>
        <w:pStyle w:val="13"/>
        <w:rPr>
          <w:rFonts w:ascii="仿宋" w:hAnsi="仿宋" w:eastAsia="仿宋"/>
          <w:color w:val="auto"/>
          <w:sz w:val="32"/>
          <w:szCs w:val="32"/>
          <w:highlight w:val="none"/>
        </w:rPr>
      </w:pPr>
    </w:p>
    <w:p>
      <w:pPr>
        <w:pStyle w:val="13"/>
        <w:rPr>
          <w:rFonts w:ascii="仿宋" w:hAnsi="仿宋" w:eastAsia="仿宋"/>
          <w:color w:val="auto"/>
          <w:sz w:val="32"/>
          <w:szCs w:val="32"/>
          <w:highlight w:val="none"/>
        </w:rPr>
      </w:pPr>
    </w:p>
    <w:p>
      <w:pPr>
        <w:pStyle w:val="13"/>
        <w:ind w:left="0" w:leftChars="0" w:firstLine="0" w:firstLineChars="0"/>
        <w:rPr>
          <w:rFonts w:ascii="仿宋" w:hAnsi="仿宋" w:eastAsia="仿宋"/>
          <w:color w:val="auto"/>
          <w:sz w:val="32"/>
          <w:szCs w:val="32"/>
          <w:highlight w:val="none"/>
        </w:rPr>
      </w:pPr>
      <w:r>
        <w:drawing>
          <wp:inline distT="0" distB="0" distL="114300" distR="114300">
            <wp:extent cx="5268595" cy="3647440"/>
            <wp:effectExtent l="0" t="0" r="825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68595" cy="3647440"/>
                    </a:xfrm>
                    <a:prstGeom prst="rect">
                      <a:avLst/>
                    </a:prstGeom>
                    <a:noFill/>
                    <a:ln>
                      <a:noFill/>
                    </a:ln>
                  </pic:spPr>
                </pic:pic>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45" w:name="_Toc15377212"/>
      <w:r>
        <w:rPr>
          <w:rFonts w:hint="eastAsia" w:ascii="仿宋" w:hAnsi="仿宋" w:eastAsia="仿宋"/>
          <w:b/>
          <w:color w:val="auto"/>
          <w:sz w:val="32"/>
          <w:szCs w:val="32"/>
          <w:highlight w:val="none"/>
        </w:rPr>
        <w:t>（三）一般公共预算财政拨款支出决算具体情况</w:t>
      </w:r>
      <w:bookmarkEnd w:id="45"/>
    </w:p>
    <w:p>
      <w:pPr>
        <w:spacing w:line="600" w:lineRule="exact"/>
        <w:ind w:firstLine="643" w:firstLineChars="200"/>
        <w:outlineLvl w:val="1"/>
        <w:rPr>
          <w:rFonts w:ascii="仿宋" w:hAnsi="仿宋" w:eastAsia="仿宋"/>
          <w:color w:val="auto"/>
          <w:sz w:val="32"/>
          <w:szCs w:val="32"/>
          <w:highlight w:val="none"/>
        </w:rPr>
      </w:pPr>
      <w:bookmarkStart w:id="46" w:name="_Toc15377444"/>
      <w:bookmarkStart w:id="47" w:name="_Toc15378460"/>
      <w:bookmarkStart w:id="48" w:name="_Toc15377213"/>
      <w:bookmarkStart w:id="49" w:name="_Toc7668"/>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_GB2312" w:hAnsi="Times New Roman" w:eastAsia="仿宋_GB2312" w:cs="仿宋_GB2312"/>
          <w:b/>
          <w:color w:val="000000"/>
          <w:kern w:val="2"/>
          <w:sz w:val="32"/>
          <w:szCs w:val="32"/>
          <w:lang w:val="zh-CN"/>
        </w:rPr>
        <w:t>53.03万元</w:t>
      </w:r>
      <w:r>
        <w:rPr>
          <w:rFonts w:hint="eastAsia" w:ascii="仿宋" w:hAnsi="仿宋" w:eastAsia="仿宋"/>
          <w:color w:val="auto"/>
          <w:sz w:val="32"/>
          <w:szCs w:val="32"/>
          <w:highlight w:val="none"/>
        </w:rPr>
        <w:t>，</w:t>
      </w:r>
      <w:r>
        <w:rPr>
          <w:rStyle w:val="16"/>
          <w:rFonts w:hint="eastAsia" w:ascii="仿宋" w:hAnsi="仿宋" w:eastAsia="仿宋"/>
          <w:bCs/>
          <w:color w:val="auto"/>
          <w:sz w:val="32"/>
          <w:szCs w:val="32"/>
          <w:highlight w:val="none"/>
        </w:rPr>
        <w:t>完成预算</w:t>
      </w:r>
      <w:r>
        <w:rPr>
          <w:rStyle w:val="16"/>
          <w:rFonts w:hint="eastAsia" w:ascii="仿宋" w:hAnsi="仿宋" w:eastAsia="仿宋"/>
          <w:bCs/>
          <w:color w:val="auto"/>
          <w:sz w:val="32"/>
          <w:szCs w:val="32"/>
          <w:highlight w:val="none"/>
          <w:lang w:val="en-US" w:eastAsia="zh-CN"/>
        </w:rPr>
        <w:t>100</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。其中：</w:t>
      </w:r>
      <w:bookmarkEnd w:id="46"/>
      <w:bookmarkEnd w:id="47"/>
      <w:bookmarkEnd w:id="48"/>
      <w:bookmarkEnd w:id="49"/>
      <w:bookmarkStart w:id="105" w:name="_GoBack"/>
      <w:bookmarkEnd w:id="105"/>
    </w:p>
    <w:p>
      <w:pPr>
        <w:numPr>
          <w:ilvl w:val="0"/>
          <w:numId w:val="0"/>
        </w:numPr>
        <w:spacing w:line="600" w:lineRule="exact"/>
        <w:ind w:firstLine="643" w:firstLineChars="200"/>
        <w:rPr>
          <w:rStyle w:val="16"/>
          <w:rFonts w:hint="eastAsia" w:ascii="仿宋" w:hAnsi="仿宋" w:eastAsia="仿宋"/>
          <w:b w:val="0"/>
          <w:bCs/>
          <w:color w:val="auto"/>
          <w:sz w:val="32"/>
          <w:szCs w:val="32"/>
          <w:highlight w:val="none"/>
          <w:lang w:val="en-US" w:eastAsia="zh-CN"/>
        </w:rPr>
      </w:pPr>
      <w:r>
        <w:rPr>
          <w:rStyle w:val="16"/>
          <w:rFonts w:hint="eastAsia" w:ascii="仿宋" w:hAnsi="仿宋" w:eastAsia="仿宋"/>
          <w:bCs/>
          <w:color w:val="auto"/>
          <w:sz w:val="32"/>
          <w:szCs w:val="32"/>
          <w:highlight w:val="none"/>
          <w:lang w:val="en-US" w:eastAsia="zh-CN"/>
        </w:rPr>
        <w:t>1.</w:t>
      </w:r>
      <w:r>
        <w:rPr>
          <w:rStyle w:val="16"/>
          <w:rFonts w:hint="eastAsia" w:ascii="仿宋" w:hAnsi="仿宋" w:eastAsia="仿宋"/>
          <w:bCs/>
          <w:color w:val="auto"/>
          <w:sz w:val="32"/>
          <w:szCs w:val="32"/>
          <w:highlight w:val="none"/>
        </w:rPr>
        <w:t>教育（类）普通教育（款）小学教育（项）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49.12</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r>
        <w:rPr>
          <w:rStyle w:val="16"/>
          <w:rFonts w:hint="eastAsia" w:ascii="仿宋" w:hAnsi="仿宋" w:eastAsia="仿宋"/>
          <w:b w:val="0"/>
          <w:bCs/>
          <w:color w:val="auto"/>
          <w:sz w:val="32"/>
          <w:szCs w:val="32"/>
          <w:highlight w:val="none"/>
          <w:lang w:val="en-US" w:eastAsia="zh-CN"/>
        </w:rPr>
        <w:t>.</w:t>
      </w:r>
    </w:p>
    <w:p>
      <w:pPr>
        <w:spacing w:line="600" w:lineRule="exact"/>
        <w:ind w:firstLine="643" w:firstLineChars="200"/>
        <w:rPr>
          <w:rStyle w:val="16"/>
          <w:rFonts w:hint="eastAsia" w:ascii="仿宋" w:hAnsi="仿宋" w:eastAsia="仿宋"/>
          <w:b w:val="0"/>
          <w:bCs/>
          <w:color w:val="auto"/>
          <w:sz w:val="32"/>
          <w:szCs w:val="32"/>
          <w:highlight w:val="none"/>
          <w:lang w:eastAsia="zh-CN"/>
        </w:rPr>
      </w:pPr>
      <w:r>
        <w:rPr>
          <w:rStyle w:val="16"/>
          <w:rFonts w:hint="eastAsia" w:ascii="仿宋" w:hAnsi="仿宋" w:eastAsia="仿宋"/>
          <w:bCs/>
          <w:color w:val="auto"/>
          <w:sz w:val="32"/>
          <w:szCs w:val="32"/>
          <w:highlight w:val="none"/>
          <w:lang w:val="en-US" w:eastAsia="zh-CN"/>
        </w:rPr>
        <w:t>2</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社会保障和就业（类）行政事业单位养老支出（款） 机关事业单位基本养老保险缴费支出（项）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1.37</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r>
        <w:rPr>
          <w:rStyle w:val="16"/>
          <w:rFonts w:hint="eastAsia" w:ascii="仿宋" w:hAnsi="仿宋" w:eastAsia="仿宋"/>
          <w:b w:val="0"/>
          <w:bCs/>
          <w:color w:val="auto"/>
          <w:sz w:val="32"/>
          <w:szCs w:val="32"/>
          <w:highlight w:val="none"/>
          <w:lang w:eastAsia="zh-CN"/>
        </w:rPr>
        <w:t>。</w:t>
      </w:r>
    </w:p>
    <w:p>
      <w:pPr>
        <w:pStyle w:val="13"/>
        <w:ind w:left="0" w:leftChars="0" w:firstLine="643" w:firstLineChars="200"/>
        <w:rPr>
          <w:rFonts w:hint="eastAsia"/>
          <w:lang w:eastAsia="zh-CN"/>
        </w:rPr>
      </w:pPr>
      <w:r>
        <w:rPr>
          <w:rStyle w:val="16"/>
          <w:rFonts w:hint="eastAsia" w:ascii="仿宋" w:hAnsi="仿宋" w:eastAsia="仿宋"/>
          <w:bCs/>
          <w:color w:val="auto"/>
          <w:sz w:val="32"/>
          <w:szCs w:val="32"/>
          <w:highlight w:val="none"/>
          <w:lang w:val="en-US" w:eastAsia="zh-CN"/>
        </w:rPr>
        <w:t>3.</w:t>
      </w:r>
      <w:r>
        <w:rPr>
          <w:rStyle w:val="16"/>
          <w:rFonts w:hint="eastAsia" w:ascii="仿宋" w:hAnsi="仿宋" w:eastAsia="仿宋"/>
          <w:bCs/>
          <w:color w:val="auto"/>
          <w:sz w:val="32"/>
          <w:szCs w:val="32"/>
          <w:highlight w:val="none"/>
        </w:rPr>
        <w:t>社会保障和就业（类）行政事业单位养老支出（款） 机关事业单位职业年金缴费支出（项）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0.64</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r>
        <w:rPr>
          <w:rStyle w:val="16"/>
          <w:rFonts w:hint="eastAsia" w:ascii="仿宋" w:hAnsi="仿宋" w:eastAsia="仿宋"/>
          <w:b w:val="0"/>
          <w:bCs/>
          <w:color w:val="auto"/>
          <w:sz w:val="32"/>
          <w:szCs w:val="32"/>
          <w:highlight w:val="none"/>
          <w:lang w:eastAsia="zh-CN"/>
        </w:rPr>
        <w:t>。</w:t>
      </w:r>
    </w:p>
    <w:p>
      <w:pPr>
        <w:spacing w:line="600" w:lineRule="exact"/>
        <w:ind w:firstLine="643" w:firstLineChars="200"/>
        <w:rPr>
          <w:rFonts w:hint="eastAsia" w:ascii="仿宋" w:hAnsi="仿宋" w:eastAsia="仿宋"/>
          <w:b/>
          <w:color w:val="auto"/>
          <w:sz w:val="32"/>
          <w:szCs w:val="32"/>
          <w:highlight w:val="none"/>
          <w:lang w:val="en-US" w:eastAsia="zh-CN"/>
        </w:rPr>
      </w:pPr>
      <w:r>
        <w:rPr>
          <w:rStyle w:val="16"/>
          <w:rFonts w:ascii="仿宋" w:hAnsi="仿宋" w:eastAsia="仿宋"/>
          <w:bCs/>
          <w:color w:val="auto"/>
          <w:sz w:val="32"/>
          <w:szCs w:val="32"/>
          <w:highlight w:val="none"/>
        </w:rPr>
        <w:t>6.</w:t>
      </w:r>
      <w:r>
        <w:rPr>
          <w:rFonts w:hint="eastAsia" w:ascii="仿宋" w:hAnsi="仿宋" w:eastAsia="仿宋"/>
          <w:b/>
          <w:bCs/>
          <w:color w:val="auto"/>
          <w:sz w:val="32"/>
          <w:szCs w:val="32"/>
          <w:highlight w:val="none"/>
        </w:rPr>
        <w:t>卫生健康</w:t>
      </w:r>
      <w:r>
        <w:rPr>
          <w:rStyle w:val="16"/>
          <w:rFonts w:hint="eastAsia" w:ascii="仿宋" w:hAnsi="仿宋" w:eastAsia="仿宋"/>
          <w:bCs/>
          <w:color w:val="auto"/>
          <w:sz w:val="32"/>
          <w:szCs w:val="32"/>
          <w:highlight w:val="none"/>
        </w:rPr>
        <w:t>（类）行政事业单位医疗（款）事业单位医疗（项）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0.34</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r>
        <w:rPr>
          <w:rStyle w:val="16"/>
          <w:rFonts w:hint="eastAsia" w:ascii="仿宋" w:hAnsi="仿宋" w:eastAsia="仿宋"/>
          <w:b w:val="0"/>
          <w:bCs/>
          <w:color w:val="auto"/>
          <w:sz w:val="32"/>
          <w:szCs w:val="32"/>
          <w:highlight w:val="none"/>
          <w:lang w:eastAsia="zh-CN"/>
        </w:rPr>
        <w:t>。</w:t>
      </w:r>
    </w:p>
    <w:p>
      <w:pPr>
        <w:spacing w:line="600" w:lineRule="exact"/>
        <w:ind w:firstLine="643" w:firstLineChars="200"/>
        <w:rPr>
          <w:rStyle w:val="16"/>
          <w:rFonts w:hint="eastAsia" w:ascii="仿宋" w:hAnsi="仿宋" w:eastAsia="仿宋" w:cstheme="minorBidi"/>
          <w:bCs/>
          <w:color w:val="auto"/>
          <w:sz w:val="32"/>
          <w:szCs w:val="32"/>
          <w:highlight w:val="none"/>
        </w:rPr>
      </w:pPr>
      <w:r>
        <w:rPr>
          <w:rStyle w:val="16"/>
          <w:rFonts w:hint="eastAsia" w:ascii="仿宋" w:hAnsi="仿宋" w:eastAsia="仿宋" w:cstheme="minorBidi"/>
          <w:bCs/>
          <w:color w:val="auto"/>
          <w:sz w:val="32"/>
          <w:szCs w:val="32"/>
          <w:highlight w:val="none"/>
          <w:lang w:val="en-US" w:eastAsia="zh-CN"/>
        </w:rPr>
        <w:t>7</w:t>
      </w:r>
      <w:r>
        <w:rPr>
          <w:rStyle w:val="16"/>
          <w:rFonts w:ascii="仿宋" w:hAnsi="仿宋" w:eastAsia="仿宋" w:cstheme="minorBidi"/>
          <w:bCs/>
          <w:color w:val="auto"/>
          <w:sz w:val="32"/>
          <w:szCs w:val="32"/>
          <w:highlight w:val="none"/>
        </w:rPr>
        <w:t>.</w:t>
      </w:r>
      <w:r>
        <w:rPr>
          <w:rStyle w:val="16"/>
          <w:rFonts w:hint="eastAsia" w:ascii="仿宋" w:hAnsi="仿宋" w:eastAsia="仿宋" w:cstheme="minorBidi"/>
          <w:bCs/>
          <w:color w:val="auto"/>
          <w:sz w:val="32"/>
          <w:szCs w:val="32"/>
          <w:highlight w:val="none"/>
        </w:rPr>
        <w:t>住房保障支出（类）住房改革支出（款）住房公积金（项）</w:t>
      </w:r>
      <w:r>
        <w:rPr>
          <w:rStyle w:val="16"/>
          <w:rFonts w:ascii="仿宋" w:hAnsi="仿宋" w:eastAsia="仿宋" w:cstheme="minorBidi"/>
          <w:bCs/>
          <w:color w:val="auto"/>
          <w:sz w:val="32"/>
          <w:szCs w:val="32"/>
          <w:highlight w:val="none"/>
        </w:rPr>
        <w:t>:</w:t>
      </w:r>
      <w:r>
        <w:rPr>
          <w:rStyle w:val="16"/>
          <w:rFonts w:hint="eastAsia" w:ascii="仿宋" w:hAnsi="仿宋" w:eastAsia="仿宋" w:cstheme="minorBidi"/>
          <w:b w:val="0"/>
          <w:bCs/>
          <w:color w:val="auto"/>
          <w:sz w:val="32"/>
          <w:szCs w:val="32"/>
          <w:highlight w:val="none"/>
          <w:lang w:val="en-US" w:eastAsia="zh-CN"/>
        </w:rPr>
        <w:t>支出决算为1.56万元，完成预算100%，</w:t>
      </w:r>
      <w:r>
        <w:rPr>
          <w:rStyle w:val="16"/>
          <w:rFonts w:hint="eastAsia" w:ascii="仿宋" w:hAnsi="仿宋" w:eastAsia="仿宋"/>
          <w:b w:val="0"/>
          <w:bCs/>
          <w:color w:val="auto"/>
          <w:sz w:val="32"/>
          <w:szCs w:val="32"/>
          <w:highlight w:val="none"/>
        </w:rPr>
        <w:t>决算数等于预算数</w:t>
      </w:r>
      <w:r>
        <w:rPr>
          <w:rStyle w:val="16"/>
          <w:rFonts w:hint="eastAsia" w:ascii="仿宋" w:hAnsi="仿宋" w:eastAsia="仿宋"/>
          <w:b w:val="0"/>
          <w:bCs/>
          <w:color w:val="auto"/>
          <w:sz w:val="32"/>
          <w:szCs w:val="32"/>
          <w:highlight w:val="none"/>
          <w:lang w:eastAsia="zh-CN"/>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1-1表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本单位涉及的</w:t>
      </w:r>
      <w:r>
        <w:rPr>
          <w:rFonts w:hint="eastAsia" w:ascii="仿宋" w:hAnsi="仿宋" w:eastAsia="仿宋"/>
          <w:b/>
          <w:color w:val="auto"/>
          <w:sz w:val="32"/>
          <w:szCs w:val="32"/>
          <w:highlight w:val="none"/>
        </w:rPr>
        <w:t>全部功能分类科目</w:t>
      </w: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至项级。上述“预算”口径为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数。增减变动原因为决算数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和</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比较，与预算数持平可以不写原因。）</w:t>
      </w:r>
    </w:p>
    <w:p>
      <w:pPr>
        <w:spacing w:line="600" w:lineRule="exact"/>
        <w:ind w:firstLine="640"/>
        <w:rPr>
          <w:rFonts w:ascii="仿宋" w:hAnsi="仿宋" w:eastAsia="仿宋"/>
          <w:b/>
          <w:color w:val="auto"/>
          <w:sz w:val="32"/>
          <w:szCs w:val="32"/>
          <w:highlight w:val="none"/>
        </w:rPr>
      </w:pPr>
    </w:p>
    <w:p>
      <w:pPr>
        <w:tabs>
          <w:tab w:val="right" w:pos="8306"/>
        </w:tabs>
        <w:spacing w:line="600" w:lineRule="exact"/>
        <w:ind w:firstLine="640"/>
        <w:outlineLvl w:val="1"/>
        <w:rPr>
          <w:rStyle w:val="27"/>
          <w:color w:val="auto"/>
          <w:highlight w:val="none"/>
        </w:rPr>
      </w:pPr>
      <w:bookmarkStart w:id="50" w:name="_Toc15396608"/>
      <w:bookmarkStart w:id="51" w:name="_Toc6775"/>
      <w:bookmarkStart w:id="52"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般公共预算财政拨款基本支出决算情况说明</w:t>
      </w:r>
      <w:bookmarkEnd w:id="50"/>
      <w:bookmarkEnd w:id="51"/>
      <w:bookmarkEnd w:id="52"/>
      <w:r>
        <w:rPr>
          <w:rStyle w:val="27"/>
          <w:rFonts w:ascii="黑体" w:hAnsi="黑体" w:eastAsia="黑体"/>
          <w:b w:val="0"/>
          <w:color w:val="auto"/>
          <w:highlight w:val="none"/>
        </w:rPr>
        <w:tab/>
      </w:r>
    </w:p>
    <w:p>
      <w:pPr>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2022年一般公共预算财政拨款基本支出15.76万元，其中：</w:t>
      </w:r>
    </w:p>
    <w:p>
      <w:pPr>
        <w:spacing w:beforeLines="0" w:afterLines="0" w:line="576" w:lineRule="exact"/>
        <w:ind w:firstLine="643"/>
        <w:jc w:val="both"/>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人员经费</w:t>
      </w:r>
      <w:r>
        <w:rPr>
          <w:rFonts w:hint="eastAsia" w:ascii="仿宋_GB2312" w:hAnsi="仿宋_GB2312" w:eastAsia="仿宋_GB2312"/>
          <w:color w:val="000000"/>
          <w:kern w:val="2"/>
          <w:sz w:val="32"/>
          <w:szCs w:val="24"/>
          <w:lang w:val="zh-CN"/>
        </w:rPr>
        <w:t>15.76万元，主要包括：</w:t>
      </w:r>
      <w:r>
        <w:rPr>
          <w:rFonts w:hint="eastAsia" w:ascii="仿宋" w:hAnsi="仿宋" w:eastAsia="仿宋"/>
          <w:color w:val="auto"/>
          <w:kern w:val="2"/>
          <w:sz w:val="32"/>
          <w:szCs w:val="24"/>
          <w:lang w:val="en-US"/>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仿宋_GB2312" w:hAnsi="仿宋_GB2312" w:eastAsia="仿宋_GB2312"/>
          <w:color w:val="000000"/>
          <w:kern w:val="2"/>
          <w:sz w:val="32"/>
          <w:szCs w:val="24"/>
          <w:lang w:val="zh-CN"/>
        </w:rPr>
        <w:t>。</w:t>
      </w:r>
    </w:p>
    <w:p>
      <w:pPr>
        <w:spacing w:line="600" w:lineRule="exact"/>
        <w:ind w:firstLine="645"/>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公用经费</w:t>
      </w:r>
      <w:r>
        <w:rPr>
          <w:rFonts w:hint="eastAsia" w:ascii="仿宋_GB2312" w:hAnsi="仿宋_GB2312" w:eastAsia="仿宋_GB2312"/>
          <w:color w:val="000000"/>
          <w:kern w:val="2"/>
          <w:sz w:val="32"/>
          <w:szCs w:val="24"/>
          <w:lang w:val="zh-CN"/>
        </w:rPr>
        <w:t>0万元，主要包括：</w:t>
      </w:r>
      <w:r>
        <w:rPr>
          <w:rFonts w:hint="eastAsia" w:ascii="仿宋" w:hAnsi="仿宋" w:eastAsia="仿宋"/>
          <w:color w:val="auto"/>
          <w:kern w:val="2"/>
          <w:sz w:val="32"/>
          <w:szCs w:val="24"/>
          <w:lang w:val="en-US"/>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r>
        <w:rPr>
          <w:rFonts w:hint="eastAsia" w:ascii="仿宋_GB2312" w:hAnsi="仿宋_GB2312" w:eastAsia="仿宋_GB2312"/>
          <w:color w:val="000000"/>
          <w:kern w:val="2"/>
          <w:sz w:val="32"/>
          <w:szCs w:val="24"/>
          <w:lang w:val="zh-CN"/>
        </w:rPr>
        <w:t>。</w:t>
      </w:r>
    </w:p>
    <w:p>
      <w:pPr>
        <w:spacing w:line="600" w:lineRule="exact"/>
        <w:ind w:firstLine="645"/>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7表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08-1表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仅罗列</w:t>
      </w:r>
      <w:r>
        <w:rPr>
          <w:rFonts w:hint="eastAsia" w:ascii="仿宋" w:hAnsi="仿宋" w:eastAsia="仿宋"/>
          <w:b/>
          <w:color w:val="auto"/>
          <w:sz w:val="32"/>
          <w:szCs w:val="32"/>
          <w:highlight w:val="none"/>
        </w:rPr>
        <w:t>本</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实际支出</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经济分类科目。）</w:t>
      </w:r>
    </w:p>
    <w:p>
      <w:pPr>
        <w:spacing w:line="600" w:lineRule="exact"/>
        <w:ind w:firstLine="640"/>
        <w:rPr>
          <w:rFonts w:ascii="仿宋" w:hAnsi="仿宋" w:eastAsia="仿宋"/>
          <w:b/>
          <w:color w:val="auto"/>
          <w:sz w:val="32"/>
          <w:szCs w:val="32"/>
          <w:highlight w:val="none"/>
        </w:rPr>
      </w:pPr>
    </w:p>
    <w:p>
      <w:pPr>
        <w:spacing w:line="600" w:lineRule="exact"/>
        <w:ind w:firstLine="640"/>
        <w:outlineLvl w:val="1"/>
        <w:rPr>
          <w:rStyle w:val="27"/>
          <w:rFonts w:ascii="黑体" w:hAnsi="黑体" w:eastAsia="黑体"/>
          <w:b w:val="0"/>
          <w:color w:val="auto"/>
          <w:highlight w:val="none"/>
        </w:rPr>
      </w:pPr>
      <w:bookmarkStart w:id="53" w:name="_Toc15396609"/>
      <w:bookmarkStart w:id="54" w:name="_Toc15377215"/>
      <w:bookmarkStart w:id="55" w:name="_Toc27628"/>
      <w:r>
        <w:rPr>
          <w:rFonts w:hint="eastAsia" w:ascii="黑体" w:eastAsia="黑体"/>
          <w:color w:val="auto"/>
          <w:sz w:val="32"/>
          <w:szCs w:val="32"/>
          <w:highlight w:val="none"/>
        </w:rPr>
        <w:t>七、</w:t>
      </w:r>
      <w:r>
        <w:rPr>
          <w:rStyle w:val="27"/>
          <w:rFonts w:hint="eastAsia" w:ascii="黑体" w:hAnsi="黑体" w:eastAsia="黑体"/>
          <w:b w:val="0"/>
          <w:color w:val="auto"/>
          <w:highlight w:val="none"/>
        </w:rPr>
        <w:t>财政拨款</w:t>
      </w:r>
      <w:r>
        <w:rPr>
          <w:rStyle w:val="27"/>
          <w:rFonts w:hint="eastAsia" w:ascii="黑体" w:hAnsi="黑体" w:eastAsia="黑体"/>
          <w:color w:val="auto"/>
          <w:highlight w:val="none"/>
        </w:rPr>
        <w:t>“</w:t>
      </w:r>
      <w:r>
        <w:rPr>
          <w:rStyle w:val="27"/>
          <w:rFonts w:hint="eastAsia" w:ascii="黑体" w:hAnsi="黑体" w:eastAsia="黑体"/>
          <w:b w:val="0"/>
          <w:color w:val="auto"/>
          <w:highlight w:val="none"/>
        </w:rPr>
        <w:t>三公”经费支出决算情况说明</w:t>
      </w:r>
      <w:bookmarkEnd w:id="53"/>
      <w:bookmarkEnd w:id="54"/>
      <w:bookmarkEnd w:id="55"/>
    </w:p>
    <w:p>
      <w:pPr>
        <w:spacing w:line="600" w:lineRule="exact"/>
        <w:ind w:firstLine="640"/>
        <w:outlineLvl w:val="2"/>
        <w:rPr>
          <w:rFonts w:ascii="仿宋" w:hAnsi="仿宋" w:eastAsia="仿宋"/>
          <w:b/>
          <w:color w:val="auto"/>
          <w:sz w:val="32"/>
          <w:szCs w:val="32"/>
          <w:highlight w:val="none"/>
        </w:rPr>
      </w:pPr>
      <w:bookmarkStart w:id="56" w:name="_Toc15377216"/>
      <w:r>
        <w:rPr>
          <w:rFonts w:hint="eastAsia" w:ascii="仿宋" w:hAnsi="仿宋" w:eastAsia="仿宋"/>
          <w:b/>
          <w:color w:val="auto"/>
          <w:sz w:val="32"/>
          <w:szCs w:val="32"/>
          <w:highlight w:val="none"/>
        </w:rPr>
        <w:t>（一）“三公”经费财政拨款支出决算总体情况说明</w:t>
      </w:r>
      <w:bookmarkEnd w:id="56"/>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三公</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经费财政拨款支出决算为0万元，完成预算0%；较上年增加0万元，增长0%。</w:t>
      </w:r>
    </w:p>
    <w:p>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（注：上述“预算”口径为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数，包括</w:t>
      </w:r>
      <w:r>
        <w:rPr>
          <w:rFonts w:hint="eastAsia" w:ascii="仿宋" w:hAnsi="仿宋" w:eastAsia="仿宋"/>
          <w:b/>
          <w:color w:val="auto"/>
          <w:sz w:val="32"/>
          <w:szCs w:val="32"/>
          <w:highlight w:val="none"/>
          <w:lang w:eastAsia="zh-CN"/>
        </w:rPr>
        <w:t>一般公共预算和</w:t>
      </w:r>
      <w:r>
        <w:rPr>
          <w:rFonts w:hint="eastAsia" w:ascii="仿宋" w:hAnsi="仿宋" w:eastAsia="仿宋"/>
          <w:b/>
          <w:color w:val="auto"/>
          <w:sz w:val="32"/>
          <w:szCs w:val="32"/>
          <w:highlight w:val="none"/>
        </w:rPr>
        <w:t>政府性基金</w:t>
      </w:r>
      <w:r>
        <w:rPr>
          <w:rFonts w:hint="eastAsia" w:ascii="仿宋" w:hAnsi="仿宋" w:eastAsia="仿宋"/>
          <w:b/>
          <w:color w:val="auto"/>
          <w:sz w:val="32"/>
          <w:szCs w:val="32"/>
          <w:highlight w:val="none"/>
          <w:lang w:eastAsia="zh-CN"/>
        </w:rPr>
        <w:t>预算财政拨款</w:t>
      </w:r>
      <w:r>
        <w:rPr>
          <w:rFonts w:hint="eastAsia" w:ascii="仿宋" w:hAnsi="仿宋" w:eastAsia="仿宋"/>
          <w:b/>
          <w:color w:val="auto"/>
          <w:sz w:val="32"/>
          <w:szCs w:val="32"/>
          <w:highlight w:val="none"/>
        </w:rPr>
        <w:t>支出决算情况。）</w:t>
      </w:r>
    </w:p>
    <w:p>
      <w:pPr>
        <w:spacing w:line="600" w:lineRule="exact"/>
        <w:ind w:firstLine="640"/>
        <w:outlineLvl w:val="2"/>
        <w:rPr>
          <w:rFonts w:ascii="仿宋" w:hAnsi="仿宋" w:eastAsia="仿宋"/>
          <w:b/>
          <w:color w:val="auto"/>
          <w:sz w:val="32"/>
          <w:szCs w:val="32"/>
          <w:highlight w:val="none"/>
        </w:rPr>
      </w:pPr>
      <w:bookmarkStart w:id="57" w:name="_Toc15377217"/>
      <w:r>
        <w:rPr>
          <w:rFonts w:hint="eastAsia" w:ascii="仿宋" w:hAnsi="仿宋" w:eastAsia="仿宋"/>
          <w:b/>
          <w:color w:val="auto"/>
          <w:sz w:val="32"/>
          <w:szCs w:val="32"/>
          <w:highlight w:val="none"/>
        </w:rPr>
        <w:t>（二）“三公”经费财政拨款支出决算具体情况说明</w:t>
      </w:r>
      <w:bookmarkEnd w:id="57"/>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三公</w:t>
      </w:r>
      <w:r>
        <w:rPr>
          <w:rFonts w:hint="default" w:ascii="仿宋_GB2312" w:hAnsi="仿宋_GB2312" w:eastAsia="仿宋_GB2312"/>
          <w:color w:val="000000"/>
          <w:kern w:val="2"/>
          <w:sz w:val="32"/>
          <w:szCs w:val="24"/>
          <w:lang w:val="zh-CN"/>
        </w:rPr>
        <w:t>”</w:t>
      </w:r>
      <w:r>
        <w:rPr>
          <w:rFonts w:hint="eastAsia" w:ascii="仿宋_GB2312" w:hAnsi="仿宋_GB2312" w:eastAsia="仿宋_GB2312"/>
          <w:color w:val="000000"/>
          <w:kern w:val="2"/>
          <w:sz w:val="32"/>
          <w:szCs w:val="24"/>
          <w:lang w:val="zh-CN"/>
        </w:rPr>
        <w:t>经费财政拨款支出决算中，因公出国（境）费支出决算0万元，占0%；公务用车购置及运行维护费支出决算0万元，占0%；公务接待费支出决算0万元，占0%。具体情况如下：</w:t>
      </w:r>
    </w:p>
    <w:p>
      <w:pPr>
        <w:pStyle w:val="2"/>
        <w:rPr>
          <w:rFonts w:hint="eastAsia" w:ascii="仿宋_GB2312" w:hAnsi="仿宋_GB2312" w:eastAsia="仿宋_GB2312"/>
          <w:color w:val="000000"/>
          <w:kern w:val="2"/>
          <w:sz w:val="32"/>
          <w:szCs w:val="24"/>
          <w:lang w:val="zh-CN"/>
        </w:rPr>
      </w:pPr>
    </w:p>
    <w:p>
      <w:pPr>
        <w:pStyle w:val="2"/>
        <w:rPr>
          <w:rFonts w:hint="eastAsia" w:ascii="仿宋_GB2312" w:hAnsi="仿宋_GB2312" w:eastAsia="仿宋_GB2312"/>
          <w:color w:val="000000"/>
          <w:kern w:val="2"/>
          <w:sz w:val="32"/>
          <w:szCs w:val="24"/>
          <w:lang w:val="zh-CN"/>
        </w:rPr>
      </w:pPr>
    </w:p>
    <w:p>
      <w:pPr>
        <w:pStyle w:val="2"/>
        <w:rPr>
          <w:rFonts w:hint="eastAsia" w:ascii="仿宋_GB2312" w:hAnsi="仿宋_GB2312" w:eastAsia="仿宋_GB2312"/>
          <w:color w:val="000000"/>
          <w:kern w:val="2"/>
          <w:sz w:val="32"/>
          <w:szCs w:val="24"/>
          <w:lang w:val="zh-CN"/>
        </w:rPr>
      </w:pPr>
    </w:p>
    <w:p>
      <w:pPr>
        <w:pStyle w:val="2"/>
        <w:rPr>
          <w:rFonts w:hint="eastAsia" w:ascii="仿宋_GB2312" w:hAnsi="仿宋_GB2312" w:eastAsia="仿宋_GB2312"/>
          <w:color w:val="000000"/>
          <w:kern w:val="2"/>
          <w:sz w:val="32"/>
          <w:szCs w:val="24"/>
          <w:lang w:val="zh-CN"/>
        </w:rPr>
      </w:pPr>
      <w:r>
        <w:drawing>
          <wp:inline distT="0" distB="0" distL="0" distR="0">
            <wp:extent cx="5486400" cy="3590925"/>
            <wp:effectExtent l="0" t="0" r="0" b="9525"/>
            <wp:docPr id="7" name="图表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表 2"/>
                    <pic:cNvPicPr>
                      <a:picLocks noChangeAspect="1" noChangeArrowheads="1"/>
                    </pic:cNvPicPr>
                  </pic:nvPicPr>
                  <pic:blipFill>
                    <a:blip r:embed="rId12" cstate="print"/>
                    <a:srcRect/>
                    <a:stretch>
                      <a:fillRect/>
                    </a:stretch>
                  </pic:blipFill>
                  <pic:spPr>
                    <a:xfrm>
                      <a:off x="0" y="0"/>
                      <a:ext cx="5486400" cy="3590925"/>
                    </a:xfrm>
                    <a:prstGeom prst="rect">
                      <a:avLst/>
                    </a:prstGeom>
                    <a:noFill/>
                    <a:ln w="9525" cmpd="sng">
                      <a:noFill/>
                      <a:miter lim="800000"/>
                      <a:headEnd/>
                      <a:tailEnd/>
                    </a:ln>
                  </pic:spPr>
                </pic:pic>
              </a:graphicData>
            </a:graphic>
          </wp:inline>
        </w:drawing>
      </w:r>
    </w:p>
    <w:p>
      <w:pPr>
        <w:pStyle w:val="2"/>
        <w:rPr>
          <w:rFonts w:hint="eastAsia" w:ascii="仿宋_GB2312" w:hAnsi="仿宋_GB2312" w:eastAsia="仿宋_GB2312"/>
          <w:color w:val="000000"/>
          <w:kern w:val="2"/>
          <w:sz w:val="32"/>
          <w:szCs w:val="24"/>
          <w:lang w:val="zh-CN"/>
        </w:rPr>
      </w:pP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keepNext/>
        <w:keepLines/>
        <w:spacing w:beforeLines="0" w:afterLines="0" w:line="576" w:lineRule="exact"/>
        <w:ind w:firstLine="643"/>
        <w:jc w:val="both"/>
        <w:rPr>
          <w:rFonts w:hint="eastAsia" w:ascii="仿宋_GB2312" w:hAnsi="仿宋_GB2312" w:eastAsia="仿宋_GB2312"/>
          <w:color w:val="000000"/>
          <w:kern w:val="2"/>
          <w:sz w:val="32"/>
          <w:szCs w:val="24"/>
          <w:lang w:val="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w:t>
      </w:r>
      <w:r>
        <w:rPr>
          <w:rFonts w:hint="eastAsia" w:ascii="仿宋_GB2312" w:hAnsi="仿宋_GB2312" w:eastAsia="仿宋_GB2312"/>
          <w:color w:val="000000"/>
          <w:kern w:val="2"/>
          <w:sz w:val="32"/>
          <w:szCs w:val="24"/>
          <w:lang w:val="zh-CN"/>
        </w:rPr>
        <w:t>支出0万元，完成预算0%。全年安排因公出国（境）团组0个，出国（境）0人。因公出国（境）支出决算比2021年增加0万元，增长0%。</w:t>
      </w:r>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w:t>
      </w:r>
      <w:r>
        <w:rPr>
          <w:rFonts w:hint="eastAsia" w:ascii="仿宋_GB2312" w:hAnsi="仿宋_GB2312" w:eastAsia="仿宋_GB2312"/>
          <w:color w:val="000000"/>
          <w:kern w:val="2"/>
          <w:sz w:val="32"/>
          <w:szCs w:val="24"/>
          <w:lang w:val="zh-CN"/>
        </w:rPr>
        <w:t>支出0万元，完成预算0%。公务用车购置及运行维护费支出决算比2021年增加0万元，增长0%。</w:t>
      </w:r>
    </w:p>
    <w:p>
      <w:pPr>
        <w:keepNext/>
        <w:keepLines/>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其中：</w:t>
      </w:r>
      <w:r>
        <w:rPr>
          <w:rFonts w:hint="eastAsia" w:ascii="仿宋_GB2312" w:hAnsi="仿宋_GB2312" w:eastAsia="仿宋_GB2312"/>
          <w:b/>
          <w:color w:val="000000"/>
          <w:kern w:val="2"/>
          <w:sz w:val="32"/>
          <w:szCs w:val="24"/>
          <w:lang w:val="zh-CN"/>
        </w:rPr>
        <w:t>公务用车购置费</w:t>
      </w:r>
      <w:r>
        <w:rPr>
          <w:rFonts w:hint="eastAsia" w:ascii="仿宋_GB2312" w:hAnsi="仿宋_GB2312" w:eastAsia="仿宋_GB2312"/>
          <w:color w:val="000000"/>
          <w:kern w:val="2"/>
          <w:sz w:val="32"/>
          <w:szCs w:val="24"/>
          <w:lang w:val="zh-CN"/>
        </w:rPr>
        <w:t>支出0万元。全年按规定更新购置公务用车0辆，其中：轿车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辆、金额</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万元，越野车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辆、金额</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万元，小型载客汽车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辆、金额</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万元，大中型载客汽车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辆、金额</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万元，其他车型</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辆、金额</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万元。截至2022年12月底，本部门共有公务用车0辆，其中：轿车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辆、越野车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辆、小型载客汽车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辆、大中型载客汽车</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辆、其他车型</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zh-CN"/>
        </w:rPr>
        <w:t>辆。</w:t>
      </w:r>
    </w:p>
    <w:p>
      <w:pPr>
        <w:keepNext/>
        <w:keepLines/>
        <w:spacing w:beforeLines="0" w:afterLines="0" w:line="576" w:lineRule="exact"/>
        <w:ind w:firstLine="643"/>
        <w:jc w:val="both"/>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公务用车运行维护费</w:t>
      </w:r>
      <w:r>
        <w:rPr>
          <w:rFonts w:hint="eastAsia" w:ascii="仿宋_GB2312" w:hAnsi="仿宋_GB2312" w:eastAsia="仿宋_GB2312"/>
          <w:color w:val="000000"/>
          <w:kern w:val="2"/>
          <w:sz w:val="32"/>
          <w:szCs w:val="24"/>
          <w:lang w:val="zh-CN"/>
        </w:rPr>
        <w:t>支出0万元。</w:t>
      </w:r>
    </w:p>
    <w:p>
      <w:pPr>
        <w:keepNext/>
        <w:keepLines/>
        <w:numPr>
          <w:ilvl w:val="0"/>
          <w:numId w:val="0"/>
        </w:numPr>
        <w:spacing w:beforeLines="0" w:afterLines="0" w:line="576" w:lineRule="exact"/>
        <w:ind w:firstLine="643" w:firstLineChars="200"/>
        <w:jc w:val="both"/>
        <w:rPr>
          <w:rFonts w:hint="eastAsia" w:ascii="仿宋_GB2312" w:hAnsi="仿宋_GB2312" w:eastAsia="仿宋_GB2312"/>
          <w:color w:val="000000"/>
          <w:kern w:val="2"/>
          <w:sz w:val="32"/>
          <w:szCs w:val="24"/>
          <w:lang w:val="zh-CN"/>
        </w:rPr>
      </w:pPr>
      <w:r>
        <w:rPr>
          <w:rFonts w:hint="eastAsia" w:ascii="仿宋_GB2312" w:eastAsia="仿宋_GB2312"/>
          <w:b/>
          <w:color w:val="auto"/>
          <w:sz w:val="32"/>
          <w:szCs w:val="32"/>
          <w:highlight w:val="none"/>
          <w:lang w:val="en-US" w:eastAsia="zh-CN"/>
        </w:rPr>
        <w:t>3.</w:t>
      </w:r>
      <w:r>
        <w:rPr>
          <w:rFonts w:hint="eastAsia" w:ascii="仿宋_GB2312" w:eastAsia="仿宋_GB2312"/>
          <w:b/>
          <w:color w:val="auto"/>
          <w:sz w:val="32"/>
          <w:szCs w:val="32"/>
          <w:highlight w:val="none"/>
        </w:rPr>
        <w:t>公务接待费</w:t>
      </w:r>
      <w:r>
        <w:rPr>
          <w:rFonts w:hint="eastAsia" w:ascii="仿宋_GB2312" w:hAnsi="仿宋_GB2312" w:eastAsia="仿宋_GB2312"/>
          <w:color w:val="000000"/>
          <w:kern w:val="2"/>
          <w:sz w:val="32"/>
          <w:szCs w:val="24"/>
          <w:lang w:val="zh-CN"/>
        </w:rPr>
        <w:t>支出0万元，完成预算0%。公务接待费支出决算比2021年增加0万元，增长0%。</w:t>
      </w:r>
    </w:p>
    <w:p>
      <w:pPr>
        <w:keepNext/>
        <w:keepLines/>
        <w:numPr>
          <w:ilvl w:val="0"/>
          <w:numId w:val="0"/>
        </w:numPr>
        <w:spacing w:beforeLines="0" w:afterLines="0" w:line="576" w:lineRule="exact"/>
        <w:ind w:firstLine="643" w:firstLineChars="200"/>
        <w:jc w:val="both"/>
        <w:rPr>
          <w:rFonts w:hint="eastAsia" w:ascii="仿宋_GB2312" w:hAnsi="仿宋_GB2312" w:eastAsia="仿宋_GB2312"/>
          <w:color w:val="000000"/>
          <w:kern w:val="2"/>
          <w:sz w:val="32"/>
          <w:szCs w:val="24"/>
          <w:lang w:val="en-US"/>
        </w:rPr>
      </w:pPr>
      <w:r>
        <w:rPr>
          <w:rFonts w:hint="eastAsia" w:ascii="仿宋_GB2312" w:hAnsi="仿宋_GB2312" w:eastAsia="仿宋_GB2312"/>
          <w:b/>
          <w:color w:val="000000"/>
          <w:kern w:val="2"/>
          <w:sz w:val="32"/>
          <w:szCs w:val="24"/>
          <w:lang w:val="zh-CN"/>
        </w:rPr>
        <w:t>国内公务接待</w:t>
      </w:r>
      <w:r>
        <w:rPr>
          <w:rFonts w:hint="eastAsia" w:ascii="仿宋_GB2312" w:hAnsi="仿宋_GB2312" w:eastAsia="仿宋_GB2312"/>
          <w:color w:val="000000"/>
          <w:kern w:val="2"/>
          <w:sz w:val="32"/>
          <w:szCs w:val="24"/>
          <w:lang w:val="zh-CN"/>
        </w:rPr>
        <w:t>支出0万元。</w:t>
      </w:r>
    </w:p>
    <w:p>
      <w:pPr>
        <w:keepNext/>
        <w:keepLines/>
        <w:spacing w:beforeLines="0" w:afterLines="0" w:line="576" w:lineRule="exact"/>
        <w:ind w:firstLine="643"/>
        <w:jc w:val="both"/>
        <w:rPr>
          <w:rFonts w:hint="eastAsia" w:ascii="仿宋_GB2312" w:hAnsi="仿宋_GB2312" w:eastAsia="仿宋_GB2312"/>
          <w:color w:val="000000"/>
          <w:kern w:val="2"/>
          <w:sz w:val="32"/>
          <w:szCs w:val="24"/>
          <w:lang w:val="en-US"/>
        </w:rPr>
      </w:pPr>
      <w:bookmarkStart w:id="58" w:name="_Toc15396610"/>
      <w:bookmarkStart w:id="59" w:name="_Toc15377218"/>
      <w:r>
        <w:rPr>
          <w:rFonts w:hint="eastAsia" w:ascii="仿宋_GB2312" w:hAnsi="仿宋_GB2312" w:eastAsia="仿宋_GB2312"/>
          <w:b/>
          <w:color w:val="000000"/>
          <w:kern w:val="2"/>
          <w:sz w:val="32"/>
          <w:szCs w:val="24"/>
          <w:lang w:val="zh-CN"/>
        </w:rPr>
        <w:t>外事接待</w:t>
      </w:r>
      <w:r>
        <w:rPr>
          <w:rFonts w:hint="eastAsia" w:ascii="仿宋_GB2312" w:hAnsi="仿宋_GB2312" w:eastAsia="仿宋_GB2312"/>
          <w:color w:val="000000"/>
          <w:kern w:val="2"/>
          <w:sz w:val="32"/>
          <w:szCs w:val="24"/>
          <w:lang w:val="zh-CN"/>
        </w:rPr>
        <w:t>支出0万元。外事接待0批次，0人，共计支出0万元。</w:t>
      </w:r>
    </w:p>
    <w:p>
      <w:pPr>
        <w:spacing w:line="600" w:lineRule="exact"/>
        <w:ind w:firstLine="640"/>
        <w:outlineLvl w:val="9"/>
        <w:rPr>
          <w:rFonts w:ascii="黑体" w:eastAsia="黑体"/>
          <w:color w:val="auto"/>
          <w:sz w:val="32"/>
          <w:szCs w:val="32"/>
          <w:highlight w:val="none"/>
        </w:rPr>
      </w:pPr>
    </w:p>
    <w:p>
      <w:pPr>
        <w:spacing w:line="600" w:lineRule="exact"/>
        <w:ind w:firstLine="640"/>
        <w:outlineLvl w:val="1"/>
        <w:rPr>
          <w:rStyle w:val="27"/>
          <w:rFonts w:ascii="黑体" w:hAnsi="黑体" w:eastAsia="黑体"/>
          <w:color w:val="auto"/>
          <w:highlight w:val="none"/>
        </w:rPr>
      </w:pPr>
      <w:bookmarkStart w:id="60" w:name="_Toc10176"/>
      <w:r>
        <w:rPr>
          <w:rFonts w:hint="eastAsia" w:ascii="黑体" w:eastAsia="黑体"/>
          <w:color w:val="auto"/>
          <w:sz w:val="32"/>
          <w:szCs w:val="32"/>
          <w:highlight w:val="none"/>
        </w:rPr>
        <w:t>八、</w:t>
      </w:r>
      <w:r>
        <w:rPr>
          <w:rStyle w:val="27"/>
          <w:rFonts w:hint="eastAsia" w:ascii="黑体" w:hAnsi="黑体" w:eastAsia="黑体"/>
          <w:b w:val="0"/>
          <w:color w:val="auto"/>
          <w:highlight w:val="none"/>
        </w:rPr>
        <w:t>政府性基金预算支出决算情况说明</w:t>
      </w:r>
      <w:bookmarkEnd w:id="58"/>
      <w:bookmarkEnd w:id="59"/>
      <w:bookmarkEnd w:id="60"/>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3"/>
        </w:numPr>
        <w:spacing w:line="600" w:lineRule="exact"/>
        <w:ind w:firstLine="640"/>
        <w:outlineLvl w:val="1"/>
        <w:rPr>
          <w:rStyle w:val="27"/>
          <w:rFonts w:ascii="黑体" w:hAnsi="黑体" w:eastAsia="黑体"/>
          <w:b w:val="0"/>
          <w:color w:val="auto"/>
          <w:highlight w:val="none"/>
        </w:rPr>
      </w:pPr>
      <w:bookmarkStart w:id="61" w:name="_Toc15377219"/>
      <w:bookmarkStart w:id="62" w:name="_Toc5150"/>
      <w:bookmarkStart w:id="63" w:name="_Toc15396611"/>
      <w:r>
        <w:rPr>
          <w:rStyle w:val="27"/>
          <w:rFonts w:hint="eastAsia" w:ascii="黑体" w:hAnsi="黑体" w:eastAsia="黑体"/>
          <w:b w:val="0"/>
          <w:color w:val="auto"/>
          <w:highlight w:val="none"/>
        </w:rPr>
        <w:t>国有资本经营预算支出决算情况说明</w:t>
      </w:r>
      <w:bookmarkEnd w:id="61"/>
      <w:bookmarkEnd w:id="62"/>
      <w:bookmarkEnd w:id="6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27"/>
          <w:rFonts w:hint="eastAsia" w:ascii="黑体" w:hAnsi="黑体" w:eastAsia="黑体"/>
          <w:b w:val="0"/>
          <w:color w:val="auto"/>
          <w:highlight w:val="none"/>
        </w:rPr>
      </w:pPr>
      <w:bookmarkStart w:id="64" w:name="_Toc15396612"/>
      <w:bookmarkStart w:id="65" w:name="_Toc7712"/>
      <w:bookmarkStart w:id="66" w:name="_Toc15377221"/>
      <w:r>
        <w:rPr>
          <w:rStyle w:val="27"/>
          <w:rFonts w:hint="eastAsia" w:ascii="黑体" w:hAnsi="黑体" w:eastAsia="黑体"/>
          <w:b w:val="0"/>
          <w:color w:val="auto"/>
          <w:highlight w:val="none"/>
        </w:rPr>
        <w:t>其他重要事项的情况说明</w:t>
      </w:r>
      <w:bookmarkEnd w:id="64"/>
      <w:bookmarkEnd w:id="65"/>
      <w:bookmarkEnd w:id="66"/>
    </w:p>
    <w:p>
      <w:pPr>
        <w:spacing w:line="600" w:lineRule="exact"/>
        <w:ind w:firstLine="643" w:firstLineChars="200"/>
        <w:outlineLvl w:val="2"/>
        <w:rPr>
          <w:rFonts w:ascii="仿宋" w:hAnsi="仿宋" w:eastAsia="仿宋"/>
          <w:color w:val="auto"/>
          <w:sz w:val="32"/>
          <w:szCs w:val="32"/>
          <w:highlight w:val="none"/>
        </w:rPr>
      </w:pPr>
      <w:bookmarkStart w:id="67" w:name="_Toc15377222"/>
      <w:r>
        <w:rPr>
          <w:rFonts w:hint="eastAsia" w:ascii="仿宋" w:hAnsi="仿宋" w:eastAsia="仿宋"/>
          <w:b/>
          <w:color w:val="auto"/>
          <w:sz w:val="32"/>
          <w:szCs w:val="32"/>
          <w:highlight w:val="none"/>
        </w:rPr>
        <w:t>（一）机关运行经费支出情况</w:t>
      </w:r>
      <w:bookmarkEnd w:id="6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hAnsi="Times New Roman" w:eastAsia="仿宋_GB2312" w:cs="Times New Roman"/>
          <w:color w:val="auto"/>
          <w:sz w:val="32"/>
          <w:szCs w:val="32"/>
          <w:highlight w:val="none"/>
          <w:lang w:val="en-US" w:eastAsia="zh-CN"/>
        </w:rPr>
        <w:t>乐山市斑竹湾实验学校</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8" w:name="_Toc15377223"/>
      <w:r>
        <w:rPr>
          <w:rFonts w:hint="eastAsia" w:ascii="仿宋" w:hAnsi="仿宋" w:eastAsia="仿宋"/>
          <w:b/>
          <w:color w:val="auto"/>
          <w:sz w:val="32"/>
          <w:szCs w:val="32"/>
          <w:highlight w:val="none"/>
        </w:rPr>
        <w:t>（二）政府采购支出情况</w:t>
      </w:r>
      <w:bookmarkEnd w:id="68"/>
    </w:p>
    <w:p>
      <w:pPr>
        <w:spacing w:beforeLines="0" w:afterLines="0" w:line="576" w:lineRule="exact"/>
        <w:ind w:firstLine="640"/>
        <w:jc w:val="both"/>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乐山市斑竹湾实验学校政府采购支出总额0万元，其中：政府采购货物支出0万元、政府采购工程支出0万元、政府采购服务支出0万元。授予中小企业合同金额0万元，占政府采购支出总额的0%，其中：授予小微企业合同金额0万元，</w:t>
      </w:r>
      <w:r>
        <w:rPr>
          <w:rFonts w:hint="eastAsia" w:ascii="仿宋_GB2312" w:hAnsi="仿宋_GB2312" w:eastAsia="仿宋_GB2312"/>
          <w:color w:val="auto"/>
          <w:kern w:val="2"/>
          <w:sz w:val="32"/>
          <w:szCs w:val="24"/>
          <w:lang w:val="en-US"/>
        </w:rPr>
        <w:t>占政府采购支出总额的</w:t>
      </w:r>
      <w:r>
        <w:rPr>
          <w:rFonts w:hint="eastAsia" w:ascii="仿宋_GB2312" w:hAnsi="仿宋_GB2312" w:eastAsia="仿宋_GB2312"/>
          <w:color w:val="000000"/>
          <w:kern w:val="2"/>
          <w:sz w:val="32"/>
          <w:szCs w:val="24"/>
          <w:lang w:val="zh-CN"/>
        </w:rPr>
        <w:t>0%。</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9" w:name="_Toc15377224"/>
      <w:r>
        <w:rPr>
          <w:rFonts w:hint="eastAsia" w:ascii="仿宋" w:hAnsi="仿宋" w:eastAsia="仿宋"/>
          <w:b/>
          <w:color w:val="auto"/>
          <w:sz w:val="32"/>
          <w:szCs w:val="32"/>
          <w:highlight w:val="none"/>
        </w:rPr>
        <w:t>（三）国有资产占有使用情况</w:t>
      </w:r>
      <w:bookmarkEnd w:id="69"/>
    </w:p>
    <w:p>
      <w:pPr>
        <w:spacing w:beforeLines="0" w:afterLines="0" w:line="576" w:lineRule="exact"/>
        <w:ind w:firstLine="640"/>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截至2022年12月31日，乐山市斑竹湾实验学校共有车辆0辆，其中：副部（省）级及以上领导用车0辆、主要领导干部用车0辆、机要通信用车0辆、应急保障用车0辆、执法执勤用车0辆、特种专业技术用车0辆、离退休干部用车0辆、其他用车0辆。</w:t>
      </w:r>
    </w:p>
    <w:p>
      <w:pPr>
        <w:autoSpaceDE w:val="0"/>
        <w:autoSpaceDN w:val="0"/>
        <w:adjustRightInd w:val="0"/>
        <w:spacing w:line="600" w:lineRule="exact"/>
        <w:ind w:firstLine="643" w:firstLineChars="200"/>
        <w:jc w:val="left"/>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w:t>
      </w:r>
      <w:r>
        <w:rPr>
          <w:rFonts w:hint="eastAsia" w:ascii="仿宋" w:hAnsi="仿宋" w:eastAsia="仿宋"/>
          <w:b/>
          <w:color w:val="auto"/>
          <w:sz w:val="32"/>
          <w:szCs w:val="32"/>
          <w:highlight w:val="none"/>
          <w:lang w:eastAsia="zh-CN"/>
        </w:rPr>
        <w:t>于</w:t>
      </w:r>
      <w:r>
        <w:rPr>
          <w:rFonts w:hint="eastAsia" w:ascii="仿宋" w:hAnsi="仿宋" w:eastAsia="仿宋"/>
          <w:b/>
          <w:color w:val="auto"/>
          <w:sz w:val="32"/>
          <w:szCs w:val="32"/>
          <w:highlight w:val="none"/>
        </w:rPr>
        <w:t>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表，按</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决算报表填报数据罗列车辆情况。）</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spacing w:line="576" w:lineRule="exact"/>
        <w:ind w:firstLine="643"/>
        <w:rPr>
          <w:rFonts w:ascii="仿宋_GB2312" w:hAnsi="仿宋_GB2312" w:eastAsia="仿宋_GB2312"/>
          <w:color w:val="auto"/>
          <w:sz w:val="32"/>
          <w:highlight w:val="green"/>
        </w:rPr>
      </w:pPr>
      <w:r>
        <w:rPr>
          <w:rFonts w:hint="eastAsia" w:ascii="仿宋_GB2312" w:hAnsi="仿宋_GB2312" w:eastAsia="仿宋_GB2312"/>
          <w:color w:val="auto"/>
          <w:sz w:val="32"/>
          <w:highlight w:val="green"/>
        </w:rPr>
        <w:t>根据预算绩效管理要求，本单位在</w:t>
      </w:r>
      <w:r>
        <w:rPr>
          <w:rFonts w:ascii="仿宋_GB2312" w:hAnsi="仿宋_GB2312" w:eastAsia="仿宋_GB2312"/>
          <w:color w:val="auto"/>
          <w:sz w:val="32"/>
          <w:highlight w:val="green"/>
        </w:rPr>
        <w:t>202</w:t>
      </w:r>
      <w:r>
        <w:rPr>
          <w:rFonts w:ascii="宋体" w:hAnsi="宋体"/>
          <w:color w:val="auto"/>
          <w:sz w:val="32"/>
          <w:highlight w:val="green"/>
        </w:rPr>
        <w:t>2</w:t>
      </w:r>
      <w:r>
        <w:rPr>
          <w:rFonts w:hint="eastAsia" w:ascii="仿宋_GB2312" w:hAnsi="仿宋_GB2312" w:eastAsia="仿宋_GB2312"/>
          <w:color w:val="auto"/>
          <w:sz w:val="32"/>
          <w:highlight w:val="green"/>
        </w:rPr>
        <w:t>年度预算编制阶段，组织</w:t>
      </w:r>
      <w:r>
        <w:rPr>
          <w:rFonts w:hint="eastAsia" w:ascii="仿宋_GB2312" w:hAnsi="仿宋_GB2312" w:eastAsia="仿宋_GB2312" w:cs="仿宋_GB2312"/>
          <w:color w:val="auto"/>
          <w:sz w:val="32"/>
          <w:szCs w:val="32"/>
          <w:highlight w:val="green"/>
        </w:rPr>
        <w:t>“安保项目”、“</w:t>
      </w:r>
      <w:r>
        <w:rPr>
          <w:rFonts w:ascii="仿宋_GB2312" w:hAnsi="仿宋_GB2312" w:eastAsia="仿宋_GB2312" w:cs="仿宋_GB2312"/>
          <w:color w:val="auto"/>
          <w:sz w:val="32"/>
          <w:szCs w:val="32"/>
          <w:highlight w:val="green"/>
        </w:rPr>
        <w:t xml:space="preserve"> </w:t>
      </w:r>
      <w:r>
        <w:rPr>
          <w:rFonts w:hint="eastAsia" w:ascii="仿宋_GB2312" w:hAnsi="仿宋_GB2312" w:eastAsia="仿宋_GB2312" w:cs="仿宋_GB2312"/>
          <w:color w:val="auto"/>
          <w:sz w:val="32"/>
          <w:szCs w:val="32"/>
          <w:highlight w:val="green"/>
        </w:rPr>
        <w:t>岗编分离项目”、“监控设备更换”</w:t>
      </w:r>
      <w:r>
        <w:rPr>
          <w:rFonts w:ascii="仿宋_GB2312" w:hAnsi="仿宋_GB2312" w:eastAsia="仿宋_GB2312" w:cs="仿宋_GB2312"/>
          <w:color w:val="auto"/>
          <w:sz w:val="32"/>
          <w:szCs w:val="32"/>
          <w:highlight w:val="green"/>
        </w:rPr>
        <w:t>3</w:t>
      </w:r>
      <w:r>
        <w:rPr>
          <w:rFonts w:hint="eastAsia" w:ascii="仿宋_GB2312" w:hAnsi="仿宋_GB2312" w:eastAsia="仿宋_GB2312"/>
          <w:color w:val="auto"/>
          <w:sz w:val="32"/>
          <w:highlight w:val="green"/>
        </w:rPr>
        <w:t>个项目开展了预算事前绩效评估，对</w:t>
      </w:r>
      <w:r>
        <w:rPr>
          <w:rFonts w:ascii="仿宋_GB2312" w:hAnsi="仿宋_GB2312" w:eastAsia="仿宋_GB2312"/>
          <w:color w:val="auto"/>
          <w:sz w:val="32"/>
          <w:highlight w:val="green"/>
        </w:rPr>
        <w:t>3</w:t>
      </w:r>
      <w:r>
        <w:rPr>
          <w:rFonts w:hint="eastAsia" w:ascii="仿宋_GB2312" w:hAnsi="仿宋_GB2312" w:eastAsia="仿宋_GB2312"/>
          <w:color w:val="auto"/>
          <w:sz w:val="32"/>
          <w:highlight w:val="green"/>
        </w:rPr>
        <w:t>个项目编制了绩效目标，预算执行过程中，选取</w:t>
      </w:r>
      <w:r>
        <w:rPr>
          <w:rFonts w:ascii="仿宋_GB2312" w:hAnsi="仿宋_GB2312" w:eastAsia="仿宋_GB2312"/>
          <w:color w:val="auto"/>
          <w:sz w:val="32"/>
          <w:highlight w:val="green"/>
        </w:rPr>
        <w:t>3</w:t>
      </w:r>
      <w:r>
        <w:rPr>
          <w:rFonts w:hint="eastAsia" w:ascii="仿宋_GB2312" w:hAnsi="仿宋_GB2312" w:eastAsia="仿宋_GB2312"/>
          <w:color w:val="auto"/>
          <w:sz w:val="32"/>
          <w:highlight w:val="green"/>
        </w:rPr>
        <w:t>个项目开展绩效监控，组织对</w:t>
      </w:r>
      <w:r>
        <w:rPr>
          <w:rFonts w:ascii="仿宋_GB2312" w:hAnsi="仿宋_GB2312" w:eastAsia="仿宋_GB2312"/>
          <w:color w:val="auto"/>
          <w:sz w:val="32"/>
          <w:highlight w:val="green"/>
        </w:rPr>
        <w:t>3</w:t>
      </w:r>
      <w:r>
        <w:rPr>
          <w:rFonts w:hint="eastAsia" w:ascii="仿宋_GB2312" w:hAnsi="仿宋_GB2312" w:eastAsia="仿宋_GB2312"/>
          <w:color w:val="auto"/>
          <w:sz w:val="32"/>
          <w:highlight w:val="green"/>
        </w:rPr>
        <w:t>个项目开展绩效自评，绩效自评表详见第四部分附件。</w:t>
      </w:r>
    </w:p>
    <w:p>
      <w:pPr>
        <w:numPr>
          <w:ilvl w:val="0"/>
          <w:numId w:val="4"/>
        </w:numPr>
        <w:spacing w:line="600" w:lineRule="exact"/>
        <w:ind w:firstLine="660" w:firstLineChars="150"/>
        <w:jc w:val="center"/>
        <w:outlineLvl w:val="0"/>
        <w:rPr>
          <w:rStyle w:val="26"/>
          <w:rFonts w:ascii="黑体" w:hAnsi="黑体" w:eastAsia="黑体"/>
          <w:b w:val="0"/>
          <w:color w:val="auto"/>
          <w:highlight w:val="none"/>
        </w:rPr>
      </w:pPr>
      <w:bookmarkStart w:id="70" w:name="_Toc15377225"/>
      <w:bookmarkStart w:id="71" w:name="_Toc18103"/>
      <w:bookmarkStart w:id="72" w:name="_Toc15396613"/>
      <w:r>
        <w:rPr>
          <w:rFonts w:hint="eastAsia" w:ascii="黑体" w:hAnsi="黑体" w:eastAsia="黑体"/>
          <w:color w:val="auto"/>
          <w:sz w:val="44"/>
          <w:szCs w:val="44"/>
          <w:highlight w:val="none"/>
        </w:rPr>
        <w:t>名</w:t>
      </w:r>
      <w:r>
        <w:rPr>
          <w:rStyle w:val="26"/>
          <w:rFonts w:hint="eastAsia" w:ascii="黑体" w:hAnsi="黑体" w:eastAsia="黑体"/>
          <w:b w:val="0"/>
          <w:color w:val="auto"/>
          <w:highlight w:val="none"/>
        </w:rPr>
        <w:t>词解释</w:t>
      </w:r>
      <w:bookmarkEnd w:id="70"/>
      <w:bookmarkEnd w:id="71"/>
      <w:bookmarkEnd w:id="72"/>
    </w:p>
    <w:p>
      <w:pPr>
        <w:spacing w:line="600" w:lineRule="exact"/>
        <w:jc w:val="left"/>
        <w:rPr>
          <w:rFonts w:ascii="宋体"/>
          <w:b/>
          <w:color w:val="auto"/>
          <w:sz w:val="44"/>
          <w:szCs w:val="44"/>
          <w:highlight w:val="none"/>
        </w:rPr>
      </w:pP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4"/>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9.</w:t>
      </w:r>
      <w:r>
        <w:rPr>
          <w:rFonts w:ascii="仿宋_GB2312" w:hAnsi="Calibri" w:eastAsia="仿宋_GB2312" w:cs="仿宋"/>
          <w:sz w:val="32"/>
          <w:szCs w:val="32"/>
        </w:rPr>
        <w:t>教育</w:t>
      </w:r>
      <w:r>
        <w:rPr>
          <w:rFonts w:hint="eastAsia" w:ascii="仿宋_GB2312" w:hAnsi="Calibri" w:eastAsia="仿宋_GB2312" w:cs="仿宋"/>
          <w:sz w:val="32"/>
          <w:szCs w:val="32"/>
        </w:rPr>
        <w:t>支出</w:t>
      </w:r>
      <w:r>
        <w:rPr>
          <w:rFonts w:ascii="仿宋_GB2312" w:hAnsi="Calibri" w:eastAsia="仿宋_GB2312" w:cs="仿宋"/>
          <w:sz w:val="32"/>
          <w:szCs w:val="32"/>
        </w:rPr>
        <w:t>（类）普通教育（款）学前教育（项）:指乐山市市中区教育局举办的学前教育支出。</w:t>
      </w:r>
    </w:p>
    <w:p>
      <w:pPr>
        <w:spacing w:line="560" w:lineRule="exact"/>
        <w:ind w:firstLine="640" w:firstLineChars="200"/>
        <w:rPr>
          <w:rFonts w:eastAsia="仿宋_GB2312"/>
          <w:color w:val="000000"/>
          <w:sz w:val="32"/>
          <w:szCs w:val="32"/>
        </w:rPr>
      </w:pPr>
      <w:r>
        <w:rPr>
          <w:rFonts w:hint="eastAsia" w:ascii="仿宋_GB2312" w:hAnsi="Calibri" w:eastAsia="仿宋_GB2312" w:cs="仿宋"/>
          <w:sz w:val="32"/>
          <w:szCs w:val="32"/>
        </w:rPr>
        <w:t>10</w:t>
      </w:r>
      <w:r>
        <w:rPr>
          <w:rFonts w:ascii="仿宋_GB2312" w:hAnsi="Calibri" w:eastAsia="仿宋_GB2312" w:cs="仿宋"/>
          <w:sz w:val="32"/>
          <w:szCs w:val="32"/>
        </w:rPr>
        <w:t>.教育（类）教育费附加安排的支出（款）其他教育</w:t>
      </w:r>
      <w:r>
        <w:rPr>
          <w:rFonts w:eastAsia="仿宋_GB2312"/>
          <w:color w:val="000000"/>
          <w:sz w:val="32"/>
          <w:szCs w:val="32"/>
        </w:rPr>
        <w:t>费附加安排的支出（项）:指反映除上述项目以外</w:t>
      </w:r>
      <w:r>
        <w:rPr>
          <w:rFonts w:hint="eastAsia" w:eastAsia="仿宋_GB2312"/>
          <w:color w:val="000000"/>
          <w:sz w:val="32"/>
          <w:szCs w:val="32"/>
        </w:rPr>
        <w:t>的</w:t>
      </w:r>
      <w:r>
        <w:rPr>
          <w:rFonts w:eastAsia="仿宋_GB2312"/>
          <w:color w:val="000000"/>
          <w:sz w:val="32"/>
          <w:szCs w:val="32"/>
        </w:rPr>
        <w:t>教育费附加支出。 </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11</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社会保障和就业支出（类）行政事业单位养老支出（款）</w:t>
      </w:r>
      <w:r>
        <w:rPr>
          <w:rFonts w:ascii="仿宋_GB2312" w:hAnsi="Calibri" w:eastAsia="仿宋_GB2312" w:cs="仿宋"/>
          <w:sz w:val="32"/>
          <w:szCs w:val="32"/>
        </w:rPr>
        <w:t xml:space="preserve"> </w:t>
      </w:r>
      <w:r>
        <w:rPr>
          <w:rFonts w:hint="eastAsia" w:ascii="仿宋_GB2312" w:hAnsi="Calibri" w:eastAsia="仿宋_GB2312" w:cs="仿宋"/>
          <w:sz w:val="32"/>
          <w:szCs w:val="32"/>
        </w:rPr>
        <w:t>机关事业单位基本养老保险缴费支出（项）指机关事业单位实施养老保险制度由单位缴纳的基本养老保险费支出。</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12</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社会保障和就业支出（类）行政事业单位养老支出（款）机关事业单位职业年金缴费支出（项）指</w:t>
      </w:r>
      <w:r>
        <w:rPr>
          <w:rFonts w:ascii="仿宋_GB2312" w:hAnsi="Calibri" w:eastAsia="仿宋_GB2312" w:cs="仿宋"/>
          <w:sz w:val="32"/>
          <w:szCs w:val="32"/>
        </w:rPr>
        <w:t>:</w:t>
      </w:r>
      <w:r>
        <w:rPr>
          <w:rFonts w:hint="eastAsia" w:ascii="仿宋_GB2312" w:hAnsi="Calibri" w:eastAsia="仿宋_GB2312" w:cs="仿宋"/>
          <w:sz w:val="32"/>
          <w:szCs w:val="32"/>
        </w:rPr>
        <w:t>机关事业单位实施养老保险制度由单位实际缴纳的职业年金支出。</w:t>
      </w:r>
    </w:p>
    <w:p>
      <w:pPr>
        <w:spacing w:line="560" w:lineRule="exact"/>
        <w:ind w:firstLine="640" w:firstLineChars="200"/>
        <w:rPr>
          <w:rFonts w:ascii="仿宋_GB2312" w:hAnsi="Calibri" w:eastAsia="仿宋_GB2312" w:cs="仿宋"/>
          <w:sz w:val="32"/>
          <w:szCs w:val="32"/>
        </w:rPr>
      </w:pPr>
      <w:r>
        <w:rPr>
          <w:rFonts w:hint="eastAsia" w:ascii="仿宋_GB2312" w:hAnsi="Calibri" w:eastAsia="仿宋_GB2312" w:cs="仿宋"/>
          <w:sz w:val="32"/>
          <w:szCs w:val="32"/>
        </w:rPr>
        <w:t>13</w:t>
      </w:r>
      <w:r>
        <w:rPr>
          <w:rFonts w:ascii="仿宋_GB2312" w:hAnsi="Calibri" w:eastAsia="仿宋_GB2312" w:cs="仿宋"/>
          <w:sz w:val="32"/>
          <w:szCs w:val="32"/>
        </w:rPr>
        <w:t>.</w:t>
      </w:r>
      <w:r>
        <w:rPr>
          <w:rFonts w:hint="eastAsia" w:ascii="仿宋_GB2312" w:hAnsi="Calibri" w:eastAsia="仿宋_GB2312" w:cs="仿宋"/>
          <w:sz w:val="32"/>
          <w:szCs w:val="32"/>
        </w:rPr>
        <w:t>社会保障和就业支出（类）残疾人事业（款）其他残疾人事业支出（项）指其他用于残疾人事业方面的支出。</w:t>
      </w:r>
    </w:p>
    <w:p>
      <w:pPr>
        <w:pStyle w:val="2"/>
        <w:spacing w:before="93" w:line="560" w:lineRule="exact"/>
        <w:ind w:firstLine="640" w:firstLineChars="200"/>
        <w:rPr>
          <w:rFonts w:hAnsi="Calibri" w:cs="仿宋"/>
          <w:sz w:val="32"/>
          <w:szCs w:val="32"/>
        </w:rPr>
      </w:pPr>
      <w:r>
        <w:rPr>
          <w:rFonts w:hint="eastAsia" w:hAnsi="Calibri" w:cs="仿宋"/>
          <w:sz w:val="32"/>
          <w:szCs w:val="32"/>
        </w:rPr>
        <w:t>14</w:t>
      </w:r>
      <w:r>
        <w:rPr>
          <w:rFonts w:hAnsi="Calibri" w:cs="仿宋"/>
          <w:sz w:val="32"/>
          <w:szCs w:val="32"/>
        </w:rPr>
        <w:t>.</w:t>
      </w:r>
      <w:r>
        <w:rPr>
          <w:rFonts w:hint="eastAsia" w:hAnsi="Calibri" w:cs="仿宋"/>
          <w:sz w:val="32"/>
          <w:szCs w:val="32"/>
        </w:rPr>
        <w:t>卫生健康支出（类）行政事业单位医疗（款）事业单位医疗（项）指财政部门安排的事业单位基本医疗保险缴费经费。</w:t>
      </w:r>
    </w:p>
    <w:p>
      <w:pPr>
        <w:pStyle w:val="24"/>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15</w:t>
      </w:r>
      <w:r>
        <w:rPr>
          <w:rFonts w:ascii="仿宋_GB2312" w:eastAsia="仿宋_GB2312"/>
          <w:color w:val="auto"/>
          <w:sz w:val="32"/>
          <w:szCs w:val="32"/>
        </w:rPr>
        <w:t>.</w:t>
      </w:r>
      <w:r>
        <w:rPr>
          <w:rFonts w:hint="eastAsia" w:ascii="仿宋_GB2312" w:eastAsia="仿宋_GB2312"/>
          <w:color w:val="auto"/>
          <w:sz w:val="32"/>
          <w:szCs w:val="32"/>
        </w:rPr>
        <w:t>住房保障支出（类）住房改革支出（款）住房公积金（项）指行政事业单位按人力资源和社会保障部、财政部规定的基本工资和津贴补贴以及按规定比例为职工缴纳的住房公积金。</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16</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4"/>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19</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4"/>
        <w:spacing w:line="560" w:lineRule="exact"/>
        <w:ind w:firstLine="640" w:firstLineChars="200"/>
        <w:rPr>
          <w:rFonts w:ascii="仿宋_GB2312" w:eastAsia="仿宋_GB2312" w:cs="黑体"/>
          <w:color w:val="auto"/>
          <w:sz w:val="32"/>
          <w:szCs w:val="32"/>
          <w:highlight w:val="none"/>
        </w:rPr>
      </w:pPr>
    </w:p>
    <w:p>
      <w:pPr>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（名词解释部分请根据各</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实际列支情况罗列，并根据本</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职责职能增减名词解释内容。）</w:t>
      </w:r>
    </w:p>
    <w:p>
      <w:pPr>
        <w:spacing w:line="600" w:lineRule="exact"/>
        <w:jc w:val="center"/>
        <w:outlineLvl w:val="0"/>
        <w:rPr>
          <w:rStyle w:val="26"/>
          <w:rFonts w:ascii="黑体" w:hAnsi="黑体" w:eastAsia="黑体"/>
          <w:b w:val="0"/>
          <w:color w:val="auto"/>
          <w:highlight w:val="none"/>
        </w:rPr>
      </w:pPr>
      <w:bookmarkStart w:id="73" w:name="_Toc15377226"/>
      <w:r>
        <w:rPr>
          <w:rFonts w:ascii="宋体"/>
          <w:b/>
          <w:color w:val="auto"/>
          <w:sz w:val="44"/>
          <w:szCs w:val="44"/>
          <w:highlight w:val="none"/>
        </w:rPr>
        <w:br w:type="page"/>
      </w:r>
      <w:bookmarkStart w:id="74" w:name="_Toc15396614"/>
      <w:bookmarkStart w:id="75" w:name="_Toc7504"/>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四部分 附件</w:t>
      </w:r>
      <w:bookmarkEnd w:id="74"/>
      <w:bookmarkEnd w:id="75"/>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ind w:firstLine="640" w:firstLineChars="200"/>
        <w:jc w:val="center"/>
        <w:outlineLvl w:val="0"/>
        <w:rPr>
          <w:rFonts w:hint="eastAsia" w:ascii="仿宋_GB2312" w:hAnsi="Calibri" w:eastAsia="仿宋_GB2312" w:cs="仿宋"/>
          <w:color w:val="auto"/>
          <w:kern w:val="0"/>
          <w:sz w:val="32"/>
          <w:szCs w:val="32"/>
          <w:highlight w:val="none"/>
          <w:lang w:val="en-US" w:eastAsia="zh-CN" w:bidi="ar-SA"/>
        </w:rPr>
      </w:pPr>
      <w:bookmarkStart w:id="76" w:name="_Toc31706"/>
      <w:bookmarkStart w:id="77" w:name="_Toc15396618"/>
      <w:r>
        <w:rPr>
          <w:rFonts w:hint="eastAsia" w:ascii="仿宋_GB2312" w:hAnsi="Calibri" w:eastAsia="仿宋_GB2312" w:cs="仿宋"/>
          <w:color w:val="auto"/>
          <w:kern w:val="0"/>
          <w:sz w:val="32"/>
          <w:szCs w:val="32"/>
          <w:highlight w:val="none"/>
          <w:lang w:val="en-US" w:eastAsia="zh-CN" w:bidi="ar-SA"/>
        </w:rPr>
        <w:t>部门预算项目支出绩效自评表（2022年度）</w:t>
      </w:r>
      <w:bookmarkEnd w:id="76"/>
    </w:p>
    <w:p>
      <w:pPr>
        <w:spacing w:line="600" w:lineRule="exact"/>
        <w:jc w:val="left"/>
        <w:outlineLvl w:val="9"/>
        <w:rPr>
          <w:rFonts w:hint="eastAsia" w:ascii="仿宋_GB2312" w:hAnsi="Calibri" w:eastAsia="仿宋_GB2312" w:cs="仿宋"/>
          <w:color w:val="auto"/>
          <w:kern w:val="0"/>
          <w:sz w:val="32"/>
          <w:szCs w:val="32"/>
          <w:highlight w:val="green"/>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r>
        <w:drawing>
          <wp:inline distT="0" distB="0" distL="114300" distR="114300">
            <wp:extent cx="5267325" cy="4970145"/>
            <wp:effectExtent l="0" t="0" r="9525" b="190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3"/>
                    <a:stretch>
                      <a:fillRect/>
                    </a:stretch>
                  </pic:blipFill>
                  <pic:spPr>
                    <a:xfrm>
                      <a:off x="0" y="0"/>
                      <a:ext cx="5267325" cy="4970145"/>
                    </a:xfrm>
                    <a:prstGeom prst="rect">
                      <a:avLst/>
                    </a:prstGeom>
                    <a:noFill/>
                    <a:ln>
                      <a:noFill/>
                    </a:ln>
                  </pic:spPr>
                </pic:pic>
              </a:graphicData>
            </a:graphic>
          </wp:inline>
        </w:drawing>
      </w: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8" w:name="_Toc2200"/>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五部分 附表</w:t>
      </w:r>
      <w:bookmarkEnd w:id="73"/>
      <w:bookmarkEnd w:id="77"/>
      <w:bookmarkEnd w:id="78"/>
      <w:bookmarkStart w:id="79" w:name="_Toc15396619"/>
    </w:p>
    <w:p>
      <w:pPr>
        <w:pStyle w:val="4"/>
        <w:rPr>
          <w:rFonts w:ascii="仿宋" w:hAnsi="仿宋" w:eastAsia="仿宋"/>
          <w:color w:val="auto"/>
          <w:highlight w:val="none"/>
        </w:rPr>
      </w:pPr>
      <w:bookmarkStart w:id="80" w:name="_Toc9755"/>
      <w:r>
        <w:rPr>
          <w:rFonts w:hint="eastAsia" w:ascii="仿宋" w:hAnsi="仿宋" w:eastAsia="仿宋"/>
          <w:b w:val="0"/>
          <w:color w:val="auto"/>
          <w:highlight w:val="none"/>
        </w:rPr>
        <w:t>一、收</w:t>
      </w:r>
      <w:r>
        <w:rPr>
          <w:rStyle w:val="27"/>
          <w:rFonts w:hint="eastAsia" w:ascii="仿宋" w:hAnsi="仿宋" w:eastAsia="仿宋"/>
          <w:b w:val="0"/>
          <w:bCs w:val="0"/>
          <w:color w:val="auto"/>
          <w:highlight w:val="none"/>
        </w:rPr>
        <w:t>入支出决算总表</w:t>
      </w:r>
      <w:bookmarkEnd w:id="79"/>
      <w:bookmarkEnd w:id="80"/>
    </w:p>
    <w:p>
      <w:pPr>
        <w:pStyle w:val="4"/>
        <w:rPr>
          <w:rFonts w:ascii="仿宋" w:hAnsi="仿宋" w:eastAsia="仿宋"/>
          <w:color w:val="auto"/>
          <w:highlight w:val="none"/>
        </w:rPr>
      </w:pPr>
      <w:bookmarkStart w:id="81" w:name="_Toc1133"/>
      <w:bookmarkStart w:id="82" w:name="_Toc15396620"/>
      <w:r>
        <w:rPr>
          <w:rFonts w:hint="eastAsia" w:ascii="仿宋" w:hAnsi="仿宋" w:eastAsia="仿宋"/>
          <w:b w:val="0"/>
          <w:color w:val="auto"/>
          <w:highlight w:val="none"/>
        </w:rPr>
        <w:t>二、收</w:t>
      </w:r>
      <w:r>
        <w:rPr>
          <w:rStyle w:val="27"/>
          <w:rFonts w:hint="eastAsia" w:ascii="仿宋" w:hAnsi="仿宋" w:eastAsia="仿宋"/>
          <w:b w:val="0"/>
          <w:bCs w:val="0"/>
          <w:color w:val="auto"/>
          <w:highlight w:val="none"/>
        </w:rPr>
        <w:t>入决算表</w:t>
      </w:r>
      <w:bookmarkEnd w:id="81"/>
      <w:bookmarkEnd w:id="82"/>
    </w:p>
    <w:p>
      <w:pPr>
        <w:pStyle w:val="4"/>
        <w:rPr>
          <w:rFonts w:ascii="仿宋" w:hAnsi="仿宋" w:eastAsia="仿宋"/>
          <w:color w:val="auto"/>
          <w:highlight w:val="none"/>
        </w:rPr>
      </w:pPr>
      <w:bookmarkStart w:id="83" w:name="_Toc20886"/>
      <w:bookmarkStart w:id="84" w:name="_Toc15396621"/>
      <w:r>
        <w:rPr>
          <w:rStyle w:val="2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7"/>
          <w:rFonts w:hint="eastAsia" w:ascii="仿宋" w:hAnsi="仿宋" w:eastAsia="仿宋"/>
          <w:b w:val="0"/>
          <w:bCs w:val="0"/>
          <w:color w:val="auto"/>
          <w:highlight w:val="none"/>
        </w:rPr>
        <w:t>出决算表</w:t>
      </w:r>
      <w:bookmarkEnd w:id="83"/>
      <w:bookmarkEnd w:id="84"/>
    </w:p>
    <w:p>
      <w:pPr>
        <w:pStyle w:val="4"/>
        <w:rPr>
          <w:rFonts w:ascii="仿宋" w:hAnsi="仿宋" w:eastAsia="仿宋"/>
          <w:b w:val="0"/>
          <w:color w:val="auto"/>
          <w:highlight w:val="none"/>
        </w:rPr>
      </w:pPr>
      <w:bookmarkStart w:id="85" w:name="_Toc15396622"/>
      <w:bookmarkStart w:id="86" w:name="_Toc19378"/>
      <w:r>
        <w:rPr>
          <w:rStyle w:val="2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政拨款收入支出决算总表</w:t>
      </w:r>
      <w:bookmarkEnd w:id="85"/>
      <w:bookmarkEnd w:id="86"/>
    </w:p>
    <w:p>
      <w:pPr>
        <w:pStyle w:val="4"/>
        <w:rPr>
          <w:rStyle w:val="27"/>
          <w:rFonts w:ascii="仿宋" w:hAnsi="仿宋" w:eastAsia="仿宋"/>
          <w:b w:val="0"/>
          <w:bCs w:val="0"/>
          <w:color w:val="auto"/>
          <w:highlight w:val="none"/>
        </w:rPr>
      </w:pPr>
      <w:bookmarkStart w:id="87" w:name="_Toc15396623"/>
      <w:bookmarkStart w:id="88" w:name="_Toc10954"/>
      <w:r>
        <w:rPr>
          <w:rStyle w:val="2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政拨款支出决算明细表</w:t>
      </w:r>
      <w:bookmarkEnd w:id="87"/>
      <w:bookmarkEnd w:id="88"/>
      <w:bookmarkStart w:id="89" w:name="_Toc15396624"/>
    </w:p>
    <w:p>
      <w:pPr>
        <w:pStyle w:val="4"/>
        <w:rPr>
          <w:rFonts w:ascii="仿宋" w:hAnsi="仿宋" w:eastAsia="仿宋"/>
          <w:color w:val="auto"/>
          <w:highlight w:val="none"/>
        </w:rPr>
      </w:pPr>
      <w:bookmarkStart w:id="90" w:name="_Toc3758"/>
      <w:r>
        <w:rPr>
          <w:rStyle w:val="2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般公共预算财政拨款支出决算表</w:t>
      </w:r>
      <w:bookmarkEnd w:id="89"/>
      <w:bookmarkEnd w:id="90"/>
    </w:p>
    <w:p>
      <w:pPr>
        <w:pStyle w:val="4"/>
        <w:rPr>
          <w:rFonts w:ascii="仿宋" w:hAnsi="仿宋" w:eastAsia="仿宋"/>
          <w:color w:val="auto"/>
          <w:highlight w:val="none"/>
        </w:rPr>
      </w:pPr>
      <w:bookmarkStart w:id="91" w:name="_Toc15396625"/>
      <w:bookmarkStart w:id="92" w:name="_Toc25385"/>
      <w:r>
        <w:rPr>
          <w:rStyle w:val="2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般公共预算财政拨款支出决算明细表</w:t>
      </w:r>
      <w:bookmarkEnd w:id="91"/>
      <w:bookmarkEnd w:id="92"/>
    </w:p>
    <w:p>
      <w:pPr>
        <w:pStyle w:val="4"/>
        <w:rPr>
          <w:rFonts w:ascii="仿宋" w:hAnsi="仿宋" w:eastAsia="仿宋"/>
          <w:color w:val="auto"/>
          <w:highlight w:val="none"/>
        </w:rPr>
      </w:pPr>
      <w:bookmarkStart w:id="93" w:name="_Toc6704"/>
      <w:bookmarkStart w:id="94" w:name="_Toc15396626"/>
      <w:r>
        <w:rPr>
          <w:rStyle w:val="2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般公共预算财政拨款基本支出决算表</w:t>
      </w:r>
      <w:bookmarkEnd w:id="93"/>
      <w:bookmarkEnd w:id="94"/>
    </w:p>
    <w:p>
      <w:pPr>
        <w:pStyle w:val="4"/>
        <w:rPr>
          <w:rFonts w:ascii="仿宋" w:hAnsi="仿宋" w:eastAsia="仿宋"/>
          <w:color w:val="auto"/>
          <w:highlight w:val="none"/>
        </w:rPr>
      </w:pPr>
      <w:bookmarkStart w:id="95" w:name="_Toc15396627"/>
      <w:bookmarkStart w:id="96" w:name="_Toc30953"/>
      <w:r>
        <w:rPr>
          <w:rStyle w:val="2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般公共预算财政拨款项目支出决算表</w:t>
      </w:r>
      <w:bookmarkEnd w:id="95"/>
      <w:bookmarkEnd w:id="96"/>
    </w:p>
    <w:p>
      <w:pPr>
        <w:pStyle w:val="4"/>
        <w:rPr>
          <w:rFonts w:ascii="仿宋" w:hAnsi="仿宋" w:eastAsia="仿宋"/>
          <w:color w:val="auto"/>
          <w:highlight w:val="none"/>
        </w:rPr>
      </w:pPr>
      <w:bookmarkStart w:id="97" w:name="_Toc15396628"/>
      <w:bookmarkStart w:id="98" w:name="_Toc11720"/>
      <w:r>
        <w:rPr>
          <w:rStyle w:val="27"/>
          <w:rFonts w:hint="eastAsia" w:ascii="仿宋" w:hAnsi="仿宋" w:eastAsia="仿宋"/>
          <w:b w:val="0"/>
          <w:bCs w:val="0"/>
          <w:color w:val="auto"/>
          <w:highlight w:val="none"/>
        </w:rPr>
        <w:t>十、</w:t>
      </w:r>
      <w:bookmarkEnd w:id="97"/>
      <w:r>
        <w:rPr>
          <w:rFonts w:hint="eastAsia" w:ascii="仿宋" w:hAnsi="仿宋" w:eastAsia="仿宋"/>
          <w:b w:val="0"/>
          <w:color w:val="auto"/>
          <w:highlight w:val="none"/>
        </w:rPr>
        <w:t>政</w:t>
      </w:r>
      <w:r>
        <w:rPr>
          <w:rStyle w:val="27"/>
          <w:rFonts w:hint="eastAsia" w:ascii="仿宋" w:hAnsi="仿宋" w:eastAsia="仿宋"/>
          <w:b w:val="0"/>
          <w:bCs w:val="0"/>
          <w:color w:val="auto"/>
          <w:highlight w:val="none"/>
        </w:rPr>
        <w:t>府性基金预算财政拨款收入支出决算表</w:t>
      </w:r>
      <w:bookmarkEnd w:id="98"/>
    </w:p>
    <w:p>
      <w:pPr>
        <w:pStyle w:val="4"/>
        <w:rPr>
          <w:rFonts w:ascii="仿宋" w:hAnsi="仿宋" w:eastAsia="仿宋"/>
          <w:color w:val="auto"/>
          <w:highlight w:val="none"/>
        </w:rPr>
      </w:pPr>
      <w:bookmarkStart w:id="99" w:name="_Toc15396629"/>
      <w:bookmarkStart w:id="100" w:name="_Toc18104"/>
      <w:r>
        <w:rPr>
          <w:rStyle w:val="27"/>
          <w:rFonts w:hint="eastAsia" w:ascii="仿宋" w:hAnsi="仿宋" w:eastAsia="仿宋"/>
          <w:b w:val="0"/>
          <w:bCs w:val="0"/>
          <w:color w:val="auto"/>
          <w:highlight w:val="none"/>
        </w:rPr>
        <w:t>十一、</w:t>
      </w:r>
      <w:bookmarkEnd w:id="99"/>
      <w:r>
        <w:rPr>
          <w:rFonts w:hint="eastAsia" w:ascii="仿宋" w:hAnsi="仿宋" w:eastAsia="仿宋"/>
          <w:b w:val="0"/>
          <w:color w:val="auto"/>
          <w:highlight w:val="none"/>
        </w:rPr>
        <w:t>国</w:t>
      </w:r>
      <w:r>
        <w:rPr>
          <w:rStyle w:val="27"/>
          <w:rFonts w:hint="eastAsia" w:ascii="仿宋" w:hAnsi="仿宋" w:eastAsia="仿宋"/>
          <w:b w:val="0"/>
          <w:bCs w:val="0"/>
          <w:color w:val="auto"/>
          <w:highlight w:val="none"/>
        </w:rPr>
        <w:t>有资本经营预算</w:t>
      </w:r>
      <w:r>
        <w:rPr>
          <w:rStyle w:val="27"/>
          <w:rFonts w:hint="eastAsia" w:ascii="仿宋" w:hAnsi="仿宋" w:eastAsia="仿宋"/>
          <w:b w:val="0"/>
          <w:bCs w:val="0"/>
          <w:color w:val="auto"/>
          <w:highlight w:val="none"/>
          <w:lang w:eastAsia="zh-CN"/>
        </w:rPr>
        <w:t>财政拨款收入</w:t>
      </w:r>
      <w:r>
        <w:rPr>
          <w:rStyle w:val="27"/>
          <w:rFonts w:hint="eastAsia" w:ascii="仿宋" w:hAnsi="仿宋" w:eastAsia="仿宋"/>
          <w:b w:val="0"/>
          <w:bCs w:val="0"/>
          <w:color w:val="auto"/>
          <w:highlight w:val="none"/>
        </w:rPr>
        <w:t>支出决算表</w:t>
      </w:r>
      <w:bookmarkEnd w:id="100"/>
    </w:p>
    <w:p>
      <w:pPr>
        <w:pStyle w:val="4"/>
        <w:rPr>
          <w:rFonts w:ascii="仿宋" w:hAnsi="仿宋" w:eastAsia="仿宋"/>
          <w:color w:val="auto"/>
          <w:highlight w:val="none"/>
        </w:rPr>
      </w:pPr>
      <w:bookmarkStart w:id="101" w:name="_Toc15396630"/>
      <w:bookmarkStart w:id="102" w:name="_Toc5419"/>
      <w:r>
        <w:rPr>
          <w:rStyle w:val="27"/>
          <w:rFonts w:hint="eastAsia" w:ascii="仿宋" w:hAnsi="仿宋" w:eastAsia="仿宋"/>
          <w:b w:val="0"/>
          <w:bCs w:val="0"/>
          <w:color w:val="auto"/>
          <w:highlight w:val="none"/>
        </w:rPr>
        <w:t>十二、</w:t>
      </w:r>
      <w:bookmarkEnd w:id="101"/>
      <w:r>
        <w:rPr>
          <w:rStyle w:val="27"/>
          <w:rFonts w:hint="eastAsia" w:ascii="仿宋" w:hAnsi="仿宋" w:eastAsia="仿宋"/>
          <w:b w:val="0"/>
          <w:bCs w:val="0"/>
          <w:color w:val="auto"/>
          <w:highlight w:val="none"/>
          <w:lang w:eastAsia="zh-CN"/>
        </w:rPr>
        <w:t>国有资本经营预算财政拨款支出决算表</w:t>
      </w:r>
      <w:bookmarkEnd w:id="102"/>
    </w:p>
    <w:p>
      <w:pPr>
        <w:pStyle w:val="4"/>
        <w:rPr>
          <w:rFonts w:hint="eastAsia" w:eastAsia="仿宋"/>
          <w:color w:val="auto"/>
          <w:highlight w:val="none"/>
          <w:lang w:eastAsia="zh-CN"/>
        </w:rPr>
      </w:pPr>
      <w:bookmarkStart w:id="103" w:name="_Toc15396631"/>
      <w:bookmarkStart w:id="104" w:name="_Toc24125"/>
      <w:r>
        <w:rPr>
          <w:rStyle w:val="27"/>
          <w:rFonts w:hint="eastAsia" w:ascii="仿宋" w:hAnsi="仿宋" w:eastAsia="仿宋"/>
          <w:b w:val="0"/>
          <w:bCs w:val="0"/>
          <w:color w:val="auto"/>
          <w:highlight w:val="none"/>
        </w:rPr>
        <w:t>十三、</w:t>
      </w:r>
      <w:bookmarkEnd w:id="103"/>
      <w:r>
        <w:rPr>
          <w:rStyle w:val="27"/>
          <w:rFonts w:hint="eastAsia" w:ascii="仿宋" w:hAnsi="仿宋" w:eastAsia="仿宋"/>
          <w:b w:val="0"/>
          <w:bCs w:val="0"/>
          <w:color w:val="auto"/>
          <w:highlight w:val="none"/>
          <w:lang w:eastAsia="zh-CN"/>
        </w:rPr>
        <w:t>财政拨款“三公”经费支出决算表</w:t>
      </w:r>
      <w:bookmarkEnd w:id="104"/>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iYWMzZTUwNjgzNGViMTQwOWRjN2JiMTc5ZTdlOT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0EB110CC"/>
    <w:rsid w:val="10C055FF"/>
    <w:rsid w:val="118107EC"/>
    <w:rsid w:val="11DD6519"/>
    <w:rsid w:val="16BB723D"/>
    <w:rsid w:val="18015F3F"/>
    <w:rsid w:val="1BE8440E"/>
    <w:rsid w:val="1D155CEE"/>
    <w:rsid w:val="1D1C320A"/>
    <w:rsid w:val="20F57F95"/>
    <w:rsid w:val="216F71D6"/>
    <w:rsid w:val="22B67E76"/>
    <w:rsid w:val="240371BF"/>
    <w:rsid w:val="24E10292"/>
    <w:rsid w:val="25711CC6"/>
    <w:rsid w:val="25C741E6"/>
    <w:rsid w:val="27842671"/>
    <w:rsid w:val="29FD04D3"/>
    <w:rsid w:val="2ABE7A3E"/>
    <w:rsid w:val="2CA234A8"/>
    <w:rsid w:val="2EFA178C"/>
    <w:rsid w:val="2FD81BF4"/>
    <w:rsid w:val="30B46D73"/>
    <w:rsid w:val="319F7F4E"/>
    <w:rsid w:val="383D272C"/>
    <w:rsid w:val="3901071F"/>
    <w:rsid w:val="39AE70AB"/>
    <w:rsid w:val="3C0C0783"/>
    <w:rsid w:val="3CF8135F"/>
    <w:rsid w:val="3D3879AE"/>
    <w:rsid w:val="3F9F3A96"/>
    <w:rsid w:val="48BF60AB"/>
    <w:rsid w:val="493C27E9"/>
    <w:rsid w:val="496F39ED"/>
    <w:rsid w:val="49FF41D3"/>
    <w:rsid w:val="4BE068DB"/>
    <w:rsid w:val="4BF6002B"/>
    <w:rsid w:val="4DB90E7A"/>
    <w:rsid w:val="4ECE2238"/>
    <w:rsid w:val="51DB4B86"/>
    <w:rsid w:val="53FF70D0"/>
    <w:rsid w:val="55333C3E"/>
    <w:rsid w:val="64CA39A1"/>
    <w:rsid w:val="69630ADE"/>
    <w:rsid w:val="6B6A0DCB"/>
    <w:rsid w:val="6BA62B75"/>
    <w:rsid w:val="6C4A05C8"/>
    <w:rsid w:val="6D3B1A89"/>
    <w:rsid w:val="71BF4EC2"/>
    <w:rsid w:val="72734D90"/>
    <w:rsid w:val="7412278C"/>
    <w:rsid w:val="79E7B28D"/>
    <w:rsid w:val="7CB17038"/>
    <w:rsid w:val="7F2C666B"/>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qFormat/>
    <w:uiPriority w:val="99"/>
    <w:pPr>
      <w:spacing w:beforeLines="30"/>
    </w:pPr>
    <w:rPr>
      <w:rFonts w:ascii="仿宋_GB2312" w:eastAsia="仿宋_GB2312"/>
      <w:kern w:val="0"/>
      <w:sz w:val="30"/>
    </w:rPr>
  </w:style>
  <w:style w:type="paragraph" w:styleId="6">
    <w:name w:val="Body Text Indent"/>
    <w:basedOn w:val="1"/>
    <w:qFormat/>
    <w:uiPriority w:val="0"/>
    <w:pPr>
      <w:ind w:firstLine="600" w:firstLineChars="200"/>
    </w:pPr>
    <w:rPr>
      <w:sz w:val="30"/>
      <w:szCs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qFormat/>
    <w:uiPriority w:val="0"/>
    <w:pPr>
      <w:spacing w:after="120"/>
      <w:ind w:left="420" w:leftChars="200" w:firstLine="42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Header Char"/>
    <w:basedOn w:val="15"/>
    <w:semiHidden/>
    <w:qFormat/>
    <w:uiPriority w:val="99"/>
    <w:rPr>
      <w:rFonts w:ascii="Times New Roman" w:hAnsi="Times New Roman"/>
      <w:sz w:val="18"/>
      <w:szCs w:val="18"/>
    </w:rPr>
  </w:style>
  <w:style w:type="character" w:customStyle="1" w:styleId="19">
    <w:name w:val="页眉 Char"/>
    <w:link w:val="10"/>
    <w:semiHidden/>
    <w:qFormat/>
    <w:locked/>
    <w:uiPriority w:val="99"/>
    <w:rPr>
      <w:sz w:val="18"/>
    </w:rPr>
  </w:style>
  <w:style w:type="character" w:customStyle="1" w:styleId="20">
    <w:name w:val="Footer Char"/>
    <w:basedOn w:val="15"/>
    <w:semiHidden/>
    <w:qFormat/>
    <w:uiPriority w:val="99"/>
    <w:rPr>
      <w:rFonts w:ascii="Times New Roman" w:hAnsi="Times New Roman"/>
      <w:sz w:val="18"/>
      <w:szCs w:val="18"/>
    </w:rPr>
  </w:style>
  <w:style w:type="character" w:customStyle="1" w:styleId="21">
    <w:name w:val="页脚 Char"/>
    <w:link w:val="9"/>
    <w:qFormat/>
    <w:locked/>
    <w:uiPriority w:val="99"/>
    <w:rPr>
      <w:sz w:val="18"/>
    </w:rPr>
  </w:style>
  <w:style w:type="character" w:customStyle="1" w:styleId="22">
    <w:name w:val="Body Text Char"/>
    <w:basedOn w:val="15"/>
    <w:semiHidden/>
    <w:qFormat/>
    <w:uiPriority w:val="99"/>
    <w:rPr>
      <w:rFonts w:ascii="Times New Roman" w:hAnsi="Times New Roman"/>
      <w:szCs w:val="24"/>
    </w:rPr>
  </w:style>
  <w:style w:type="character" w:customStyle="1" w:styleId="23">
    <w:name w:val="正文文本 Char"/>
    <w:link w:val="2"/>
    <w:qFormat/>
    <w:locked/>
    <w:uiPriority w:val="99"/>
    <w:rPr>
      <w:rFonts w:ascii="仿宋_GB2312" w:hAnsi="Times New Roman" w:eastAsia="仿宋_GB2312"/>
      <w:sz w:val="24"/>
    </w:rPr>
  </w:style>
  <w:style w:type="paragraph" w:customStyle="1" w:styleId="2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Char"/>
    <w:basedOn w:val="15"/>
    <w:link w:val="3"/>
    <w:qFormat/>
    <w:uiPriority w:val="9"/>
    <w:rPr>
      <w:rFonts w:ascii="Times New Roman" w:hAnsi="Times New Roman"/>
      <w:b/>
      <w:bCs/>
      <w:kern w:val="44"/>
      <w:sz w:val="44"/>
      <w:szCs w:val="44"/>
    </w:rPr>
  </w:style>
  <w:style w:type="character" w:customStyle="1" w:styleId="27">
    <w:name w:val="标题 2 Char"/>
    <w:basedOn w:val="15"/>
    <w:link w:val="4"/>
    <w:qFormat/>
    <w:uiPriority w:val="9"/>
    <w:rPr>
      <w:rFonts w:asciiTheme="majorHAnsi" w:hAnsiTheme="majorHAnsi" w:eastAsiaTheme="majorEastAsia" w:cstheme="majorBidi"/>
      <w:b/>
      <w:bCs/>
      <w:kern w:val="2"/>
      <w:sz w:val="32"/>
      <w:szCs w:val="32"/>
    </w:r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5"/>
    <w:link w:val="8"/>
    <w:semiHidden/>
    <w:qFormat/>
    <w:uiPriority w:val="99"/>
    <w:rPr>
      <w:rFonts w:ascii="Times New Roman" w:hAnsi="Times New Roman"/>
      <w:kern w:val="2"/>
      <w:sz w:val="18"/>
      <w:szCs w:val="18"/>
    </w:rPr>
  </w:style>
  <w:style w:type="character" w:customStyle="1" w:styleId="30">
    <w:name w:val="标题 3 Char"/>
    <w:basedOn w:val="15"/>
    <w:link w:val="5"/>
    <w:qFormat/>
    <w:uiPriority w:val="9"/>
    <w:rPr>
      <w:rFonts w:ascii="Times New Roman" w:hAnsi="Times New Roman"/>
      <w:b/>
      <w:bCs/>
      <w:kern w:val="2"/>
      <w:sz w:val="32"/>
      <w:szCs w:val="32"/>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2">
    <w:name w:val="WPSOffice手动目录 1"/>
    <w:uiPriority w:val="0"/>
    <w:pPr>
      <w:ind w:leftChars="0"/>
    </w:pPr>
    <w:rPr>
      <w:rFonts w:ascii="Times New Roman" w:hAnsi="Times New Roman" w:eastAsia="宋体" w:cs="Times New Roman"/>
      <w:sz w:val="20"/>
      <w:szCs w:val="20"/>
    </w:rPr>
  </w:style>
  <w:style w:type="paragraph" w:customStyle="1" w:styleId="33">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5674</Words>
  <Characters>6044</Characters>
  <Lines>61</Lines>
  <Paragraphs>17</Paragraphs>
  <TotalTime>0</TotalTime>
  <ScaleCrop>false</ScaleCrop>
  <LinksUpToDate>false</LinksUpToDate>
  <CharactersWithSpaces>6165</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段亮江</cp:lastModifiedBy>
  <cp:lastPrinted>2023-07-31T02:35:00Z</cp:lastPrinted>
  <dcterms:modified xsi:type="dcterms:W3CDTF">2023-12-05T09:19:34Z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EBA6A46C9BF642CABFEB79DFFD0C139A_13</vt:lpwstr>
  </property>
</Properties>
</file>