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360" w:lineRule="auto"/>
        <w:jc w:val="center"/>
        <w:rPr>
          <w:rFonts w:hint="default" w:ascii="方正小标宋简体" w:hAnsi="方正小标宋简体" w:eastAsia="方正小标宋简体"/>
          <w:kern w:val="2"/>
          <w:sz w:val="72"/>
          <w:szCs w:val="24"/>
          <w:lang w:val="zh-CN"/>
        </w:rPr>
      </w:pPr>
      <w:bookmarkStart w:id="3" w:name="_GoBack"/>
      <w:bookmarkEnd w:id="3"/>
      <w:r>
        <w:rPr>
          <w:rFonts w:hint="eastAsia" w:ascii="方正小标宋简体" w:hAnsi="方正小标宋简体" w:eastAsia="方正小标宋简体"/>
          <w:kern w:val="2"/>
          <w:sz w:val="72"/>
          <w:szCs w:val="24"/>
          <w:lang w:val="zh-CN"/>
        </w:rPr>
        <w:t>2022年度</w:t>
      </w:r>
    </w:p>
    <w:p>
      <w:pPr>
        <w:spacing w:beforeLines="0" w:afterLines="0" w:line="360" w:lineRule="auto"/>
        <w:jc w:val="center"/>
        <w:rPr>
          <w:rFonts w:hint="default"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乐山市市中区行政审批局</w:t>
      </w:r>
    </w:p>
    <w:p>
      <w:pPr>
        <w:spacing w:beforeLines="0" w:afterLines="0" w:line="360" w:lineRule="auto"/>
        <w:jc w:val="center"/>
        <w:rPr>
          <w:rFonts w:hint="default"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部门决算</w:t>
      </w:r>
    </w:p>
    <w:p>
      <w:pPr>
        <w:keepNext/>
        <w:keepLines/>
        <w:tabs>
          <w:tab w:val="right" w:leader="dot" w:pos="8296"/>
        </w:tabs>
        <w:spacing w:beforeLines="0" w:afterLines="0" w:line="576" w:lineRule="exact"/>
        <w:rPr>
          <w:rFonts w:hint="default" w:ascii="黑体" w:hAnsi="黑体" w:eastAsia="黑体"/>
          <w:b/>
          <w:color w:val="FF0000"/>
          <w:kern w:val="2"/>
          <w:sz w:val="48"/>
          <w:szCs w:val="24"/>
          <w:lang w:val="zh-CN"/>
        </w:rPr>
      </w:pPr>
    </w:p>
    <w:p>
      <w:pPr>
        <w:spacing w:beforeLines="0" w:afterLines="0"/>
        <w:jc w:val="center"/>
        <w:rPr>
          <w:rFonts w:hint="default" w:ascii="黑体" w:hAnsi="黑体" w:eastAsia="黑体"/>
          <w:kern w:val="2"/>
          <w:sz w:val="48"/>
          <w:szCs w:val="24"/>
          <w:lang w:val="zh-CN"/>
        </w:rPr>
      </w:pPr>
      <w:r>
        <w:rPr>
          <w:rFonts w:hint="eastAsia" w:ascii="黑体" w:hAnsi="黑体" w:eastAsia="黑体"/>
          <w:kern w:val="2"/>
          <w:sz w:val="48"/>
          <w:szCs w:val="24"/>
          <w:lang w:val="zh-CN"/>
        </w:rPr>
        <w:t>目录</w:t>
      </w:r>
    </w:p>
    <w:p>
      <w:pPr>
        <w:spacing w:beforeLines="0" w:afterLines="0"/>
        <w:jc w:val="center"/>
        <w:rPr>
          <w:rFonts w:hint="default" w:ascii="黑体" w:hAnsi="黑体" w:eastAsia="黑体"/>
          <w:kern w:val="2"/>
          <w:sz w:val="28"/>
          <w:szCs w:val="24"/>
          <w:lang w:val="zh-CN"/>
        </w:rPr>
      </w:pPr>
    </w:p>
    <w:p>
      <w:pPr>
        <w:tabs>
          <w:tab w:val="right" w:leader="dot" w:pos="8296"/>
        </w:tabs>
        <w:spacing w:before="93" w:beforeLines="0" w:afterLines="0"/>
        <w:jc w:val="center"/>
        <w:rPr>
          <w:rFonts w:hint="default" w:ascii="仿宋" w:hAnsi="仿宋" w:eastAsia="仿宋"/>
          <w:kern w:val="2"/>
          <w:sz w:val="28"/>
          <w:szCs w:val="24"/>
          <w:lang w:val="zh-CN"/>
        </w:rPr>
      </w:pPr>
      <w:r>
        <w:rPr>
          <w:rFonts w:hint="eastAsia" w:ascii="仿宋" w:hAnsi="仿宋" w:eastAsia="仿宋"/>
          <w:kern w:val="2"/>
          <w:sz w:val="28"/>
          <w:szCs w:val="24"/>
          <w:lang w:val="zh-CN"/>
        </w:rPr>
        <w:t>公开时间：2023年</w:t>
      </w:r>
      <w:r>
        <w:rPr>
          <w:rFonts w:hint="eastAsia" w:ascii="仿宋" w:hAnsi="仿宋" w:eastAsia="仿宋"/>
          <w:kern w:val="2"/>
          <w:sz w:val="28"/>
          <w:szCs w:val="24"/>
        </w:rPr>
        <w:t>10</w:t>
      </w:r>
      <w:r>
        <w:rPr>
          <w:rFonts w:hint="eastAsia" w:ascii="仿宋" w:hAnsi="仿宋" w:eastAsia="仿宋"/>
          <w:kern w:val="2"/>
          <w:sz w:val="28"/>
          <w:szCs w:val="24"/>
          <w:lang w:val="zh-CN"/>
        </w:rPr>
        <w:t>月</w:t>
      </w:r>
      <w:r>
        <w:rPr>
          <w:rFonts w:hint="eastAsia" w:ascii="仿宋" w:hAnsi="仿宋" w:eastAsia="仿宋"/>
          <w:kern w:val="2"/>
          <w:sz w:val="28"/>
          <w:szCs w:val="24"/>
        </w:rPr>
        <w:t>16</w:t>
      </w:r>
      <w:r>
        <w:rPr>
          <w:rFonts w:hint="eastAsia" w:ascii="仿宋" w:hAnsi="仿宋" w:eastAsia="仿宋"/>
          <w:kern w:val="2"/>
          <w:sz w:val="28"/>
          <w:szCs w:val="24"/>
          <w:lang w:val="zh-CN"/>
        </w:rPr>
        <w:t>日</w:t>
      </w:r>
    </w:p>
    <w:p>
      <w:pPr>
        <w:spacing w:beforeLines="0" w:afterLines="0"/>
        <w:jc w:val="both"/>
        <w:rPr>
          <w:rFonts w:hint="default" w:eastAsia="Times New Roman"/>
          <w:kern w:val="2"/>
          <w:sz w:val="21"/>
          <w:szCs w:val="24"/>
          <w:lang w:val="zh-CN"/>
        </w:rPr>
      </w:pPr>
    </w:p>
    <w:p>
      <w:pPr>
        <w:tabs>
          <w:tab w:val="right" w:leader="dot" w:pos="8296"/>
        </w:tabs>
        <w:spacing w:beforeLines="0" w:afterLines="0" w:line="440" w:lineRule="exact"/>
        <w:rPr>
          <w:rFonts w:hint="default" w:ascii="仿宋" w:hAnsi="仿宋" w:eastAsia="仿宋"/>
          <w:kern w:val="2"/>
          <w:sz w:val="24"/>
          <w:szCs w:val="24"/>
          <w:lang w:val="zh-CN"/>
        </w:rPr>
      </w:pPr>
      <w:r>
        <w:rPr>
          <w:rFonts w:hint="eastAsia" w:ascii="仿宋" w:hAnsi="仿宋" w:eastAsia="仿宋"/>
          <w:kern w:val="2"/>
          <w:sz w:val="24"/>
          <w:szCs w:val="24"/>
          <w:lang w:val="zh-CN"/>
        </w:rPr>
        <w:t>第一部分 部门概况</w:t>
      </w:r>
      <w:r>
        <w:rPr>
          <w:rFonts w:hint="default"/>
          <w:color w:val="000000"/>
          <w:sz w:val="24"/>
          <w:szCs w:val="24"/>
        </w:rPr>
        <w:t>............................................................................................................3</w:t>
      </w:r>
    </w:p>
    <w:p>
      <w:pPr>
        <w:pStyle w:val="8"/>
        <w:snapToGrid w:val="0"/>
        <w:spacing w:beforeLines="0" w:afterLines="0" w:line="440" w:lineRule="exact"/>
        <w:ind w:left="480"/>
        <w:rPr>
          <w:rFonts w:hint="eastAsia" w:eastAsia="仿宋" w:cs="仿宋"/>
          <w:kern w:val="2"/>
          <w:sz w:val="24"/>
          <w:szCs w:val="24"/>
        </w:rPr>
      </w:pPr>
      <w:r>
        <w:rPr>
          <w:rFonts w:hint="eastAsia" w:ascii="宋体" w:hAnsi="宋体" w:cs="宋体"/>
          <w:kern w:val="2"/>
          <w:sz w:val="24"/>
          <w:szCs w:val="24"/>
          <w:lang w:val="zh-CN"/>
        </w:rPr>
        <w:t>一、部门职责</w:t>
      </w:r>
      <w:r>
        <w:rPr>
          <w:rFonts w:hint="default"/>
          <w:color w:val="000000"/>
          <w:sz w:val="24"/>
          <w:szCs w:val="24"/>
        </w:rPr>
        <w:t>..............................................................................................................3</w:t>
      </w:r>
    </w:p>
    <w:p>
      <w:pPr>
        <w:tabs>
          <w:tab w:val="right" w:leader="dot" w:pos="8296"/>
        </w:tabs>
        <w:spacing w:beforeLines="0" w:afterLines="0" w:line="440" w:lineRule="exact"/>
        <w:ind w:left="420"/>
        <w:rPr>
          <w:rFonts w:hint="eastAsia" w:eastAsia="仿宋" w:cs="仿宋"/>
          <w:kern w:val="2"/>
          <w:sz w:val="24"/>
          <w:szCs w:val="24"/>
        </w:rPr>
      </w:pPr>
      <w:r>
        <w:rPr>
          <w:rFonts w:hint="eastAsia" w:ascii="宋体" w:hAnsi="宋体" w:cs="宋体"/>
          <w:kern w:val="2"/>
          <w:sz w:val="24"/>
          <w:szCs w:val="24"/>
          <w:lang w:val="zh-CN"/>
        </w:rPr>
        <w:t>二、机构设置</w:t>
      </w:r>
      <w:r>
        <w:rPr>
          <w:rFonts w:hint="default"/>
          <w:color w:val="000000"/>
          <w:sz w:val="24"/>
          <w:szCs w:val="24"/>
        </w:rPr>
        <w:t>.................................................................................................................4</w:t>
      </w:r>
    </w:p>
    <w:p>
      <w:pPr>
        <w:tabs>
          <w:tab w:val="right" w:leader="dot" w:pos="8296"/>
        </w:tabs>
        <w:spacing w:beforeLines="0" w:afterLines="0" w:line="440" w:lineRule="exact"/>
        <w:rPr>
          <w:rFonts w:hint="eastAsia" w:eastAsia="仿宋" w:cs="仿宋"/>
          <w:kern w:val="2"/>
          <w:sz w:val="24"/>
          <w:szCs w:val="24"/>
        </w:rPr>
      </w:pPr>
      <w:r>
        <w:rPr>
          <w:rFonts w:hint="eastAsia" w:ascii="仿宋" w:hAnsi="仿宋" w:eastAsia="仿宋"/>
          <w:kern w:val="2"/>
          <w:sz w:val="24"/>
          <w:szCs w:val="24"/>
          <w:lang w:val="zh-CN"/>
        </w:rPr>
        <w:t>第二部分 2022年度部门决算情况说明</w:t>
      </w:r>
      <w:r>
        <w:rPr>
          <w:rFonts w:hint="default"/>
          <w:color w:val="000000"/>
          <w:sz w:val="24"/>
          <w:szCs w:val="24"/>
        </w:rPr>
        <w:t>............................................................................5</w:t>
      </w:r>
    </w:p>
    <w:p>
      <w:pPr>
        <w:tabs>
          <w:tab w:val="right" w:leader="dot" w:pos="8296"/>
        </w:tabs>
        <w:spacing w:beforeLines="0" w:afterLines="0" w:line="440" w:lineRule="exact"/>
        <w:ind w:left="420"/>
        <w:rPr>
          <w:rFonts w:hint="default" w:ascii="仿宋" w:hAnsi="仿宋" w:eastAsia="仿宋"/>
          <w:kern w:val="2"/>
          <w:sz w:val="24"/>
          <w:szCs w:val="24"/>
          <w:lang w:val="zh-CN"/>
        </w:rPr>
      </w:pPr>
      <w:r>
        <w:rPr>
          <w:rFonts w:hint="eastAsia" w:ascii="宋体" w:hAnsi="宋体" w:cs="宋体"/>
          <w:kern w:val="2"/>
          <w:sz w:val="24"/>
          <w:szCs w:val="24"/>
          <w:lang w:val="zh-CN"/>
        </w:rPr>
        <w:t>一、收入支出决算总体情况说明</w:t>
      </w:r>
      <w:r>
        <w:rPr>
          <w:rFonts w:hint="default"/>
          <w:color w:val="000000"/>
          <w:sz w:val="24"/>
          <w:szCs w:val="24"/>
        </w:rPr>
        <w:t>.................................................................................5</w:t>
      </w:r>
    </w:p>
    <w:p>
      <w:pPr>
        <w:tabs>
          <w:tab w:val="right" w:leader="dot" w:pos="8296"/>
        </w:tabs>
        <w:spacing w:beforeLines="0" w:afterLines="0" w:line="440" w:lineRule="exact"/>
        <w:ind w:left="420"/>
        <w:rPr>
          <w:rFonts w:hint="default" w:ascii="仿宋" w:hAnsi="仿宋" w:eastAsia="仿宋"/>
          <w:kern w:val="2"/>
          <w:sz w:val="24"/>
          <w:szCs w:val="24"/>
          <w:lang w:val="zh-CN"/>
        </w:rPr>
      </w:pPr>
      <w:r>
        <w:rPr>
          <w:rFonts w:hint="eastAsia" w:ascii="宋体" w:hAnsi="宋体" w:cs="宋体"/>
          <w:kern w:val="2"/>
          <w:sz w:val="24"/>
          <w:szCs w:val="24"/>
          <w:lang w:val="zh-CN"/>
        </w:rPr>
        <w:t>二、收入决算情况说明</w:t>
      </w:r>
      <w:r>
        <w:rPr>
          <w:rFonts w:hint="default"/>
          <w:color w:val="000000"/>
          <w:sz w:val="24"/>
          <w:szCs w:val="24"/>
        </w:rPr>
        <w:t>.................................................................................................5</w:t>
      </w:r>
    </w:p>
    <w:p>
      <w:pPr>
        <w:tabs>
          <w:tab w:val="right" w:leader="dot" w:pos="8296"/>
        </w:tabs>
        <w:spacing w:beforeLines="0" w:afterLines="0" w:line="440" w:lineRule="exact"/>
        <w:ind w:left="420"/>
        <w:rPr>
          <w:rFonts w:hint="eastAsia" w:eastAsia="仿宋" w:cs="仿宋"/>
          <w:kern w:val="2"/>
          <w:sz w:val="24"/>
          <w:szCs w:val="24"/>
        </w:rPr>
      </w:pPr>
      <w:r>
        <w:rPr>
          <w:rFonts w:hint="eastAsia" w:ascii="宋体" w:hAnsi="宋体" w:cs="宋体"/>
          <w:kern w:val="2"/>
          <w:sz w:val="24"/>
          <w:szCs w:val="24"/>
          <w:lang w:val="zh-CN"/>
        </w:rPr>
        <w:t>三、支出决算情况说明</w:t>
      </w:r>
      <w:r>
        <w:rPr>
          <w:rFonts w:hint="default"/>
          <w:color w:val="000000"/>
          <w:sz w:val="24"/>
          <w:szCs w:val="24"/>
        </w:rPr>
        <w:t>................................................................................................6</w:t>
      </w:r>
    </w:p>
    <w:p>
      <w:pPr>
        <w:tabs>
          <w:tab w:val="right" w:leader="dot" w:pos="8296"/>
        </w:tabs>
        <w:spacing w:beforeLines="0" w:afterLines="0" w:line="440" w:lineRule="exact"/>
        <w:ind w:left="420"/>
        <w:rPr>
          <w:rFonts w:hint="eastAsia" w:eastAsia="仿宋" w:cs="仿宋"/>
          <w:kern w:val="2"/>
          <w:sz w:val="24"/>
          <w:szCs w:val="24"/>
        </w:rPr>
      </w:pPr>
      <w:r>
        <w:rPr>
          <w:rFonts w:hint="eastAsia" w:ascii="宋体" w:hAnsi="宋体" w:cs="宋体"/>
          <w:kern w:val="2"/>
          <w:sz w:val="24"/>
          <w:szCs w:val="24"/>
          <w:lang w:val="zh-CN"/>
        </w:rPr>
        <w:t>四、财政拨款收入支出决算总体情况说明</w:t>
      </w:r>
      <w:r>
        <w:rPr>
          <w:rFonts w:hint="default"/>
          <w:color w:val="000000"/>
          <w:sz w:val="24"/>
          <w:szCs w:val="24"/>
        </w:rPr>
        <w:t>................................................................6</w:t>
      </w:r>
    </w:p>
    <w:p>
      <w:pPr>
        <w:tabs>
          <w:tab w:val="right" w:leader="dot" w:pos="8296"/>
        </w:tabs>
        <w:spacing w:beforeLines="0" w:afterLines="0" w:line="440" w:lineRule="exact"/>
        <w:ind w:left="420"/>
        <w:rPr>
          <w:rFonts w:hint="default" w:ascii="仿宋" w:hAnsi="仿宋" w:eastAsia="仿宋"/>
          <w:kern w:val="2"/>
          <w:sz w:val="24"/>
          <w:szCs w:val="24"/>
        </w:rPr>
      </w:pPr>
      <w:r>
        <w:rPr>
          <w:rFonts w:hint="eastAsia" w:ascii="宋体" w:hAnsi="宋体" w:cs="宋体"/>
          <w:kern w:val="2"/>
          <w:sz w:val="24"/>
          <w:szCs w:val="24"/>
          <w:lang w:val="zh-CN"/>
        </w:rPr>
        <w:t>五、一般公共预算财政拨款支出决算情况说明</w:t>
      </w:r>
      <w:r>
        <w:rPr>
          <w:rFonts w:hint="default"/>
          <w:color w:val="000000"/>
          <w:sz w:val="24"/>
          <w:szCs w:val="24"/>
        </w:rPr>
        <w:t>...................................................7-10</w:t>
      </w:r>
    </w:p>
    <w:p>
      <w:pPr>
        <w:tabs>
          <w:tab w:val="right" w:leader="dot" w:pos="8296"/>
        </w:tabs>
        <w:spacing w:beforeLines="0" w:afterLines="0" w:line="440" w:lineRule="exact"/>
        <w:ind w:left="420"/>
        <w:rPr>
          <w:rFonts w:hint="default" w:ascii="仿宋" w:hAnsi="仿宋" w:eastAsia="仿宋"/>
          <w:kern w:val="2"/>
          <w:sz w:val="24"/>
          <w:szCs w:val="24"/>
        </w:rPr>
      </w:pPr>
      <w:r>
        <w:rPr>
          <w:rFonts w:hint="eastAsia" w:ascii="宋体" w:hAnsi="宋体" w:cs="宋体"/>
          <w:kern w:val="2"/>
          <w:sz w:val="24"/>
          <w:szCs w:val="24"/>
          <w:lang w:val="zh-CN"/>
        </w:rPr>
        <w:t>六、一般公共预算财政拨款基本支出决算情况说明</w:t>
      </w:r>
      <w:r>
        <w:rPr>
          <w:rFonts w:hint="default"/>
          <w:color w:val="000000"/>
          <w:sz w:val="24"/>
          <w:szCs w:val="24"/>
        </w:rPr>
        <w:t>...............................................11</w:t>
      </w:r>
    </w:p>
    <w:p>
      <w:pPr>
        <w:tabs>
          <w:tab w:val="right" w:leader="dot" w:pos="8296"/>
        </w:tabs>
        <w:spacing w:beforeLines="0" w:afterLines="0" w:line="440" w:lineRule="exact"/>
        <w:ind w:left="420"/>
        <w:rPr>
          <w:rFonts w:hint="default" w:ascii="仿宋" w:hAnsi="仿宋" w:eastAsia="仿宋"/>
          <w:kern w:val="2"/>
          <w:sz w:val="24"/>
          <w:szCs w:val="24"/>
        </w:rPr>
      </w:pPr>
      <w:r>
        <w:rPr>
          <w:rFonts w:hint="eastAsia" w:ascii="宋体" w:hAnsi="宋体" w:cs="宋体"/>
          <w:kern w:val="2"/>
          <w:sz w:val="24"/>
          <w:szCs w:val="24"/>
          <w:lang w:val="zh-CN"/>
        </w:rPr>
        <w:t>七、财政拨款“三公”经费支出决算情况说明</w:t>
      </w:r>
      <w:r>
        <w:rPr>
          <w:rFonts w:hint="default"/>
          <w:color w:val="000000"/>
          <w:sz w:val="24"/>
          <w:szCs w:val="24"/>
        </w:rPr>
        <w:t>...................................................11-12</w:t>
      </w:r>
    </w:p>
    <w:p>
      <w:pPr>
        <w:tabs>
          <w:tab w:val="right" w:leader="dot" w:pos="8296"/>
        </w:tabs>
        <w:spacing w:beforeLines="0" w:afterLines="0" w:line="440" w:lineRule="exact"/>
        <w:ind w:left="420"/>
        <w:rPr>
          <w:rFonts w:hint="default" w:ascii="仿宋" w:hAnsi="仿宋" w:eastAsia="仿宋"/>
          <w:kern w:val="2"/>
          <w:sz w:val="24"/>
          <w:szCs w:val="24"/>
        </w:rPr>
      </w:pPr>
      <w:r>
        <w:rPr>
          <w:rFonts w:hint="eastAsia" w:ascii="宋体" w:hAnsi="宋体" w:cs="宋体"/>
          <w:kern w:val="2"/>
          <w:sz w:val="24"/>
          <w:szCs w:val="24"/>
          <w:lang w:val="zh-CN"/>
        </w:rPr>
        <w:t>八、政府性基金预算支出决算情况说明</w:t>
      </w:r>
      <w:r>
        <w:rPr>
          <w:rFonts w:hint="default"/>
          <w:color w:val="000000"/>
          <w:sz w:val="24"/>
          <w:szCs w:val="24"/>
        </w:rPr>
        <w:t>...................................................................13</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九、国有资本经营预算支出决算情况说明</w:t>
      </w:r>
      <w:r>
        <w:rPr>
          <w:rFonts w:hint="default"/>
          <w:color w:val="000000"/>
          <w:sz w:val="24"/>
          <w:szCs w:val="24"/>
        </w:rPr>
        <w:t>..............................................................13</w:t>
      </w:r>
    </w:p>
    <w:p>
      <w:pPr>
        <w:keepNext/>
        <w:keepLines/>
        <w:spacing w:beforeLines="0" w:afterLines="0" w:line="440" w:lineRule="exact"/>
        <w:ind w:firstLine="420"/>
        <w:rPr>
          <w:rFonts w:hint="default" w:ascii="宋体"/>
          <w:kern w:val="2"/>
          <w:sz w:val="24"/>
          <w:szCs w:val="24"/>
        </w:rPr>
      </w:pPr>
      <w:r>
        <w:rPr>
          <w:rFonts w:hint="eastAsia" w:ascii="宋体" w:hAnsi="宋体" w:cs="宋体"/>
          <w:kern w:val="2"/>
          <w:sz w:val="24"/>
          <w:szCs w:val="24"/>
          <w:lang w:val="zh-CN"/>
        </w:rPr>
        <w:t>十、其他重要事项的情况说明</w:t>
      </w:r>
      <w:r>
        <w:rPr>
          <w:rFonts w:hint="default"/>
          <w:color w:val="000000"/>
          <w:sz w:val="24"/>
          <w:szCs w:val="24"/>
        </w:rPr>
        <w:t>.............................................................................13-15</w:t>
      </w:r>
    </w:p>
    <w:p>
      <w:pPr>
        <w:tabs>
          <w:tab w:val="right" w:leader="dot" w:pos="8296"/>
        </w:tabs>
        <w:spacing w:beforeLines="0" w:afterLines="0" w:line="440" w:lineRule="exact"/>
        <w:rPr>
          <w:rFonts w:hint="default" w:ascii="仿宋" w:hAnsi="仿宋" w:eastAsia="仿宋"/>
          <w:kern w:val="2"/>
          <w:sz w:val="24"/>
          <w:szCs w:val="24"/>
        </w:rPr>
      </w:pPr>
      <w:r>
        <w:rPr>
          <w:rFonts w:hint="eastAsia" w:ascii="仿宋" w:hAnsi="仿宋" w:eastAsia="仿宋"/>
          <w:kern w:val="2"/>
          <w:sz w:val="24"/>
          <w:szCs w:val="24"/>
          <w:lang w:val="zh-CN"/>
        </w:rPr>
        <w:t>第三部分 名词解释</w:t>
      </w:r>
      <w:r>
        <w:rPr>
          <w:rFonts w:hint="default"/>
          <w:color w:val="000000"/>
          <w:sz w:val="24"/>
          <w:szCs w:val="24"/>
        </w:rPr>
        <w:t>....................................................................................................16-18</w:t>
      </w:r>
    </w:p>
    <w:p>
      <w:pPr>
        <w:tabs>
          <w:tab w:val="right" w:leader="dot" w:pos="8296"/>
        </w:tabs>
        <w:spacing w:beforeLines="0" w:afterLines="0" w:line="440" w:lineRule="exact"/>
        <w:rPr>
          <w:rFonts w:hint="default" w:ascii="仿宋" w:hAnsi="仿宋" w:eastAsia="仿宋"/>
          <w:kern w:val="2"/>
          <w:sz w:val="24"/>
          <w:szCs w:val="24"/>
        </w:rPr>
      </w:pPr>
      <w:r>
        <w:rPr>
          <w:rFonts w:hint="eastAsia" w:ascii="仿宋" w:hAnsi="仿宋" w:eastAsia="仿宋"/>
          <w:kern w:val="2"/>
          <w:sz w:val="24"/>
          <w:szCs w:val="24"/>
          <w:lang w:val="zh-CN"/>
        </w:rPr>
        <w:t>第四部分 附件</w:t>
      </w:r>
      <w:r>
        <w:rPr>
          <w:rFonts w:hint="default"/>
          <w:color w:val="000000"/>
          <w:sz w:val="24"/>
          <w:szCs w:val="24"/>
        </w:rPr>
        <w:t>............................................................................................................19-31</w:t>
      </w:r>
    </w:p>
    <w:p>
      <w:pPr>
        <w:tabs>
          <w:tab w:val="right" w:leader="dot" w:pos="8296"/>
        </w:tabs>
        <w:spacing w:beforeLines="0" w:afterLines="0" w:line="440" w:lineRule="exact"/>
        <w:rPr>
          <w:rFonts w:hint="eastAsia" w:eastAsia="仿宋" w:cs="仿宋"/>
          <w:kern w:val="2"/>
          <w:sz w:val="24"/>
          <w:szCs w:val="24"/>
        </w:rPr>
      </w:pPr>
      <w:r>
        <w:rPr>
          <w:rFonts w:hint="eastAsia" w:ascii="仿宋" w:hAnsi="仿宋" w:eastAsia="仿宋"/>
          <w:kern w:val="2"/>
          <w:sz w:val="24"/>
          <w:szCs w:val="24"/>
          <w:lang w:val="zh-CN"/>
        </w:rPr>
        <w:t>第五部分 附表</w:t>
      </w:r>
      <w:r>
        <w:rPr>
          <w:rFonts w:hint="default"/>
          <w:color w:val="000000"/>
          <w:sz w:val="24"/>
          <w:szCs w:val="24"/>
        </w:rPr>
        <w:t>............................................................................................................32-33</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一、收入支出决算总表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二、收入决算表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三、支出决算表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四、财政拨款收入支出决算总表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五、财政拨款支出决算明细表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六、一般公共预算财政拨款支出决算表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七、一般公共预算财政拨款支出决算明细表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八、一般公共预算财政拨款基本支出决算明细表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九、一般公共预算财政拨款项目支出决算表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十、政府性基金预算财政拨款收入支出决算表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十一、国有资本经营预算财政拨款收入支出决算表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十二、国有资本经营预算财政拨款支出决算表</w:t>
      </w:r>
    </w:p>
    <w:p>
      <w:pPr>
        <w:tabs>
          <w:tab w:val="right" w:leader="dot" w:pos="8296"/>
        </w:tabs>
        <w:spacing w:beforeLines="0" w:afterLines="0" w:line="440" w:lineRule="exact"/>
        <w:ind w:left="420"/>
        <w:rPr>
          <w:rFonts w:hint="default" w:ascii="宋体"/>
          <w:kern w:val="2"/>
          <w:sz w:val="24"/>
          <w:szCs w:val="24"/>
          <w:lang w:val="zh-CN"/>
        </w:rPr>
      </w:pPr>
      <w:r>
        <w:rPr>
          <w:rFonts w:hint="eastAsia" w:ascii="宋体" w:hAnsi="宋体" w:cs="宋体"/>
          <w:kern w:val="2"/>
          <w:sz w:val="24"/>
          <w:szCs w:val="24"/>
          <w:lang w:val="zh-CN"/>
        </w:rPr>
        <w:t>十三、财政拨款“三公”经费支出决算表</w:t>
      </w:r>
    </w:p>
    <w:p>
      <w:pPr>
        <w:spacing w:beforeLines="0" w:afterLines="0" w:line="440" w:lineRule="exact"/>
        <w:ind w:firstLine="1320"/>
        <w:rPr>
          <w:rFonts w:hint="default" w:ascii="仿宋" w:hAnsi="仿宋" w:eastAsia="仿宋"/>
          <w:kern w:val="2"/>
          <w:sz w:val="24"/>
          <w:szCs w:val="24"/>
          <w:lang w:val="zh-CN"/>
        </w:rPr>
      </w:pPr>
    </w:p>
    <w:p>
      <w:pPr>
        <w:spacing w:beforeLines="0" w:afterLines="0" w:line="440" w:lineRule="exact"/>
        <w:rPr>
          <w:rFonts w:hint="default" w:ascii="仿宋" w:hAnsi="仿宋" w:eastAsia="仿宋"/>
          <w:kern w:val="44"/>
          <w:sz w:val="24"/>
          <w:szCs w:val="24"/>
          <w:lang w:val="zh-CN"/>
        </w:rPr>
      </w:pPr>
      <w:r>
        <w:rPr>
          <w:rFonts w:hint="default" w:ascii="仿宋" w:hAnsi="仿宋" w:eastAsia="仿宋"/>
          <w:b/>
          <w:kern w:val="2"/>
          <w:sz w:val="24"/>
          <w:szCs w:val="24"/>
          <w:lang w:val="zh-CN"/>
        </w:rPr>
        <w:br w:type="page"/>
      </w:r>
    </w:p>
    <w:p>
      <w:pPr>
        <w:pStyle w:val="3"/>
        <w:keepNext/>
        <w:keepLines/>
        <w:spacing w:before="340" w:beforeLines="0" w:after="330" w:afterLines="0" w:line="576" w:lineRule="auto"/>
        <w:jc w:val="center"/>
        <w:rPr>
          <w:rFonts w:hint="default" w:ascii="黑体" w:hAnsi="黑体" w:eastAsia="黑体"/>
          <w:b/>
          <w:kern w:val="44"/>
          <w:sz w:val="44"/>
          <w:szCs w:val="24"/>
          <w:lang w:val="zh-CN"/>
        </w:rPr>
      </w:pPr>
      <w:r>
        <w:rPr>
          <w:rFonts w:hint="eastAsia" w:ascii="黑体" w:hAnsi="黑体" w:eastAsia="黑体"/>
          <w:kern w:val="44"/>
          <w:sz w:val="44"/>
          <w:szCs w:val="24"/>
          <w:lang w:val="zh-CN"/>
        </w:rPr>
        <w:t>第一部分 部门概况</w:t>
      </w:r>
    </w:p>
    <w:p>
      <w:pPr>
        <w:pStyle w:val="4"/>
        <w:keepNext/>
        <w:keepLines/>
        <w:spacing w:before="260" w:beforeLines="0" w:after="260" w:afterLines="0" w:line="576" w:lineRule="exact"/>
        <w:ind w:firstLine="640"/>
        <w:jc w:val="both"/>
        <w:rPr>
          <w:rFonts w:hint="default" w:ascii="黑体" w:hAnsi="黑体" w:eastAsia="黑体"/>
          <w:kern w:val="2"/>
          <w:sz w:val="32"/>
          <w:szCs w:val="24"/>
          <w:lang w:val="zh-CN"/>
        </w:rPr>
      </w:pPr>
      <w:r>
        <w:rPr>
          <w:rFonts w:hint="eastAsia" w:ascii="黑体" w:hAnsi="黑体" w:eastAsia="黑体"/>
          <w:color w:val="000000"/>
          <w:kern w:val="2"/>
          <w:sz w:val="32"/>
          <w:szCs w:val="24"/>
          <w:lang w:val="zh-CN"/>
        </w:rPr>
        <w:t>一、部门</w:t>
      </w:r>
      <w:r>
        <w:rPr>
          <w:rFonts w:hint="eastAsia" w:ascii="黑体" w:hAnsi="黑体" w:eastAsia="黑体"/>
          <w:kern w:val="2"/>
          <w:sz w:val="32"/>
          <w:szCs w:val="24"/>
          <w:lang w:val="zh-CN"/>
        </w:rPr>
        <w:t>职责</w:t>
      </w:r>
    </w:p>
    <w:p>
      <w:pPr>
        <w:pStyle w:val="2"/>
        <w:spacing w:before="130" w:beforeLines="0" w:afterLines="0" w:line="580" w:lineRule="exact"/>
        <w:ind w:firstLine="672" w:firstLineChars="210"/>
        <w:rPr>
          <w:rFonts w:hint="default" w:ascii="仿宋" w:hAnsi="仿宋" w:eastAsia="仿宋"/>
          <w:kern w:val="2"/>
          <w:sz w:val="32"/>
          <w:szCs w:val="24"/>
          <w:lang w:val="zh-CN"/>
        </w:rPr>
      </w:pPr>
      <w:r>
        <w:rPr>
          <w:rFonts w:hint="eastAsia" w:ascii="仿宋" w:hAnsi="仿宋" w:eastAsia="仿宋"/>
          <w:sz w:val="32"/>
          <w:szCs w:val="24"/>
        </w:rPr>
        <w:t>乐山市市中区行政审批局职能职责简介：贯彻落实国家、四川省、乐山市有关行政审批制度改革的决定，创新和完善相关工作体制机制。行使相对集中行政许可权，负责集中办理相关行政审批和公共服务等其他事项。负责统一组织实施行政审批涉及的现场勘查、技术论证和社会听证等工作。负责清理规范行政审批前置条件；负责对行政审批事项流程进行规范和优化，推进行政审批标准化建设；推进行政审批依法规范公开运行工作。负责会同有关部门加强政务服务大数据中心和“互联网＋政务服务” 信息化建设、维护。负责协调进驻大厅垂管部门行政审批事项和公共服务事项的办理；负责对大厅内行政审批、政务服务行为进行监督检查；负责对大厅内窗口工作人员进行日常监管、教育培训和检查考核。负责指导全区各级政务服务、便民服务体系建设。负责全区行政权力依法规范公开运行平台管理、指导工作。负责审定县级公共服务事项及全区政务服务相关信息进行公开并提供查询。负责全区机关行政效能建设工作。承办区委、区政府交办的其他事项。</w:t>
      </w:r>
    </w:p>
    <w:p>
      <w:pPr>
        <w:pStyle w:val="4"/>
        <w:keepNext/>
        <w:keepLines/>
        <w:spacing w:before="260" w:beforeLines="0" w:after="260" w:afterLines="0" w:line="576" w:lineRule="exact"/>
        <w:ind w:firstLine="640"/>
        <w:jc w:val="both"/>
        <w:rPr>
          <w:rFonts w:hint="default" w:ascii="Cambria" w:eastAsia="Times New Roman"/>
          <w:kern w:val="2"/>
          <w:sz w:val="32"/>
          <w:szCs w:val="24"/>
          <w:lang w:val="zh-CN"/>
        </w:rPr>
      </w:pPr>
      <w:r>
        <w:rPr>
          <w:rFonts w:hint="eastAsia" w:ascii="黑体" w:hAnsi="黑体" w:eastAsia="黑体"/>
          <w:color w:val="000000"/>
          <w:kern w:val="2"/>
          <w:sz w:val="32"/>
          <w:szCs w:val="24"/>
          <w:lang w:val="zh-CN"/>
        </w:rPr>
        <w:t>二、机</w:t>
      </w:r>
      <w:r>
        <w:rPr>
          <w:rFonts w:hint="eastAsia" w:ascii="黑体" w:hAnsi="黑体" w:eastAsia="黑体"/>
          <w:kern w:val="2"/>
          <w:sz w:val="32"/>
          <w:szCs w:val="24"/>
          <w:lang w:val="zh-CN"/>
        </w:rPr>
        <w:t>构设置</w:t>
      </w:r>
    </w:p>
    <w:p>
      <w:pPr>
        <w:spacing w:beforeLines="0" w:afterLines="0" w:line="360" w:lineRule="auto"/>
        <w:ind w:firstLine="800"/>
        <w:jc w:val="both"/>
        <w:rPr>
          <w:rFonts w:hint="default" w:ascii="仿宋" w:hAnsi="仿宋" w:eastAsia="仿宋"/>
          <w:kern w:val="2"/>
          <w:sz w:val="32"/>
          <w:szCs w:val="24"/>
        </w:rPr>
      </w:pPr>
      <w:r>
        <w:rPr>
          <w:rFonts w:hint="eastAsia" w:ascii="仿宋_GB2312" w:hAnsi="仿宋_GB2312" w:eastAsia="仿宋_GB2312"/>
          <w:kern w:val="2"/>
          <w:sz w:val="32"/>
          <w:szCs w:val="24"/>
          <w:lang w:val="zh-CN"/>
        </w:rPr>
        <w:t>乐山市市中区行政审批局</w:t>
      </w:r>
      <w:r>
        <w:rPr>
          <w:rFonts w:hint="eastAsia" w:ascii="仿宋" w:hAnsi="仿宋" w:eastAsia="仿宋"/>
          <w:kern w:val="2"/>
          <w:sz w:val="32"/>
          <w:szCs w:val="24"/>
        </w:rPr>
        <w:t>下属二级单位</w:t>
      </w:r>
      <w:r>
        <w:rPr>
          <w:rFonts w:hint="default" w:ascii="仿宋" w:hAnsi="仿宋" w:eastAsia="仿宋"/>
          <w:kern w:val="2"/>
          <w:sz w:val="32"/>
          <w:szCs w:val="24"/>
        </w:rPr>
        <w:t>0</w:t>
      </w:r>
      <w:r>
        <w:rPr>
          <w:rFonts w:hint="eastAsia" w:ascii="仿宋" w:hAnsi="仿宋" w:eastAsia="仿宋"/>
          <w:kern w:val="2"/>
          <w:sz w:val="32"/>
          <w:szCs w:val="24"/>
        </w:rPr>
        <w:t>个，其中行政单位1个，参照公务员法管理的事业单位</w:t>
      </w:r>
      <w:r>
        <w:rPr>
          <w:rFonts w:hint="default" w:ascii="仿宋" w:hAnsi="仿宋" w:eastAsia="仿宋"/>
          <w:kern w:val="2"/>
          <w:sz w:val="32"/>
          <w:szCs w:val="24"/>
        </w:rPr>
        <w:t>0</w:t>
      </w:r>
      <w:r>
        <w:rPr>
          <w:rFonts w:hint="eastAsia" w:ascii="仿宋" w:hAnsi="仿宋" w:eastAsia="仿宋"/>
          <w:kern w:val="2"/>
          <w:sz w:val="32"/>
          <w:szCs w:val="24"/>
        </w:rPr>
        <w:t>个，其他事业单位1个。</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2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93" w:beforeLines="0" w:afterLines="0" w:line="576" w:lineRule="exact"/>
              <w:ind w:firstLine="640"/>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序号</w:t>
            </w:r>
          </w:p>
        </w:tc>
        <w:tc>
          <w:tcPr>
            <w:tcW w:w="628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93" w:beforeLines="0" w:afterLines="0" w:line="576" w:lineRule="exact"/>
              <w:ind w:firstLine="1280" w:firstLineChars="40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预算单位名称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4" w:hRule="atLeast"/>
        </w:trPr>
        <w:tc>
          <w:tcPr>
            <w:tcW w:w="20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93" w:beforeLines="0" w:afterLines="0" w:line="576" w:lineRule="exact"/>
              <w:ind w:firstLine="960" w:firstLineChars="3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w:t>
            </w:r>
          </w:p>
        </w:tc>
        <w:tc>
          <w:tcPr>
            <w:tcW w:w="628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93"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乐山市市中区行政审批局</w:t>
            </w:r>
          </w:p>
        </w:tc>
      </w:tr>
    </w:tbl>
    <w:p>
      <w:pPr>
        <w:pStyle w:val="3"/>
        <w:keepNext/>
        <w:keepLines/>
        <w:spacing w:before="340" w:beforeLines="0" w:after="330" w:afterLines="0" w:line="576" w:lineRule="exact"/>
        <w:ind w:right="442"/>
        <w:jc w:val="center"/>
        <w:rPr>
          <w:rFonts w:hint="default" w:eastAsia="Times New Roman"/>
          <w:b/>
          <w:kern w:val="44"/>
          <w:sz w:val="44"/>
          <w:szCs w:val="24"/>
          <w:lang w:val="zh-CN"/>
        </w:rPr>
      </w:pPr>
      <w:r>
        <w:rPr>
          <w:rFonts w:hint="default" w:ascii="黑体" w:hAnsi="黑体" w:eastAsia="黑体"/>
          <w:color w:val="000000"/>
          <w:kern w:val="44"/>
          <w:sz w:val="44"/>
          <w:szCs w:val="24"/>
          <w:lang w:val="zh-CN"/>
        </w:rPr>
        <w:br w:type="page"/>
      </w:r>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kern w:val="44"/>
          <w:sz w:val="44"/>
          <w:szCs w:val="24"/>
          <w:lang w:val="zh-CN"/>
        </w:rPr>
        <w:t>2022年度部门决算情况说明</w:t>
      </w:r>
    </w:p>
    <w:p>
      <w:pPr>
        <w:keepNext/>
        <w:keepLines/>
        <w:spacing w:beforeLines="0" w:afterLines="0" w:line="576" w:lineRule="exact"/>
        <w:jc w:val="both"/>
        <w:rPr>
          <w:rFonts w:hint="default" w:ascii="黑体" w:hAnsi="黑体" w:eastAsia="黑体"/>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kern w:val="2"/>
          <w:sz w:val="32"/>
          <w:szCs w:val="24"/>
          <w:lang w:val="zh-CN"/>
        </w:rPr>
        <w:t>入支出决算总体情况说明</w:t>
      </w:r>
    </w:p>
    <w:p>
      <w:pPr>
        <w:keepNext/>
        <w:keepLines/>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2022年度收、支总计1,053.36万元。与2021年相比，收、支总计各减少</w:t>
      </w:r>
      <w:r>
        <w:rPr>
          <w:rFonts w:hint="eastAsia" w:ascii="仿宋_GB2312" w:hAnsi="仿宋_GB2312" w:eastAsia="仿宋_GB2312"/>
          <w:kern w:val="2"/>
          <w:sz w:val="32"/>
          <w:szCs w:val="24"/>
          <w:lang w:val="zh-CN"/>
        </w:rPr>
        <w:t>-103.11万元，下降-8.9%</w:t>
      </w:r>
      <w:r>
        <w:rPr>
          <w:rFonts w:hint="eastAsia" w:ascii="仿宋_GB2312" w:hAnsi="仿宋_GB2312" w:eastAsia="仿宋_GB2312"/>
          <w:color w:val="000000"/>
          <w:kern w:val="2"/>
          <w:sz w:val="32"/>
          <w:szCs w:val="24"/>
          <w:lang w:val="zh-CN"/>
        </w:rPr>
        <w:t>。主要变动原因是厉行节约，缩减经费开支。</w:t>
      </w:r>
    </w:p>
    <w:p>
      <w:pPr>
        <w:spacing w:beforeLines="0" w:afterLines="0" w:line="600" w:lineRule="exact"/>
        <w:ind w:firstLine="640"/>
        <w:jc w:val="both"/>
        <w:rPr>
          <w:rFonts w:hint="default" w:ascii="仿宋" w:hAnsi="仿宋" w:eastAsia="仿宋"/>
          <w:kern w:val="2"/>
          <w:sz w:val="32"/>
          <w:szCs w:val="24"/>
        </w:rPr>
      </w:pPr>
      <w:r>
        <w:rPr>
          <w:rFonts w:hint="eastAsia" w:ascii="仿宋" w:hAnsi="仿宋" w:eastAsia="仿宋"/>
          <w:kern w:val="2"/>
          <w:sz w:val="32"/>
          <w:szCs w:val="24"/>
        </w:rPr>
        <w:t>（图1：收、支决算总计变动情况图）（柱状图）</w:t>
      </w:r>
    </w:p>
    <w:p>
      <w:pPr>
        <w:spacing w:beforeLines="0" w:afterLines="0" w:line="600" w:lineRule="exact"/>
        <w:ind w:firstLine="640"/>
        <w:jc w:val="both"/>
        <w:rPr>
          <w:rFonts w:hint="default" w:ascii="黑体" w:hAnsi="黑体" w:eastAsia="黑体"/>
          <w:kern w:val="2"/>
          <w:sz w:val="32"/>
          <w:szCs w:val="24"/>
          <w:lang w:val="zh-CN"/>
        </w:rPr>
      </w:pPr>
      <w:r>
        <w:rPr>
          <w:rFonts w:hint="default"/>
          <w:sz w:val="24"/>
          <w:szCs w:val="24"/>
          <w:lang/>
        </w:rPr>
        <w:drawing>
          <wp:anchor distT="0" distB="0" distL="114300" distR="114300" simplePos="0" relativeHeight="251660288" behindDoc="0" locked="0" layoutInCell="1" allowOverlap="1">
            <wp:simplePos x="0" y="0"/>
            <wp:positionH relativeFrom="column">
              <wp:posOffset>-9525</wp:posOffset>
            </wp:positionH>
            <wp:positionV relativeFrom="paragraph">
              <wp:posOffset>187325</wp:posOffset>
            </wp:positionV>
            <wp:extent cx="5562600" cy="2231390"/>
            <wp:effectExtent l="0" t="0" r="0" b="16510"/>
            <wp:wrapSquare wrapText="bothSides"/>
            <wp:docPr id="2" name="图表 2"/>
            <wp:cNvGraphicFramePr/>
            <a:graphic xmlns:a="http://schemas.openxmlformats.org/drawingml/2006/main">
              <a:graphicData uri="http://schemas.openxmlformats.org/drawingml/2006/picture">
                <pic:pic xmlns:pic="http://schemas.openxmlformats.org/drawingml/2006/picture">
                  <pic:nvPicPr>
                    <pic:cNvPr id="2" name="图表 2"/>
                    <pic:cNvPicPr/>
                  </pic:nvPicPr>
                  <pic:blipFill>
                    <a:blip r:embed="rId6"/>
                    <a:stretch>
                      <a:fillRect/>
                    </a:stretch>
                  </pic:blipFill>
                  <pic:spPr>
                    <a:xfrm>
                      <a:off x="0" y="0"/>
                      <a:ext cx="5562600" cy="2231390"/>
                    </a:xfrm>
                    <a:prstGeom prst="rect">
                      <a:avLst/>
                    </a:prstGeom>
                    <a:noFill/>
                    <a:ln>
                      <a:noFill/>
                    </a:ln>
                  </pic:spPr>
                </pic:pic>
              </a:graphicData>
            </a:graphic>
          </wp:anchor>
        </w:drawing>
      </w:r>
    </w:p>
    <w:p>
      <w:pPr>
        <w:numPr>
          <w:ilvl w:val="0"/>
          <w:numId w:val="1"/>
        </w:numPr>
        <w:spacing w:beforeLines="0" w:afterLines="0" w:line="600" w:lineRule="exact"/>
        <w:ind w:firstLine="640"/>
        <w:jc w:val="both"/>
        <w:rPr>
          <w:rFonts w:hint="default" w:ascii="黑体" w:hAnsi="黑体" w:eastAsia="黑体"/>
          <w:kern w:val="2"/>
          <w:sz w:val="32"/>
          <w:szCs w:val="24"/>
          <w:lang w:val="zh-CN"/>
        </w:rPr>
      </w:pPr>
      <w:r>
        <w:rPr>
          <w:rFonts w:hint="eastAsia" w:ascii="黑体" w:hAnsi="黑体" w:eastAsia="黑体"/>
          <w:color w:val="000000"/>
          <w:kern w:val="2"/>
          <w:sz w:val="32"/>
          <w:szCs w:val="24"/>
          <w:lang w:val="zh-CN"/>
        </w:rPr>
        <w:t>收</w:t>
      </w:r>
      <w:r>
        <w:rPr>
          <w:rFonts w:hint="eastAsia" w:ascii="黑体" w:hAnsi="黑体" w:eastAsia="黑体"/>
          <w:kern w:val="2"/>
          <w:sz w:val="32"/>
          <w:szCs w:val="24"/>
          <w:lang w:val="zh-CN"/>
        </w:rPr>
        <w:t>入决算情况说明</w:t>
      </w:r>
    </w:p>
    <w:p>
      <w:pPr>
        <w:spacing w:beforeLines="0" w:afterLines="0" w:line="600" w:lineRule="exact"/>
        <w:ind w:firstLine="640" w:firstLineChars="20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2022年本年收入合计1,053.36万元，其中：一般公共预算财政拨款收入1,053.36万元，占100%；政府性基金预算财政拨款收入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万元，占0%；国有资本经营预算财政拨款收入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万元，占0%；上级补助收入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万元，占0%；事业收入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万元，占0%；经营收入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万元，占0%；附属单位上缴收入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万元，占0%；其他收入</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w:t>
      </w:r>
    </w:p>
    <w:p>
      <w:pPr>
        <w:spacing w:beforeLines="0" w:afterLines="0" w:line="600" w:lineRule="exact"/>
        <w:ind w:firstLine="640" w:firstLineChars="200"/>
        <w:jc w:val="both"/>
        <w:rPr>
          <w:rFonts w:hint="default" w:ascii="仿宋" w:hAnsi="仿宋" w:eastAsia="仿宋"/>
          <w:kern w:val="2"/>
          <w:sz w:val="32"/>
          <w:szCs w:val="24"/>
        </w:rPr>
      </w:pPr>
      <w:r>
        <w:rPr>
          <w:rFonts w:hint="eastAsia" w:ascii="仿宋" w:hAnsi="仿宋" w:eastAsia="仿宋"/>
          <w:kern w:val="2"/>
          <w:sz w:val="32"/>
          <w:szCs w:val="24"/>
        </w:rPr>
        <w:t>（图2：收入决算结构图）（饼状图）</w:t>
      </w:r>
    </w:p>
    <w:p>
      <w:pPr>
        <w:spacing w:beforeLines="0" w:afterLines="0" w:line="600" w:lineRule="exact"/>
        <w:ind w:firstLine="640"/>
        <w:jc w:val="both"/>
        <w:rPr>
          <w:rFonts w:hint="default" w:ascii="黑体" w:hAnsi="黑体" w:eastAsia="黑体"/>
          <w:kern w:val="2"/>
          <w:sz w:val="32"/>
          <w:szCs w:val="24"/>
          <w:lang w:val="zh-CN"/>
        </w:rPr>
      </w:pPr>
      <w:r>
        <w:rPr>
          <w:rFonts w:hint="default"/>
          <w:sz w:val="24"/>
          <w:szCs w:val="24"/>
          <w:lang/>
        </w:rPr>
        <w:drawing>
          <wp:anchor distT="0" distB="0" distL="114300" distR="114300" simplePos="0" relativeHeight="251659264" behindDoc="0" locked="0" layoutInCell="1" allowOverlap="1">
            <wp:simplePos x="0" y="0"/>
            <wp:positionH relativeFrom="column">
              <wp:posOffset>85090</wp:posOffset>
            </wp:positionH>
            <wp:positionV relativeFrom="paragraph">
              <wp:posOffset>247650</wp:posOffset>
            </wp:positionV>
            <wp:extent cx="5315585" cy="2639695"/>
            <wp:effectExtent l="0" t="0" r="18415" b="8255"/>
            <wp:wrapSquare wrapText="bothSides"/>
            <wp:docPr id="1" name="图表 2"/>
            <wp:cNvGraphicFramePr/>
            <a:graphic xmlns:a="http://schemas.openxmlformats.org/drawingml/2006/main">
              <a:graphicData uri="http://schemas.openxmlformats.org/drawingml/2006/picture">
                <pic:pic xmlns:pic="http://schemas.openxmlformats.org/drawingml/2006/picture">
                  <pic:nvPicPr>
                    <pic:cNvPr id="1" name="图表 2"/>
                    <pic:cNvPicPr/>
                  </pic:nvPicPr>
                  <pic:blipFill>
                    <a:blip r:embed="rId7"/>
                    <a:stretch>
                      <a:fillRect/>
                    </a:stretch>
                  </pic:blipFill>
                  <pic:spPr>
                    <a:xfrm>
                      <a:off x="0" y="0"/>
                      <a:ext cx="5315585" cy="2639695"/>
                    </a:xfrm>
                    <a:prstGeom prst="rect">
                      <a:avLst/>
                    </a:prstGeom>
                    <a:noFill/>
                    <a:ln>
                      <a:noFill/>
                    </a:ln>
                  </pic:spPr>
                </pic:pic>
              </a:graphicData>
            </a:graphic>
          </wp:anchor>
        </w:drawing>
      </w:r>
      <w:r>
        <w:rPr>
          <w:rFonts w:hint="eastAsia" w:ascii="黑体" w:hAnsi="黑体" w:eastAsia="黑体"/>
          <w:color w:val="000000"/>
          <w:kern w:val="2"/>
          <w:sz w:val="32"/>
          <w:szCs w:val="24"/>
          <w:lang w:val="zh-CN"/>
        </w:rPr>
        <w:t>三、支</w:t>
      </w:r>
      <w:r>
        <w:rPr>
          <w:rFonts w:hint="eastAsia" w:ascii="黑体" w:hAnsi="黑体" w:eastAsia="黑体"/>
          <w:kern w:val="2"/>
          <w:sz w:val="32"/>
          <w:szCs w:val="24"/>
          <w:lang w:val="zh-CN"/>
        </w:rPr>
        <w:t>出决算情况说明</w:t>
      </w:r>
    </w:p>
    <w:p>
      <w:pPr>
        <w:keepNext/>
        <w:keepLines/>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2022年本年支出合计1,053.36万元，其中：基本支出864.51万元，占82.1%；项目支出188.84万元，占17.9%；上缴上级支出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万元，占0%；经营支出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万元，占0%；对附属单位补助支出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w:t>
      </w:r>
    </w:p>
    <w:p>
      <w:pPr>
        <w:spacing w:beforeLines="0" w:afterLines="0" w:line="600" w:lineRule="exact"/>
        <w:ind w:firstLine="640"/>
        <w:jc w:val="both"/>
        <w:rPr>
          <w:rFonts w:hint="default" w:ascii="仿宋" w:hAnsi="仿宋" w:eastAsia="仿宋"/>
          <w:kern w:val="2"/>
          <w:sz w:val="32"/>
          <w:szCs w:val="24"/>
        </w:rPr>
      </w:pPr>
      <w:r>
        <w:rPr>
          <w:rFonts w:hint="eastAsia" w:ascii="仿宋" w:hAnsi="仿宋" w:eastAsia="仿宋"/>
          <w:kern w:val="2"/>
          <w:sz w:val="32"/>
          <w:szCs w:val="24"/>
        </w:rPr>
        <w:t>（图3：支出决算结构图）（饼状图）</w:t>
      </w:r>
    </w:p>
    <w:p>
      <w:pPr>
        <w:spacing w:beforeLines="0" w:afterLines="0" w:line="600" w:lineRule="exact"/>
        <w:ind w:firstLine="640"/>
        <w:jc w:val="both"/>
        <w:rPr>
          <w:rFonts w:hint="default" w:ascii="黑体" w:hAnsi="黑体" w:eastAsia="黑体"/>
          <w:color w:val="000000"/>
          <w:kern w:val="2"/>
          <w:sz w:val="32"/>
          <w:szCs w:val="24"/>
          <w:lang w:val="zh-CN"/>
        </w:rPr>
      </w:pPr>
      <w:r>
        <w:rPr>
          <w:rFonts w:hint="default"/>
          <w:sz w:val="24"/>
          <w:szCs w:val="24"/>
          <w:lang/>
        </w:rPr>
        <w:drawing>
          <wp:anchor distT="0" distB="0" distL="114300" distR="114300" simplePos="0" relativeHeight="251663360" behindDoc="0" locked="0" layoutInCell="1" allowOverlap="1">
            <wp:simplePos x="0" y="0"/>
            <wp:positionH relativeFrom="column">
              <wp:posOffset>158750</wp:posOffset>
            </wp:positionH>
            <wp:positionV relativeFrom="paragraph">
              <wp:posOffset>60325</wp:posOffset>
            </wp:positionV>
            <wp:extent cx="4922520" cy="2369820"/>
            <wp:effectExtent l="0" t="0" r="11430" b="11430"/>
            <wp:wrapSquare wrapText="bothSides"/>
            <wp:docPr id="5" name="图表 2"/>
            <wp:cNvGraphicFramePr/>
            <a:graphic xmlns:a="http://schemas.openxmlformats.org/drawingml/2006/main">
              <a:graphicData uri="http://schemas.openxmlformats.org/drawingml/2006/picture">
                <pic:pic xmlns:pic="http://schemas.openxmlformats.org/drawingml/2006/picture">
                  <pic:nvPicPr>
                    <pic:cNvPr id="5" name="图表 2"/>
                    <pic:cNvPicPr/>
                  </pic:nvPicPr>
                  <pic:blipFill>
                    <a:blip r:embed="rId8"/>
                    <a:stretch>
                      <a:fillRect/>
                    </a:stretch>
                  </pic:blipFill>
                  <pic:spPr>
                    <a:xfrm>
                      <a:off x="0" y="0"/>
                      <a:ext cx="4922520" cy="2369820"/>
                    </a:xfrm>
                    <a:prstGeom prst="rect">
                      <a:avLst/>
                    </a:prstGeom>
                    <a:noFill/>
                    <a:ln>
                      <a:noFill/>
                    </a:ln>
                  </pic:spPr>
                </pic:pic>
              </a:graphicData>
            </a:graphic>
          </wp:anchor>
        </w:drawing>
      </w:r>
    </w:p>
    <w:p>
      <w:pPr>
        <w:keepNext/>
        <w:keepLines/>
        <w:spacing w:beforeLines="0" w:afterLines="0" w:line="576" w:lineRule="exact"/>
        <w:ind w:firstLine="640"/>
        <w:jc w:val="both"/>
        <w:rPr>
          <w:rFonts w:hint="default" w:ascii="黑体" w:hAnsi="黑体" w:eastAsia="黑体"/>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kern w:val="2"/>
          <w:sz w:val="32"/>
          <w:szCs w:val="24"/>
          <w:lang w:val="zh-CN"/>
        </w:rPr>
        <w:t>政拨款收入支出决算总体情况说明</w:t>
      </w:r>
    </w:p>
    <w:p>
      <w:pPr>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2022年财政拨款收、支总计1,053.36万元。与2021年相比，财政拨款收、支总计各减少</w:t>
      </w:r>
      <w:r>
        <w:rPr>
          <w:rFonts w:hint="eastAsia" w:ascii="仿宋_GB2312" w:hAnsi="仿宋_GB2312" w:eastAsia="仿宋_GB2312"/>
          <w:kern w:val="2"/>
          <w:sz w:val="32"/>
          <w:szCs w:val="24"/>
          <w:lang w:val="zh-CN"/>
        </w:rPr>
        <w:t>-103.11万元，下降-8.9%</w:t>
      </w:r>
      <w:r>
        <w:rPr>
          <w:rFonts w:hint="eastAsia" w:ascii="仿宋_GB2312" w:hAnsi="仿宋_GB2312" w:eastAsia="仿宋_GB2312"/>
          <w:color w:val="000000"/>
          <w:kern w:val="2"/>
          <w:sz w:val="32"/>
          <w:szCs w:val="24"/>
          <w:lang w:val="zh-CN"/>
        </w:rPr>
        <w:t>。主要变动原因是厉行节约，缩减经费开支。</w:t>
      </w:r>
    </w:p>
    <w:p>
      <w:pPr>
        <w:spacing w:beforeLines="0" w:afterLines="0" w:line="600" w:lineRule="exact"/>
        <w:ind w:firstLine="640"/>
        <w:jc w:val="both"/>
        <w:rPr>
          <w:rFonts w:hint="default" w:ascii="仿宋" w:hAnsi="仿宋" w:eastAsia="仿宋"/>
          <w:kern w:val="2"/>
          <w:sz w:val="32"/>
          <w:szCs w:val="24"/>
        </w:rPr>
      </w:pPr>
      <w:r>
        <w:rPr>
          <w:rFonts w:hint="eastAsia" w:ascii="仿宋" w:hAnsi="仿宋" w:eastAsia="仿宋"/>
          <w:kern w:val="2"/>
          <w:sz w:val="32"/>
          <w:szCs w:val="24"/>
        </w:rPr>
        <w:t>（图4：财政拨款收、支决算总计变动情况）（柱状图）</w:t>
      </w:r>
    </w:p>
    <w:p>
      <w:pPr>
        <w:keepNext/>
        <w:keepLines/>
        <w:spacing w:beforeLines="0" w:afterLines="0" w:line="576" w:lineRule="exact"/>
        <w:ind w:firstLine="720" w:firstLineChars="300"/>
        <w:jc w:val="both"/>
        <w:rPr>
          <w:rFonts w:hint="default" w:ascii="黑体" w:hAnsi="黑体" w:eastAsia="黑体"/>
          <w:kern w:val="2"/>
          <w:sz w:val="32"/>
          <w:szCs w:val="24"/>
          <w:lang w:val="zh-CN"/>
        </w:rPr>
      </w:pPr>
      <w:r>
        <w:rPr>
          <w:rFonts w:hint="default"/>
          <w:sz w:val="24"/>
          <w:szCs w:val="24"/>
          <w:lang/>
        </w:rPr>
        <w:drawing>
          <wp:anchor distT="0" distB="0" distL="114300" distR="114300" simplePos="0" relativeHeight="251661312" behindDoc="0" locked="0" layoutInCell="1" allowOverlap="1">
            <wp:simplePos x="0" y="0"/>
            <wp:positionH relativeFrom="column">
              <wp:posOffset>-38100</wp:posOffset>
            </wp:positionH>
            <wp:positionV relativeFrom="paragraph">
              <wp:posOffset>47625</wp:posOffset>
            </wp:positionV>
            <wp:extent cx="5562600" cy="2600960"/>
            <wp:effectExtent l="0" t="0" r="0" b="8890"/>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5562600" cy="2600960"/>
                    </a:xfrm>
                    <a:prstGeom prst="rect">
                      <a:avLst/>
                    </a:prstGeom>
                    <a:noFill/>
                    <a:ln>
                      <a:noFill/>
                    </a:ln>
                  </pic:spPr>
                </pic:pic>
              </a:graphicData>
            </a:graphic>
          </wp:anchor>
        </w:drawing>
      </w: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kern w:val="2"/>
          <w:sz w:val="32"/>
          <w:szCs w:val="24"/>
          <w:lang w:val="zh-CN"/>
        </w:rPr>
        <w:t>般公共预算财政拨款支出决算情况说明</w:t>
      </w:r>
    </w:p>
    <w:p>
      <w:pPr>
        <w:keepNext/>
        <w:keepLines/>
        <w:spacing w:beforeLines="0" w:afterLines="0" w:line="576" w:lineRule="exact"/>
        <w:ind w:firstLine="643"/>
        <w:jc w:val="both"/>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（一）一般公共预算财政拨款支出决算总体情况。</w:t>
      </w:r>
    </w:p>
    <w:p>
      <w:pPr>
        <w:keepNext/>
        <w:keepLines/>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2022年一般公共预算财政拨款支出1,053.36万元，占本年支出合计的100%。与2021年相比，一般公共预算财政拨款支出减少</w:t>
      </w:r>
      <w:r>
        <w:rPr>
          <w:rFonts w:hint="eastAsia" w:ascii="仿宋_GB2312" w:hAnsi="仿宋_GB2312" w:eastAsia="仿宋_GB2312"/>
          <w:kern w:val="2"/>
          <w:sz w:val="32"/>
          <w:szCs w:val="24"/>
          <w:lang w:val="zh-CN"/>
        </w:rPr>
        <w:t>-103.11万元，下降-8.9%</w:t>
      </w:r>
      <w:r>
        <w:rPr>
          <w:rFonts w:hint="eastAsia" w:ascii="仿宋_GB2312" w:hAnsi="仿宋_GB2312" w:eastAsia="仿宋_GB2312"/>
          <w:color w:val="000000"/>
          <w:kern w:val="2"/>
          <w:sz w:val="32"/>
          <w:szCs w:val="24"/>
          <w:lang w:val="zh-CN"/>
        </w:rPr>
        <w:t>。主要变动原因是厉行节约，缩减经费开支。</w:t>
      </w:r>
    </w:p>
    <w:p>
      <w:pPr>
        <w:spacing w:beforeLines="0" w:afterLines="0" w:line="600" w:lineRule="exact"/>
        <w:ind w:firstLine="640"/>
        <w:jc w:val="both"/>
        <w:rPr>
          <w:rFonts w:hint="default" w:ascii="仿宋" w:hAnsi="仿宋" w:eastAsia="仿宋"/>
          <w:kern w:val="2"/>
          <w:sz w:val="32"/>
          <w:szCs w:val="24"/>
        </w:rPr>
      </w:pPr>
      <w:r>
        <w:rPr>
          <w:rFonts w:hint="eastAsia" w:ascii="仿宋" w:hAnsi="仿宋" w:eastAsia="仿宋"/>
          <w:kern w:val="2"/>
          <w:sz w:val="32"/>
          <w:szCs w:val="24"/>
        </w:rPr>
        <w:t>（图5：一般公共预算财政拨款支出决算变动情况）（柱状图）</w:t>
      </w:r>
    </w:p>
    <w:p>
      <w:pPr>
        <w:pStyle w:val="2"/>
        <w:spacing w:beforeLines="0" w:afterLines="0"/>
        <w:rPr>
          <w:rFonts w:hint="default" w:eastAsia="Times New Roman"/>
          <w:sz w:val="24"/>
          <w:szCs w:val="24"/>
        </w:rPr>
      </w:pPr>
    </w:p>
    <w:p>
      <w:pPr>
        <w:pStyle w:val="2"/>
        <w:spacing w:beforeLines="0" w:afterLines="0"/>
        <w:rPr>
          <w:rFonts w:hint="default" w:ascii="仿宋_GB2312" w:hAnsi="仿宋_GB2312" w:eastAsia="仿宋_GB2312"/>
          <w:b/>
          <w:color w:val="000000"/>
          <w:kern w:val="2"/>
          <w:sz w:val="32"/>
          <w:szCs w:val="24"/>
        </w:rPr>
      </w:pPr>
      <w:r>
        <w:rPr>
          <w:rFonts w:hint="default"/>
          <w:sz w:val="24"/>
          <w:szCs w:val="24"/>
          <w:lang/>
        </w:rPr>
        <w:drawing>
          <wp:anchor distT="0" distB="0" distL="114300" distR="114300" simplePos="0" relativeHeight="251664384" behindDoc="0" locked="0" layoutInCell="1" allowOverlap="1">
            <wp:simplePos x="0" y="0"/>
            <wp:positionH relativeFrom="column">
              <wp:posOffset>-57150</wp:posOffset>
            </wp:positionH>
            <wp:positionV relativeFrom="paragraph">
              <wp:posOffset>247650</wp:posOffset>
            </wp:positionV>
            <wp:extent cx="5562600" cy="3295650"/>
            <wp:effectExtent l="0" t="0" r="0" b="0"/>
            <wp:wrapSquare wrapText="bothSides"/>
            <wp:docPr id="6" name="图表 2"/>
            <wp:cNvGraphicFramePr/>
            <a:graphic xmlns:a="http://schemas.openxmlformats.org/drawingml/2006/main">
              <a:graphicData uri="http://schemas.openxmlformats.org/drawingml/2006/picture">
                <pic:pic xmlns:pic="http://schemas.openxmlformats.org/drawingml/2006/picture">
                  <pic:nvPicPr>
                    <pic:cNvPr id="6" name="图表 2"/>
                    <pic:cNvPicPr/>
                  </pic:nvPicPr>
                  <pic:blipFill>
                    <a:blip r:embed="rId10"/>
                    <a:stretch>
                      <a:fillRect/>
                    </a:stretch>
                  </pic:blipFill>
                  <pic:spPr>
                    <a:xfrm>
                      <a:off x="0" y="0"/>
                      <a:ext cx="5562600" cy="3295650"/>
                    </a:xfrm>
                    <a:prstGeom prst="rect">
                      <a:avLst/>
                    </a:prstGeom>
                    <a:noFill/>
                    <a:ln>
                      <a:noFill/>
                    </a:ln>
                  </pic:spPr>
                </pic:pic>
              </a:graphicData>
            </a:graphic>
          </wp:anchor>
        </w:drawing>
      </w:r>
    </w:p>
    <w:p>
      <w:pPr>
        <w:keepNext/>
        <w:keepLines/>
        <w:numPr>
          <w:ilvl w:val="0"/>
          <w:numId w:val="2"/>
        </w:numPr>
        <w:spacing w:before="240" w:beforeLines="100" w:afterLines="0" w:line="360" w:lineRule="auto"/>
        <w:ind w:firstLine="643" w:firstLineChars="200"/>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一般公共预算财政拨款支出决算结构情况</w:t>
      </w:r>
    </w:p>
    <w:p>
      <w:pPr>
        <w:pStyle w:val="2"/>
        <w:spacing w:beforeLines="0" w:afterLines="0" w:line="360" w:lineRule="auto"/>
        <w:ind w:firstLine="640" w:firstLineChars="200"/>
        <w:rPr>
          <w:rFonts w:hint="default" w:ascii="仿宋_GB2312" w:hAnsi="仿宋_GB2312" w:eastAsia="仿宋_GB2312"/>
          <w:color w:val="000000"/>
          <w:kern w:val="2"/>
          <w:sz w:val="32"/>
          <w:szCs w:val="24"/>
          <w:lang w:val="zh-CN"/>
        </w:rPr>
      </w:pPr>
      <w:r>
        <w:rPr>
          <w:rFonts w:hint="eastAsia" w:ascii="仿宋" w:hAnsi="仿宋" w:eastAsia="仿宋"/>
          <w:kern w:val="2"/>
          <w:sz w:val="32"/>
          <w:szCs w:val="24"/>
          <w:lang w:val="zh-CN"/>
        </w:rPr>
        <w:t>2022年一般公共预算财政拨款支出1,053.36万元，主要用于以下方面:</w:t>
      </w:r>
      <w:r>
        <w:rPr>
          <w:rFonts w:hint="eastAsia" w:ascii="仿宋_GB2312" w:hAnsi="仿宋_GB2312" w:eastAsia="仿宋_GB2312"/>
          <w:color w:val="000000"/>
          <w:kern w:val="2"/>
          <w:sz w:val="32"/>
          <w:szCs w:val="24"/>
          <w:lang w:val="zh-CN"/>
        </w:rPr>
        <w:t>一般公共服务支出849.62万元，占80.7%；外交支出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万元，占0%；国防支出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万元，占0%；公共安全支出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万元，占0%；教育支出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万元，占0%；科学技术支出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万元，占0%；文化体育与传媒支出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万元，占0%；社会保障和就业支出99.67万元，占9.5%；卫生健康支出31.95万元，占3%；节能环保支出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万元，占0%；城乡社区支出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万元，占0%；农林水支出1.11万元，占0.1%；交通运输支出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万元，占0%；资源勘探工业信息等支出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万元，占0%；商业服务业等支出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万元，占0%；金融支出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万元，占0%；援助其他地区支出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万元，占0%；自然资源海洋气象等支出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万元，占0%；住房保障支出71万元，占6.7%；粮油物资储备支出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万元，占0%；国有资本经营预算支出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万元，占0%；灾害防治及应急管理支出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万元，占0%；其他支出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万元，占0%；债务还本支出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万元，占0%；债务付息支出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万元，占0%；抗疫特别国债安排的支出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w:t>
      </w:r>
    </w:p>
    <w:p>
      <w:pPr>
        <w:spacing w:beforeLines="0" w:afterLines="0" w:line="360" w:lineRule="auto"/>
        <w:ind w:firstLine="640"/>
        <w:jc w:val="both"/>
        <w:rPr>
          <w:rFonts w:hint="default" w:ascii="仿宋" w:hAnsi="仿宋" w:eastAsia="仿宋"/>
          <w:kern w:val="2"/>
          <w:sz w:val="32"/>
          <w:szCs w:val="24"/>
        </w:rPr>
      </w:pPr>
      <w:r>
        <w:rPr>
          <w:rFonts w:hint="eastAsia" w:ascii="仿宋" w:hAnsi="仿宋" w:eastAsia="仿宋"/>
          <w:kern w:val="2"/>
          <w:sz w:val="32"/>
          <w:szCs w:val="24"/>
        </w:rPr>
        <w:t>（图6：一般公共预算财政拨款支出决算结构）（饼状图）</w:t>
      </w:r>
    </w:p>
    <w:p>
      <w:pPr>
        <w:numPr>
          <w:ilvl w:val="0"/>
          <w:numId w:val="3"/>
        </w:numPr>
        <w:spacing w:beforeLines="0" w:afterLines="0" w:line="360" w:lineRule="auto"/>
        <w:ind w:firstLine="640"/>
        <w:jc w:val="both"/>
        <w:rPr>
          <w:rFonts w:hint="default" w:ascii="仿宋_GB2312" w:hAnsi="仿宋_GB2312" w:eastAsia="仿宋_GB2312"/>
          <w:b/>
          <w:color w:val="000000"/>
          <w:kern w:val="2"/>
          <w:sz w:val="32"/>
          <w:szCs w:val="24"/>
          <w:lang w:val="zh-CN"/>
        </w:rPr>
      </w:pPr>
      <w:r>
        <w:rPr>
          <w:rFonts w:hint="default"/>
          <w:sz w:val="24"/>
          <w:szCs w:val="24"/>
          <w:lang/>
        </w:rPr>
        <w:drawing>
          <wp:anchor distT="0" distB="0" distL="114300" distR="114300" simplePos="0" relativeHeight="251662336" behindDoc="0" locked="0" layoutInCell="1" allowOverlap="1">
            <wp:simplePos x="0" y="0"/>
            <wp:positionH relativeFrom="column">
              <wp:posOffset>-38100</wp:posOffset>
            </wp:positionH>
            <wp:positionV relativeFrom="paragraph">
              <wp:posOffset>170815</wp:posOffset>
            </wp:positionV>
            <wp:extent cx="5562600" cy="3020695"/>
            <wp:effectExtent l="0" t="0" r="0" b="8255"/>
            <wp:wrapSquare wrapText="bothSides"/>
            <wp:docPr id="4" name="图表 2"/>
            <wp:cNvGraphicFramePr/>
            <a:graphic xmlns:a="http://schemas.openxmlformats.org/drawingml/2006/main">
              <a:graphicData uri="http://schemas.openxmlformats.org/drawingml/2006/picture">
                <pic:pic xmlns:pic="http://schemas.openxmlformats.org/drawingml/2006/picture">
                  <pic:nvPicPr>
                    <pic:cNvPr id="4" name="图表 2"/>
                    <pic:cNvPicPr/>
                  </pic:nvPicPr>
                  <pic:blipFill>
                    <a:blip r:embed="rId11"/>
                    <a:stretch>
                      <a:fillRect/>
                    </a:stretch>
                  </pic:blipFill>
                  <pic:spPr>
                    <a:xfrm>
                      <a:off x="0" y="0"/>
                      <a:ext cx="5562600" cy="3020695"/>
                    </a:xfrm>
                    <a:prstGeom prst="rect">
                      <a:avLst/>
                    </a:prstGeom>
                    <a:noFill/>
                    <a:ln>
                      <a:noFill/>
                    </a:ln>
                  </pic:spPr>
                </pic:pic>
              </a:graphicData>
            </a:graphic>
          </wp:anchor>
        </w:drawing>
      </w:r>
      <w:r>
        <w:rPr>
          <w:rFonts w:hint="eastAsia" w:ascii="仿宋_GB2312" w:hAnsi="仿宋_GB2312" w:eastAsia="仿宋_GB2312"/>
          <w:b/>
          <w:color w:val="000000"/>
          <w:kern w:val="2"/>
          <w:sz w:val="32"/>
          <w:szCs w:val="24"/>
          <w:lang w:val="zh-CN"/>
        </w:rPr>
        <w:t>一般公共预算财政拨款支出决算具体情况。</w:t>
      </w:r>
    </w:p>
    <w:p>
      <w:pPr>
        <w:spacing w:beforeLines="0" w:afterLines="0" w:line="600" w:lineRule="exact"/>
        <w:ind w:firstLine="643" w:firstLineChars="200"/>
        <w:jc w:val="both"/>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2022年一般公共预算支出决算数为1,053.36万元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一般公共服务支出（类）政府办公厅（室）及相关机构事务（款）行政运行（项）:</w:t>
      </w:r>
      <w:r>
        <w:rPr>
          <w:rFonts w:hint="eastAsia" w:ascii="仿宋_GB2312" w:hAnsi="仿宋_GB2312" w:eastAsia="仿宋_GB2312"/>
          <w:color w:val="000000"/>
          <w:kern w:val="2"/>
          <w:sz w:val="32"/>
          <w:szCs w:val="24"/>
        </w:rPr>
        <w:t xml:space="preserve"> </w:t>
      </w:r>
      <w:r>
        <w:rPr>
          <w:rFonts w:hint="eastAsia" w:ascii="仿宋" w:hAnsi="仿宋" w:eastAsia="仿宋"/>
          <w:kern w:val="2"/>
          <w:sz w:val="32"/>
          <w:szCs w:val="24"/>
        </w:rPr>
        <w:t>支出决算为556.24万元，完成预算100%。</w:t>
      </w:r>
    </w:p>
    <w:p>
      <w:pPr>
        <w:numPr>
          <w:ilvl w:val="0"/>
          <w:numId w:val="4"/>
        </w:numPr>
        <w:spacing w:beforeLines="0" w:afterLines="0" w:line="600" w:lineRule="exact"/>
        <w:ind w:firstLine="321" w:firstLineChars="100"/>
        <w:jc w:val="both"/>
        <w:rPr>
          <w:rFonts w:hint="default" w:ascii="仿宋" w:hAnsi="仿宋" w:eastAsia="仿宋"/>
          <w:color w:val="000000"/>
          <w:kern w:val="2"/>
          <w:sz w:val="32"/>
          <w:szCs w:val="24"/>
        </w:rPr>
      </w:pPr>
      <w:r>
        <w:rPr>
          <w:rFonts w:hint="eastAsia" w:ascii="仿宋_GB2312" w:hAnsi="仿宋_GB2312" w:eastAsia="仿宋_GB2312"/>
          <w:b/>
          <w:color w:val="000000"/>
          <w:kern w:val="2"/>
          <w:sz w:val="32"/>
          <w:szCs w:val="24"/>
        </w:rPr>
        <w:t>一般公共服务（类）政府办公厅（室）及相关机构事务（款）政务公开审批（项）:</w:t>
      </w:r>
      <w:r>
        <w:rPr>
          <w:rFonts w:hint="eastAsia" w:ascii="仿宋" w:hAnsi="仿宋" w:eastAsia="仿宋"/>
          <w:color w:val="000000"/>
          <w:kern w:val="2"/>
          <w:sz w:val="32"/>
          <w:szCs w:val="24"/>
        </w:rPr>
        <w:t>支出决算为187.73万元，完成预算100%。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一般公共服务（类）政府办公厅（室）及相关机构事务（款）其他政府办公厅（室）及相关机构事务支出（项）:</w:t>
      </w:r>
      <w:r>
        <w:rPr>
          <w:rFonts w:hint="eastAsia" w:ascii="仿宋" w:hAnsi="仿宋" w:eastAsia="仿宋"/>
          <w:kern w:val="2"/>
          <w:sz w:val="32"/>
          <w:szCs w:val="24"/>
        </w:rPr>
        <w:t xml:space="preserve"> </w:t>
      </w:r>
      <w:r>
        <w:rPr>
          <w:rFonts w:hint="eastAsia" w:ascii="仿宋" w:hAnsi="仿宋" w:eastAsia="仿宋"/>
          <w:color w:val="000000"/>
          <w:kern w:val="2"/>
          <w:sz w:val="32"/>
          <w:szCs w:val="24"/>
        </w:rPr>
        <w:t>支出决算为105.65万元，完成预算100%。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社会保障和就业（类）行政事业单位养老支出（款）机关事业单位基本养老保险缴费支出（项）:</w:t>
      </w:r>
      <w:r>
        <w:rPr>
          <w:rFonts w:hint="eastAsia" w:ascii="仿宋" w:hAnsi="仿宋" w:eastAsia="仿宋"/>
          <w:color w:val="000000"/>
          <w:kern w:val="2"/>
          <w:sz w:val="32"/>
          <w:szCs w:val="24"/>
        </w:rPr>
        <w:t>支出决算为60.47万元，完成预算100%。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社会保障和就业（类）行政事业单位养老支出（款）机关事业单位职业年金缴费支出（项）:</w:t>
      </w:r>
      <w:r>
        <w:rPr>
          <w:rFonts w:hint="eastAsia" w:ascii="仿宋" w:hAnsi="仿宋" w:eastAsia="仿宋"/>
          <w:color w:val="000000"/>
          <w:kern w:val="2"/>
          <w:sz w:val="32"/>
          <w:szCs w:val="24"/>
        </w:rPr>
        <w:t>支出决算为33.04万元，完成预算100%。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残疾人事业（类）其他残疾人事业支出（款）：</w:t>
      </w:r>
      <w:r>
        <w:rPr>
          <w:rFonts w:hint="eastAsia" w:ascii="仿宋" w:hAnsi="仿宋" w:eastAsia="仿宋"/>
          <w:color w:val="000000"/>
          <w:kern w:val="2"/>
          <w:sz w:val="32"/>
          <w:szCs w:val="24"/>
        </w:rPr>
        <w:t>支出决算为6.16万元，完成预算100%。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卫生健康（类）行政事业单位医疗（款）行政单位医疗（项）:</w:t>
      </w:r>
      <w:r>
        <w:rPr>
          <w:rFonts w:hint="eastAsia" w:ascii="仿宋" w:hAnsi="仿宋" w:eastAsia="仿宋"/>
          <w:color w:val="000000"/>
          <w:kern w:val="2"/>
          <w:sz w:val="32"/>
          <w:szCs w:val="24"/>
        </w:rPr>
        <w:t>支出决算为19.24万元，完成预算100%。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卫生健康（类）行政事业单位医疗（款）事业单位医疗（项）:</w:t>
      </w:r>
      <w:r>
        <w:rPr>
          <w:rFonts w:hint="eastAsia" w:ascii="仿宋" w:hAnsi="仿宋" w:eastAsia="仿宋"/>
          <w:color w:val="000000"/>
          <w:kern w:val="2"/>
          <w:sz w:val="32"/>
          <w:szCs w:val="24"/>
        </w:rPr>
        <w:t>支出决算为6.86万元，完成预算100%。</w:t>
      </w:r>
    </w:p>
    <w:p>
      <w:pPr>
        <w:numPr>
          <w:ilvl w:val="0"/>
          <w:numId w:val="4"/>
        </w:numPr>
        <w:spacing w:beforeLines="0" w:afterLines="0" w:line="600" w:lineRule="exact"/>
        <w:ind w:firstLine="321" w:firstLineChars="100"/>
        <w:jc w:val="both"/>
        <w:rPr>
          <w:rFonts w:hint="default" w:ascii="仿宋" w:hAnsi="仿宋" w:eastAsia="仿宋"/>
          <w:kern w:val="2"/>
          <w:sz w:val="32"/>
          <w:szCs w:val="24"/>
        </w:rPr>
      </w:pPr>
      <w:r>
        <w:rPr>
          <w:rFonts w:hint="eastAsia" w:ascii="仿宋_GB2312" w:hAnsi="仿宋_GB2312" w:eastAsia="仿宋_GB2312"/>
          <w:b/>
          <w:color w:val="000000"/>
          <w:kern w:val="2"/>
          <w:sz w:val="32"/>
          <w:szCs w:val="24"/>
        </w:rPr>
        <w:t>卫生健康（类）行政事业单位医疗（款）公务员医疗补助（项）:</w:t>
      </w:r>
      <w:r>
        <w:rPr>
          <w:rFonts w:hint="eastAsia" w:ascii="仿宋" w:hAnsi="仿宋" w:eastAsia="仿宋"/>
          <w:color w:val="000000"/>
          <w:kern w:val="2"/>
          <w:sz w:val="32"/>
          <w:szCs w:val="24"/>
        </w:rPr>
        <w:t>支出决算为5.85万元，完成预算100%。</w:t>
      </w:r>
    </w:p>
    <w:p>
      <w:pPr>
        <w:spacing w:beforeLines="0" w:afterLines="0" w:line="600" w:lineRule="exact"/>
        <w:ind w:firstLine="320" w:firstLineChars="100"/>
        <w:rPr>
          <w:rFonts w:hint="default" w:ascii="仿宋" w:hAnsi="仿宋" w:eastAsia="仿宋"/>
          <w:kern w:val="2"/>
          <w:sz w:val="32"/>
          <w:szCs w:val="24"/>
        </w:rPr>
      </w:pPr>
      <w:r>
        <w:rPr>
          <w:rFonts w:hint="eastAsia" w:ascii="仿宋" w:hAnsi="仿宋" w:eastAsia="仿宋"/>
          <w:kern w:val="2"/>
          <w:sz w:val="32"/>
          <w:szCs w:val="24"/>
        </w:rPr>
        <w:t>10.</w:t>
      </w:r>
      <w:r>
        <w:rPr>
          <w:rFonts w:hint="eastAsia" w:ascii="仿宋_GB2312" w:hAnsi="仿宋_GB2312" w:eastAsia="仿宋_GB2312"/>
          <w:b/>
          <w:color w:val="000000"/>
          <w:kern w:val="2"/>
          <w:sz w:val="32"/>
          <w:szCs w:val="24"/>
        </w:rPr>
        <w:t>农林水支出（类）巩固脱贫衔接乡村振兴（款）其他巩固脱贫衔接乡村振兴支出（项）：</w:t>
      </w:r>
      <w:r>
        <w:rPr>
          <w:rFonts w:hint="eastAsia" w:ascii="仿宋" w:hAnsi="仿宋" w:eastAsia="仿宋"/>
          <w:color w:val="000000"/>
          <w:kern w:val="2"/>
          <w:sz w:val="32"/>
          <w:szCs w:val="24"/>
        </w:rPr>
        <w:t>支出决算为1.11万元，完成预算100%。</w:t>
      </w:r>
    </w:p>
    <w:p>
      <w:pPr>
        <w:spacing w:beforeLines="0" w:afterLines="0" w:line="600" w:lineRule="exact"/>
        <w:ind w:firstLine="320" w:firstLineChars="100"/>
        <w:rPr>
          <w:rFonts w:hint="default" w:ascii="仿宋_GB2312" w:hAnsi="仿宋_GB2312" w:eastAsia="仿宋_GB2312"/>
          <w:b/>
          <w:color w:val="000000"/>
          <w:kern w:val="2"/>
          <w:sz w:val="32"/>
          <w:szCs w:val="24"/>
        </w:rPr>
      </w:pPr>
      <w:r>
        <w:rPr>
          <w:rFonts w:hint="eastAsia" w:ascii="仿宋" w:hAnsi="仿宋" w:eastAsia="仿宋"/>
          <w:kern w:val="2"/>
          <w:sz w:val="32"/>
          <w:szCs w:val="24"/>
        </w:rPr>
        <w:t>11.</w:t>
      </w:r>
      <w:r>
        <w:rPr>
          <w:rFonts w:hint="eastAsia" w:ascii="仿宋_GB2312" w:hAnsi="仿宋_GB2312" w:eastAsia="仿宋_GB2312"/>
          <w:b/>
          <w:color w:val="000000"/>
          <w:kern w:val="2"/>
          <w:sz w:val="32"/>
          <w:szCs w:val="24"/>
        </w:rPr>
        <w:t>住房保障（类）住房改革支出（款）住房公积金（项）:</w:t>
      </w:r>
      <w:r>
        <w:rPr>
          <w:rStyle w:val="12"/>
          <w:rFonts w:hint="eastAsia" w:ascii="仿宋" w:hAnsi="仿宋" w:eastAsia="仿宋"/>
          <w:b w:val="0"/>
          <w:sz w:val="32"/>
          <w:szCs w:val="24"/>
        </w:rPr>
        <w:t>支出决算为71万元，完成预算100%。</w:t>
      </w:r>
    </w:p>
    <w:p>
      <w:pPr>
        <w:keepNext/>
        <w:keepLines/>
        <w:tabs>
          <w:tab w:val="right" w:pos="8306"/>
        </w:tabs>
        <w:spacing w:beforeLines="0" w:afterLines="0" w:line="576" w:lineRule="exact"/>
        <w:ind w:firstLine="640"/>
        <w:jc w:val="both"/>
        <w:rPr>
          <w:rFonts w:hint="default" w:ascii="Cambria" w:eastAsia="Times New Roman"/>
          <w:b/>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kern w:val="2"/>
          <w:sz w:val="32"/>
          <w:szCs w:val="24"/>
          <w:lang w:val="zh-CN"/>
        </w:rPr>
        <w:t>般公共预算财政拨款基本支出决算情况说明</w:t>
      </w:r>
      <w:r>
        <w:rPr>
          <w:rFonts w:hint="default" w:ascii="黑体" w:hAnsi="黑体" w:eastAsia="黑体"/>
          <w:kern w:val="2"/>
          <w:sz w:val="32"/>
          <w:szCs w:val="24"/>
          <w:lang w:val="zh-CN"/>
        </w:rPr>
        <w:tab/>
      </w:r>
    </w:p>
    <w:p>
      <w:pPr>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2022年一般公共预算财政拨款基本支出864.51万元，其中：</w:t>
      </w:r>
    </w:p>
    <w:p>
      <w:pPr>
        <w:spacing w:beforeLines="0" w:afterLines="0" w:line="576" w:lineRule="exact"/>
        <w:ind w:firstLine="643"/>
        <w:jc w:val="both"/>
        <w:rPr>
          <w:rFonts w:hint="default"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767.02万元，主要包括：</w:t>
      </w:r>
      <w:r>
        <w:rPr>
          <w:rFonts w:hint="eastAsia" w:ascii="仿宋" w:hAnsi="仿宋" w:eastAsia="仿宋"/>
          <w:kern w:val="2"/>
          <w:sz w:val="32"/>
          <w:szCs w:val="24"/>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default" w:ascii="仿宋" w:hAnsi="仿宋" w:eastAsia="仿宋"/>
          <w:b/>
          <w:kern w:val="2"/>
          <w:sz w:val="32"/>
          <w:szCs w:val="24"/>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97.49万元，主要包括：</w:t>
      </w:r>
      <w:r>
        <w:rPr>
          <w:rFonts w:hint="eastAsia" w:ascii="仿宋" w:hAnsi="仿宋" w:eastAsia="仿宋"/>
          <w:kern w:val="2"/>
          <w:sz w:val="32"/>
          <w:szCs w:val="24"/>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0"/>
        <w:jc w:val="both"/>
        <w:rPr>
          <w:rFonts w:hint="default" w:ascii="黑体" w:hAnsi="黑体" w:eastAsia="黑体"/>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kern w:val="2"/>
          <w:sz w:val="32"/>
          <w:szCs w:val="24"/>
          <w:lang w:val="zh-CN"/>
        </w:rPr>
        <w:t>“</w:t>
      </w:r>
      <w:r>
        <w:rPr>
          <w:rFonts w:hint="eastAsia" w:ascii="黑体" w:hAnsi="黑体" w:eastAsia="黑体"/>
          <w:kern w:val="2"/>
          <w:sz w:val="32"/>
          <w:szCs w:val="24"/>
          <w:lang w:val="zh-CN"/>
        </w:rPr>
        <w:t>三公”经费财政拨款支出决算情况说明</w:t>
      </w:r>
    </w:p>
    <w:p>
      <w:pPr>
        <w:keepNext/>
        <w:keepLines/>
        <w:spacing w:beforeLines="0" w:afterLines="0" w:line="576" w:lineRule="exact"/>
        <w:ind w:firstLine="643"/>
        <w:jc w:val="both"/>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（一）“三公”经费财政拨款支出决算总体情况说明</w:t>
      </w:r>
    </w:p>
    <w:p>
      <w:pPr>
        <w:keepNext/>
        <w:keepLines/>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2022年“三公”经费财政拨款支出决算为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万元，完成预算0%；较上年减少</w:t>
      </w:r>
      <w:r>
        <w:rPr>
          <w:rFonts w:hint="eastAsia" w:ascii="仿宋_GB2312" w:hAnsi="仿宋_GB2312" w:eastAsia="仿宋_GB2312"/>
          <w:kern w:val="2"/>
          <w:sz w:val="32"/>
          <w:szCs w:val="24"/>
          <w:lang w:val="zh-CN"/>
        </w:rPr>
        <w:t>-0.55万元，下降-100%</w:t>
      </w:r>
      <w:r>
        <w:rPr>
          <w:rFonts w:hint="eastAsia" w:ascii="仿宋_GB2312" w:hAnsi="仿宋_GB2312" w:eastAsia="仿宋_GB2312"/>
          <w:color w:val="000000"/>
          <w:kern w:val="2"/>
          <w:sz w:val="32"/>
          <w:szCs w:val="24"/>
          <w:lang w:val="zh-CN"/>
        </w:rPr>
        <w:t>。较上年减少的主要原因是厉行节约，缩减三公经费支出。</w:t>
      </w:r>
    </w:p>
    <w:p>
      <w:pPr>
        <w:spacing w:beforeLines="0" w:afterLines="0" w:line="600" w:lineRule="exact"/>
        <w:ind w:firstLine="640"/>
        <w:jc w:val="both"/>
        <w:rPr>
          <w:rFonts w:hint="default" w:ascii="仿宋" w:hAnsi="仿宋" w:eastAsia="仿宋"/>
          <w:b/>
          <w:kern w:val="2"/>
          <w:sz w:val="32"/>
          <w:szCs w:val="24"/>
        </w:rPr>
      </w:pPr>
      <w:r>
        <w:rPr>
          <w:rFonts w:hint="eastAsia" w:ascii="仿宋_GB2312" w:hAnsi="仿宋_GB2312" w:eastAsia="仿宋_GB2312"/>
          <w:b/>
          <w:color w:val="000000"/>
          <w:kern w:val="2"/>
          <w:sz w:val="32"/>
          <w:szCs w:val="24"/>
          <w:lang w:val="zh-CN"/>
        </w:rPr>
        <w:t>（二）“三公”经费财政拨款支出决算具体情况说明</w:t>
      </w:r>
    </w:p>
    <w:p>
      <w:pPr>
        <w:keepNext/>
        <w:keepLines/>
        <w:spacing w:beforeLines="0" w:afterLines="0" w:line="576" w:lineRule="exact"/>
        <w:ind w:firstLine="640" w:firstLineChars="20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2022年“三公”经费财政拨款支出决算中，因公出国（境）费支出决算</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万元，占0%；公务用车购置及运行维护费支出决算</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万元，占0%；公务接待费支出决算</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万元，占0%。具体情况如下：</w:t>
      </w:r>
    </w:p>
    <w:p>
      <w:pPr>
        <w:spacing w:beforeLines="0" w:afterLines="0" w:line="600" w:lineRule="exact"/>
        <w:ind w:firstLine="640"/>
        <w:jc w:val="both"/>
        <w:rPr>
          <w:rFonts w:hint="default" w:ascii="仿宋" w:hAnsi="仿宋" w:eastAsia="仿宋"/>
          <w:kern w:val="2"/>
          <w:sz w:val="32"/>
          <w:szCs w:val="24"/>
        </w:rPr>
      </w:pPr>
      <w:r>
        <w:rPr>
          <w:rFonts w:hint="eastAsia" w:ascii="仿宋" w:hAnsi="仿宋" w:eastAsia="仿宋"/>
          <w:kern w:val="2"/>
          <w:sz w:val="32"/>
          <w:szCs w:val="24"/>
        </w:rPr>
        <w:t>（图7：“三公”经费财政拨款支出结构）（饼状图）</w:t>
      </w:r>
    </w:p>
    <w:p>
      <w:pPr>
        <w:pStyle w:val="2"/>
        <w:spacing w:beforeLines="0" w:afterLines="0"/>
        <w:rPr>
          <w:rFonts w:hint="default" w:eastAsia="Times New Roman"/>
          <w:sz w:val="24"/>
          <w:szCs w:val="24"/>
        </w:rPr>
      </w:pPr>
      <w:r>
        <w:rPr>
          <w:rFonts w:hint="default" w:eastAsia="Times New Roman"/>
          <w:sz w:val="24"/>
          <w:szCs w:val="24"/>
        </w:rPr>
        <w:drawing>
          <wp:inline distT="0" distB="0" distL="114300" distR="114300">
            <wp:extent cx="5562600" cy="2463800"/>
            <wp:effectExtent l="0" t="0" r="0" b="12700"/>
            <wp:docPr id="7" name="图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表 2"/>
                    <pic:cNvPicPr>
                      <a:picLocks noChangeAspect="1"/>
                    </pic:cNvPicPr>
                  </pic:nvPicPr>
                  <pic:blipFill>
                    <a:blip r:embed="rId12"/>
                    <a:stretch>
                      <a:fillRect/>
                    </a:stretch>
                  </pic:blipFill>
                  <pic:spPr>
                    <a:xfrm>
                      <a:off x="0" y="0"/>
                      <a:ext cx="5562600" cy="2463800"/>
                    </a:xfrm>
                    <a:prstGeom prst="rect">
                      <a:avLst/>
                    </a:prstGeom>
                    <a:noFill/>
                    <a:ln>
                      <a:noFill/>
                    </a:ln>
                  </pic:spPr>
                </pic:pic>
              </a:graphicData>
            </a:graphic>
          </wp:inline>
        </w:drawing>
      </w:r>
    </w:p>
    <w:p>
      <w:pPr>
        <w:pStyle w:val="2"/>
        <w:spacing w:beforeLines="0" w:after="0" w:afterLines="0" w:line="560" w:lineRule="exact"/>
        <w:ind w:firstLine="643" w:firstLineChars="200"/>
        <w:rPr>
          <w:rFonts w:hint="default" w:ascii="仿宋" w:hAnsi="仿宋" w:eastAsia="仿宋"/>
          <w:kern w:val="2"/>
          <w:sz w:val="32"/>
          <w:szCs w:val="24"/>
          <w:lang w:val="zh-CN"/>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zh-CN"/>
        </w:rPr>
        <w:t>因公出国（境）经费</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万元，完成预算0%。全年安排因公出国（境）团组</w:t>
      </w:r>
      <w:r>
        <w:rPr>
          <w:rFonts w:hint="default" w:ascii="仿宋" w:hAnsi="仿宋" w:eastAsia="仿宋"/>
          <w:kern w:val="2"/>
          <w:sz w:val="32"/>
          <w:szCs w:val="24"/>
          <w:lang w:val="zh-CN"/>
        </w:rPr>
        <w:t>0</w:t>
      </w:r>
      <w:r>
        <w:rPr>
          <w:rFonts w:hint="eastAsia" w:ascii="仿宋" w:hAnsi="仿宋" w:eastAsia="仿宋"/>
          <w:kern w:val="2"/>
          <w:sz w:val="32"/>
          <w:szCs w:val="24"/>
          <w:lang w:val="zh-CN"/>
        </w:rPr>
        <w:t>个，出国（境）</w:t>
      </w:r>
      <w:r>
        <w:rPr>
          <w:rFonts w:hint="default" w:ascii="仿宋" w:hAnsi="仿宋" w:eastAsia="仿宋"/>
          <w:kern w:val="2"/>
          <w:sz w:val="32"/>
          <w:szCs w:val="24"/>
          <w:lang w:val="zh-CN"/>
        </w:rPr>
        <w:t>0</w:t>
      </w:r>
      <w:r>
        <w:rPr>
          <w:rFonts w:hint="eastAsia" w:ascii="仿宋" w:hAnsi="仿宋" w:eastAsia="仿宋"/>
          <w:kern w:val="2"/>
          <w:sz w:val="32"/>
          <w:szCs w:val="24"/>
          <w:lang w:val="zh-CN"/>
        </w:rPr>
        <w:t>人。因公出国（境）支出决算比2021年持平。</w:t>
      </w:r>
    </w:p>
    <w:p>
      <w:pPr>
        <w:pStyle w:val="2"/>
        <w:spacing w:beforeLines="0" w:after="0" w:afterLines="0" w:line="560" w:lineRule="exact"/>
        <w:ind w:firstLine="643" w:firstLineChars="200"/>
        <w:rPr>
          <w:rFonts w:hint="default" w:ascii="仿宋" w:hAnsi="仿宋" w:eastAsia="仿宋"/>
          <w:kern w:val="2"/>
          <w:sz w:val="32"/>
          <w:szCs w:val="24"/>
          <w:lang w:val="zh-CN"/>
        </w:rPr>
      </w:pPr>
      <w:r>
        <w:rPr>
          <w:rFonts w:hint="eastAsia" w:ascii="仿宋_GB2312" w:hAnsi="仿宋_GB2312" w:eastAsia="仿宋_GB2312"/>
          <w:b/>
          <w:color w:val="000000"/>
          <w:kern w:val="2"/>
          <w:sz w:val="32"/>
          <w:szCs w:val="24"/>
          <w:lang w:val="zh-CN"/>
        </w:rPr>
        <w:t>2.公务用车购置及运行维护费</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万元，完成预算0%。公务用车购置及运行维护费支出决算比2021年持平。</w:t>
      </w:r>
    </w:p>
    <w:p>
      <w:pPr>
        <w:keepNext/>
        <w:keepLines/>
        <w:spacing w:beforeLines="0" w:afterLines="0" w:line="560" w:lineRule="exact"/>
        <w:ind w:firstLine="643"/>
        <w:jc w:val="both"/>
        <w:rPr>
          <w:rFonts w:hint="default" w:ascii="仿宋" w:hAnsi="仿宋" w:eastAsia="仿宋"/>
          <w:kern w:val="2"/>
          <w:sz w:val="32"/>
          <w:szCs w:val="24"/>
          <w:lang w:val="zh-CN"/>
        </w:rPr>
      </w:pPr>
      <w:r>
        <w:rPr>
          <w:rFonts w:hint="eastAsia" w:ascii="仿宋" w:hAnsi="仿宋" w:eastAsia="仿宋"/>
          <w:kern w:val="2"/>
          <w:sz w:val="32"/>
          <w:szCs w:val="24"/>
          <w:lang w:val="zh-CN"/>
        </w:rPr>
        <w:t>其中：</w:t>
      </w:r>
      <w:r>
        <w:rPr>
          <w:rFonts w:hint="eastAsia" w:ascii="仿宋" w:hAnsi="仿宋" w:eastAsia="仿宋"/>
          <w:b/>
          <w:kern w:val="2"/>
          <w:sz w:val="32"/>
          <w:szCs w:val="24"/>
          <w:lang w:val="zh-CN"/>
        </w:rPr>
        <w:t>公务用车购置费</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万元。全年按规定更新购置公务用车</w:t>
      </w:r>
      <w:r>
        <w:rPr>
          <w:rFonts w:hint="default" w:ascii="仿宋" w:hAnsi="仿宋" w:eastAsia="仿宋"/>
          <w:kern w:val="2"/>
          <w:sz w:val="32"/>
          <w:szCs w:val="24"/>
          <w:lang w:val="zh-CN"/>
        </w:rPr>
        <w:t>0</w:t>
      </w:r>
      <w:r>
        <w:rPr>
          <w:rFonts w:hint="eastAsia" w:ascii="仿宋" w:hAnsi="仿宋" w:eastAsia="仿宋"/>
          <w:kern w:val="2"/>
          <w:sz w:val="32"/>
          <w:szCs w:val="24"/>
          <w:lang w:val="zh-CN"/>
        </w:rPr>
        <w:t>辆，其中：轿车</w:t>
      </w:r>
      <w:r>
        <w:rPr>
          <w:rFonts w:hint="default" w:ascii="仿宋" w:hAnsi="仿宋" w:eastAsia="仿宋"/>
          <w:kern w:val="2"/>
          <w:sz w:val="32"/>
          <w:szCs w:val="24"/>
        </w:rPr>
        <w:t>0</w:t>
      </w:r>
      <w:r>
        <w:rPr>
          <w:rFonts w:hint="eastAsia" w:ascii="仿宋" w:hAnsi="仿宋" w:eastAsia="仿宋"/>
          <w:kern w:val="2"/>
          <w:sz w:val="32"/>
          <w:szCs w:val="24"/>
          <w:lang w:val="zh-CN"/>
        </w:rPr>
        <w:t>辆、金额</w:t>
      </w:r>
      <w:r>
        <w:rPr>
          <w:rFonts w:hint="default" w:ascii="仿宋" w:hAnsi="仿宋" w:eastAsia="仿宋"/>
          <w:kern w:val="2"/>
          <w:sz w:val="32"/>
          <w:szCs w:val="24"/>
        </w:rPr>
        <w:t>0</w:t>
      </w:r>
      <w:r>
        <w:rPr>
          <w:rFonts w:hint="eastAsia" w:ascii="仿宋" w:hAnsi="仿宋" w:eastAsia="仿宋"/>
          <w:kern w:val="2"/>
          <w:sz w:val="32"/>
          <w:szCs w:val="24"/>
          <w:lang w:val="zh-CN"/>
        </w:rPr>
        <w:t>万元，越野车</w:t>
      </w:r>
      <w:r>
        <w:rPr>
          <w:rFonts w:hint="default" w:ascii="仿宋" w:hAnsi="仿宋" w:eastAsia="仿宋"/>
          <w:kern w:val="2"/>
          <w:sz w:val="32"/>
          <w:szCs w:val="24"/>
        </w:rPr>
        <w:t>0</w:t>
      </w:r>
      <w:r>
        <w:rPr>
          <w:rFonts w:hint="eastAsia" w:ascii="仿宋" w:hAnsi="仿宋" w:eastAsia="仿宋"/>
          <w:kern w:val="2"/>
          <w:sz w:val="32"/>
          <w:szCs w:val="24"/>
          <w:lang w:val="zh-CN"/>
        </w:rPr>
        <w:t>辆、金额</w:t>
      </w:r>
      <w:r>
        <w:rPr>
          <w:rFonts w:hint="default" w:ascii="仿宋" w:hAnsi="仿宋" w:eastAsia="仿宋"/>
          <w:kern w:val="2"/>
          <w:sz w:val="32"/>
          <w:szCs w:val="24"/>
        </w:rPr>
        <w:t>0</w:t>
      </w:r>
      <w:r>
        <w:rPr>
          <w:rFonts w:hint="eastAsia" w:ascii="仿宋" w:hAnsi="仿宋" w:eastAsia="仿宋"/>
          <w:kern w:val="2"/>
          <w:sz w:val="32"/>
          <w:szCs w:val="24"/>
          <w:lang w:val="zh-CN"/>
        </w:rPr>
        <w:t>万元，小型载客汽车</w:t>
      </w:r>
      <w:r>
        <w:rPr>
          <w:rFonts w:hint="default" w:ascii="仿宋" w:hAnsi="仿宋" w:eastAsia="仿宋"/>
          <w:kern w:val="2"/>
          <w:sz w:val="32"/>
          <w:szCs w:val="24"/>
        </w:rPr>
        <w:t>0</w:t>
      </w:r>
      <w:r>
        <w:rPr>
          <w:rFonts w:hint="eastAsia" w:ascii="仿宋" w:hAnsi="仿宋" w:eastAsia="仿宋"/>
          <w:kern w:val="2"/>
          <w:sz w:val="32"/>
          <w:szCs w:val="24"/>
          <w:lang w:val="zh-CN"/>
        </w:rPr>
        <w:t>辆、金额</w:t>
      </w:r>
      <w:r>
        <w:rPr>
          <w:rFonts w:hint="default" w:ascii="仿宋" w:hAnsi="仿宋" w:eastAsia="仿宋"/>
          <w:kern w:val="2"/>
          <w:sz w:val="32"/>
          <w:szCs w:val="24"/>
        </w:rPr>
        <w:t>0</w:t>
      </w:r>
      <w:r>
        <w:rPr>
          <w:rFonts w:hint="eastAsia" w:ascii="仿宋" w:hAnsi="仿宋" w:eastAsia="仿宋"/>
          <w:kern w:val="2"/>
          <w:sz w:val="32"/>
          <w:szCs w:val="24"/>
          <w:lang w:val="zh-CN"/>
        </w:rPr>
        <w:t>万元，大中型载客汽车</w:t>
      </w:r>
      <w:r>
        <w:rPr>
          <w:rFonts w:hint="default" w:ascii="仿宋" w:hAnsi="仿宋" w:eastAsia="仿宋"/>
          <w:kern w:val="2"/>
          <w:sz w:val="32"/>
          <w:szCs w:val="24"/>
        </w:rPr>
        <w:t>0</w:t>
      </w:r>
      <w:r>
        <w:rPr>
          <w:rFonts w:hint="eastAsia" w:ascii="仿宋" w:hAnsi="仿宋" w:eastAsia="仿宋"/>
          <w:kern w:val="2"/>
          <w:sz w:val="32"/>
          <w:szCs w:val="24"/>
          <w:lang w:val="zh-CN"/>
        </w:rPr>
        <w:t>辆、金额</w:t>
      </w:r>
      <w:r>
        <w:rPr>
          <w:rFonts w:hint="default" w:ascii="仿宋" w:hAnsi="仿宋" w:eastAsia="仿宋"/>
          <w:kern w:val="2"/>
          <w:sz w:val="32"/>
          <w:szCs w:val="24"/>
        </w:rPr>
        <w:t>0</w:t>
      </w:r>
      <w:r>
        <w:rPr>
          <w:rFonts w:hint="eastAsia" w:ascii="仿宋" w:hAnsi="仿宋" w:eastAsia="仿宋"/>
          <w:kern w:val="2"/>
          <w:sz w:val="32"/>
          <w:szCs w:val="24"/>
          <w:lang w:val="zh-CN"/>
        </w:rPr>
        <w:t>万元，其他车型</w:t>
      </w:r>
      <w:r>
        <w:rPr>
          <w:rFonts w:hint="default" w:ascii="仿宋" w:hAnsi="仿宋" w:eastAsia="仿宋"/>
          <w:kern w:val="2"/>
          <w:sz w:val="32"/>
          <w:szCs w:val="24"/>
        </w:rPr>
        <w:t>0</w:t>
      </w:r>
      <w:r>
        <w:rPr>
          <w:rFonts w:hint="eastAsia" w:ascii="仿宋" w:hAnsi="仿宋" w:eastAsia="仿宋"/>
          <w:kern w:val="2"/>
          <w:sz w:val="32"/>
          <w:szCs w:val="24"/>
          <w:lang w:val="zh-CN"/>
        </w:rPr>
        <w:t>辆、金额</w:t>
      </w:r>
      <w:r>
        <w:rPr>
          <w:rFonts w:hint="default" w:ascii="仿宋" w:hAnsi="仿宋" w:eastAsia="仿宋"/>
          <w:kern w:val="2"/>
          <w:sz w:val="32"/>
          <w:szCs w:val="24"/>
        </w:rPr>
        <w:t>0</w:t>
      </w:r>
      <w:r>
        <w:rPr>
          <w:rFonts w:hint="eastAsia" w:ascii="仿宋" w:hAnsi="仿宋" w:eastAsia="仿宋"/>
          <w:kern w:val="2"/>
          <w:sz w:val="32"/>
          <w:szCs w:val="24"/>
          <w:lang w:val="zh-CN"/>
        </w:rPr>
        <w:t>万元。截至2022年12月底，本部</w:t>
      </w:r>
    </w:p>
    <w:p>
      <w:pPr>
        <w:pStyle w:val="2"/>
        <w:spacing w:beforeLines="0" w:after="0" w:afterLines="0" w:line="560" w:lineRule="exact"/>
        <w:rPr>
          <w:rFonts w:hint="default" w:ascii="仿宋" w:hAnsi="仿宋" w:eastAsia="仿宋"/>
          <w:kern w:val="2"/>
          <w:sz w:val="32"/>
          <w:szCs w:val="24"/>
        </w:rPr>
      </w:pPr>
      <w:r>
        <w:rPr>
          <w:rFonts w:hint="eastAsia" w:ascii="仿宋" w:hAnsi="仿宋" w:eastAsia="仿宋"/>
          <w:kern w:val="2"/>
          <w:sz w:val="32"/>
          <w:szCs w:val="24"/>
        </w:rPr>
        <w:t>门共有公务用车</w:t>
      </w:r>
      <w:r>
        <w:rPr>
          <w:rFonts w:hint="default" w:ascii="仿宋" w:hAnsi="仿宋" w:eastAsia="仿宋"/>
          <w:kern w:val="2"/>
          <w:sz w:val="32"/>
          <w:szCs w:val="24"/>
        </w:rPr>
        <w:t>0</w:t>
      </w:r>
      <w:r>
        <w:rPr>
          <w:rFonts w:hint="eastAsia" w:ascii="仿宋" w:hAnsi="仿宋" w:eastAsia="仿宋"/>
          <w:kern w:val="2"/>
          <w:sz w:val="32"/>
          <w:szCs w:val="24"/>
        </w:rPr>
        <w:t>辆，其中：轿车</w:t>
      </w:r>
      <w:r>
        <w:rPr>
          <w:rFonts w:hint="default" w:ascii="仿宋" w:hAnsi="仿宋" w:eastAsia="仿宋"/>
          <w:kern w:val="2"/>
          <w:sz w:val="32"/>
          <w:szCs w:val="24"/>
        </w:rPr>
        <w:t>0</w:t>
      </w:r>
      <w:r>
        <w:rPr>
          <w:rFonts w:hint="eastAsia" w:ascii="仿宋" w:hAnsi="仿宋" w:eastAsia="仿宋"/>
          <w:kern w:val="2"/>
          <w:sz w:val="32"/>
          <w:szCs w:val="24"/>
        </w:rPr>
        <w:t>辆、越野车</w:t>
      </w:r>
      <w:r>
        <w:rPr>
          <w:rFonts w:hint="default" w:ascii="仿宋" w:hAnsi="仿宋" w:eastAsia="仿宋"/>
          <w:kern w:val="2"/>
          <w:sz w:val="32"/>
          <w:szCs w:val="24"/>
        </w:rPr>
        <w:t>0</w:t>
      </w:r>
      <w:r>
        <w:rPr>
          <w:rFonts w:hint="eastAsia" w:ascii="仿宋" w:hAnsi="仿宋" w:eastAsia="仿宋"/>
          <w:kern w:val="2"/>
          <w:sz w:val="32"/>
          <w:szCs w:val="24"/>
        </w:rPr>
        <w:t>辆、小型载客汽</w:t>
      </w:r>
    </w:p>
    <w:p>
      <w:pPr>
        <w:keepNext/>
        <w:keepLines/>
        <w:spacing w:beforeLines="0" w:afterLines="0" w:line="560" w:lineRule="exact"/>
        <w:jc w:val="both"/>
        <w:rPr>
          <w:rFonts w:hint="default" w:ascii="仿宋" w:hAnsi="仿宋" w:eastAsia="仿宋"/>
          <w:kern w:val="2"/>
          <w:sz w:val="32"/>
          <w:szCs w:val="24"/>
          <w:lang w:val="zh-CN"/>
        </w:rPr>
      </w:pPr>
      <w:r>
        <w:rPr>
          <w:rFonts w:hint="eastAsia" w:ascii="仿宋" w:hAnsi="仿宋" w:eastAsia="仿宋"/>
          <w:kern w:val="2"/>
          <w:sz w:val="32"/>
          <w:szCs w:val="24"/>
          <w:lang w:val="zh-CN"/>
        </w:rPr>
        <w:t>车</w:t>
      </w:r>
      <w:r>
        <w:rPr>
          <w:rFonts w:hint="default" w:ascii="仿宋" w:hAnsi="仿宋" w:eastAsia="仿宋"/>
          <w:kern w:val="2"/>
          <w:sz w:val="32"/>
          <w:szCs w:val="24"/>
        </w:rPr>
        <w:t>0</w:t>
      </w:r>
      <w:r>
        <w:rPr>
          <w:rFonts w:hint="eastAsia" w:ascii="仿宋" w:hAnsi="仿宋" w:eastAsia="仿宋"/>
          <w:kern w:val="2"/>
          <w:sz w:val="32"/>
          <w:szCs w:val="24"/>
          <w:lang w:val="zh-CN"/>
        </w:rPr>
        <w:t>辆、大中型载客汽车</w:t>
      </w:r>
      <w:r>
        <w:rPr>
          <w:rFonts w:hint="default" w:ascii="仿宋" w:hAnsi="仿宋" w:eastAsia="仿宋"/>
          <w:kern w:val="2"/>
          <w:sz w:val="32"/>
          <w:szCs w:val="24"/>
        </w:rPr>
        <w:t>0</w:t>
      </w:r>
      <w:r>
        <w:rPr>
          <w:rFonts w:hint="eastAsia" w:ascii="仿宋" w:hAnsi="仿宋" w:eastAsia="仿宋"/>
          <w:kern w:val="2"/>
          <w:sz w:val="32"/>
          <w:szCs w:val="24"/>
          <w:lang w:val="zh-CN"/>
        </w:rPr>
        <w:t>辆、其他车型</w:t>
      </w:r>
      <w:r>
        <w:rPr>
          <w:rFonts w:hint="default" w:ascii="仿宋" w:hAnsi="仿宋" w:eastAsia="仿宋"/>
          <w:kern w:val="2"/>
          <w:sz w:val="32"/>
          <w:szCs w:val="24"/>
        </w:rPr>
        <w:t>0</w:t>
      </w:r>
      <w:r>
        <w:rPr>
          <w:rFonts w:hint="eastAsia" w:ascii="仿宋" w:hAnsi="仿宋" w:eastAsia="仿宋"/>
          <w:kern w:val="2"/>
          <w:sz w:val="32"/>
          <w:szCs w:val="24"/>
          <w:lang w:val="zh-CN"/>
        </w:rPr>
        <w:t>辆。</w:t>
      </w:r>
    </w:p>
    <w:p>
      <w:pPr>
        <w:keepNext/>
        <w:keepLines/>
        <w:spacing w:beforeLines="0" w:afterLines="0" w:line="560" w:lineRule="exact"/>
        <w:ind w:firstLine="643"/>
        <w:jc w:val="both"/>
        <w:rPr>
          <w:rFonts w:hint="default"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公务用车运行维护费</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w:t>
      </w:r>
    </w:p>
    <w:p>
      <w:pPr>
        <w:keepNext/>
        <w:keepLines/>
        <w:spacing w:beforeLines="0" w:afterLines="0" w:line="576" w:lineRule="exact"/>
        <w:ind w:firstLine="643"/>
        <w:jc w:val="both"/>
        <w:rPr>
          <w:rFonts w:hint="default"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3.公务接待费</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万元，完成预算0%。公务接待费支出决算比2021年减少-0.55万元，下降-100%。主要原因是厉行节约，缩减三公经费支出。其中：</w:t>
      </w:r>
    </w:p>
    <w:p>
      <w:pPr>
        <w:keepNext/>
        <w:keepLines/>
        <w:spacing w:beforeLines="0" w:afterLines="0" w:line="576" w:lineRule="exact"/>
        <w:ind w:firstLine="643"/>
        <w:jc w:val="both"/>
        <w:rPr>
          <w:rFonts w:hint="default" w:ascii="仿宋" w:hAnsi="仿宋" w:eastAsia="仿宋"/>
          <w:kern w:val="2"/>
          <w:sz w:val="32"/>
          <w:szCs w:val="24"/>
        </w:rPr>
      </w:pPr>
      <w:r>
        <w:rPr>
          <w:rFonts w:hint="eastAsia" w:ascii="仿宋_GB2312" w:hAnsi="仿宋_GB2312" w:eastAsia="仿宋_GB2312"/>
          <w:b/>
          <w:color w:val="000000"/>
          <w:kern w:val="2"/>
          <w:sz w:val="32"/>
          <w:szCs w:val="24"/>
          <w:lang w:val="zh-CN"/>
        </w:rPr>
        <w:t>国内公务接待</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w:t>
      </w:r>
      <w:r>
        <w:rPr>
          <w:rFonts w:hint="eastAsia" w:ascii="仿宋" w:hAnsi="仿宋" w:eastAsia="仿宋"/>
          <w:kern w:val="2"/>
          <w:sz w:val="32"/>
          <w:szCs w:val="24"/>
        </w:rPr>
        <w:t>。</w:t>
      </w:r>
      <w:r>
        <w:rPr>
          <w:rFonts w:hint="eastAsia" w:ascii="仿宋" w:hAnsi="仿宋" w:eastAsia="仿宋"/>
          <w:kern w:val="2"/>
          <w:sz w:val="32"/>
          <w:szCs w:val="24"/>
          <w:lang w:val="zh-CN"/>
        </w:rPr>
        <w:t>国内公务接待</w:t>
      </w:r>
      <w:r>
        <w:rPr>
          <w:rFonts w:hint="default" w:ascii="仿宋" w:hAnsi="仿宋" w:eastAsia="仿宋"/>
          <w:kern w:val="2"/>
          <w:sz w:val="32"/>
          <w:szCs w:val="24"/>
          <w:lang w:val="zh-CN"/>
        </w:rPr>
        <w:t>0</w:t>
      </w:r>
      <w:r>
        <w:rPr>
          <w:rFonts w:hint="eastAsia" w:ascii="仿宋" w:hAnsi="仿宋" w:eastAsia="仿宋"/>
          <w:kern w:val="2"/>
          <w:sz w:val="32"/>
          <w:szCs w:val="24"/>
          <w:lang w:val="zh-CN"/>
        </w:rPr>
        <w:t>批次，</w:t>
      </w:r>
      <w:r>
        <w:rPr>
          <w:rFonts w:hint="default" w:ascii="仿宋" w:hAnsi="仿宋" w:eastAsia="仿宋"/>
          <w:kern w:val="2"/>
          <w:sz w:val="32"/>
          <w:szCs w:val="24"/>
          <w:lang w:val="zh-CN"/>
        </w:rPr>
        <w:t>0</w:t>
      </w:r>
      <w:r>
        <w:rPr>
          <w:rFonts w:hint="eastAsia" w:ascii="仿宋" w:hAnsi="仿宋" w:eastAsia="仿宋"/>
          <w:kern w:val="2"/>
          <w:sz w:val="32"/>
          <w:szCs w:val="24"/>
          <w:lang w:val="zh-CN"/>
        </w:rPr>
        <w:t>人次，共计支出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w:t>
      </w:r>
      <w:r>
        <w:rPr>
          <w:rFonts w:hint="eastAsia" w:ascii="仿宋" w:hAnsi="仿宋" w:eastAsia="仿宋"/>
          <w:kern w:val="2"/>
          <w:sz w:val="32"/>
          <w:szCs w:val="24"/>
        </w:rPr>
        <w:t>。</w:t>
      </w:r>
    </w:p>
    <w:p>
      <w:pPr>
        <w:keepNext/>
        <w:keepLines/>
        <w:spacing w:beforeLines="0" w:afterLines="0" w:line="576" w:lineRule="exact"/>
        <w:ind w:firstLine="643"/>
        <w:jc w:val="both"/>
        <w:rPr>
          <w:rFonts w:hint="default" w:ascii="仿宋" w:hAnsi="仿宋" w:eastAsia="仿宋"/>
          <w:kern w:val="2"/>
          <w:sz w:val="32"/>
          <w:szCs w:val="24"/>
        </w:rPr>
      </w:pPr>
      <w:r>
        <w:rPr>
          <w:rFonts w:hint="eastAsia" w:ascii="仿宋_GB2312" w:hAnsi="仿宋_GB2312" w:eastAsia="仿宋_GB2312"/>
          <w:b/>
          <w:color w:val="000000"/>
          <w:kern w:val="2"/>
          <w:sz w:val="32"/>
          <w:szCs w:val="24"/>
          <w:lang w:val="zh-CN"/>
        </w:rPr>
        <w:t>外事接待</w:t>
      </w:r>
      <w:r>
        <w:rPr>
          <w:rFonts w:hint="eastAsia" w:ascii="仿宋" w:hAnsi="仿宋" w:eastAsia="仿宋"/>
          <w:kern w:val="2"/>
          <w:sz w:val="32"/>
          <w:szCs w:val="24"/>
          <w:lang w:val="zh-CN"/>
        </w:rPr>
        <w:t>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万元。外事接待</w:t>
      </w:r>
      <w:r>
        <w:rPr>
          <w:rFonts w:hint="default" w:ascii="仿宋" w:hAnsi="仿宋" w:eastAsia="仿宋"/>
          <w:kern w:val="2"/>
          <w:sz w:val="32"/>
          <w:szCs w:val="24"/>
          <w:lang w:val="zh-CN"/>
        </w:rPr>
        <w:t>0</w:t>
      </w:r>
      <w:r>
        <w:rPr>
          <w:rFonts w:hint="eastAsia" w:ascii="仿宋" w:hAnsi="仿宋" w:eastAsia="仿宋"/>
          <w:kern w:val="2"/>
          <w:sz w:val="32"/>
          <w:szCs w:val="24"/>
          <w:lang w:val="zh-CN"/>
        </w:rPr>
        <w:t>批次，</w:t>
      </w:r>
      <w:r>
        <w:rPr>
          <w:rFonts w:hint="default" w:ascii="仿宋" w:hAnsi="仿宋" w:eastAsia="仿宋"/>
          <w:kern w:val="2"/>
          <w:sz w:val="32"/>
          <w:szCs w:val="24"/>
          <w:lang w:val="zh-CN"/>
        </w:rPr>
        <w:t>0</w:t>
      </w:r>
      <w:r>
        <w:rPr>
          <w:rFonts w:hint="eastAsia" w:ascii="仿宋" w:hAnsi="仿宋" w:eastAsia="仿宋"/>
          <w:kern w:val="2"/>
          <w:sz w:val="32"/>
          <w:szCs w:val="24"/>
          <w:lang w:val="zh-CN"/>
        </w:rPr>
        <w:t>人，共计支出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w:t>
      </w:r>
    </w:p>
    <w:p>
      <w:pPr>
        <w:keepNext/>
        <w:keepLines/>
        <w:spacing w:beforeLines="0" w:afterLines="0" w:line="576" w:lineRule="exact"/>
        <w:ind w:firstLine="640"/>
        <w:jc w:val="both"/>
        <w:rPr>
          <w:rFonts w:hint="default" w:ascii="黑体" w:hAnsi="黑体" w:eastAsia="黑体"/>
          <w:b/>
          <w:kern w:val="2"/>
          <w:sz w:val="32"/>
          <w:szCs w:val="24"/>
          <w:lang w:val="zh-CN"/>
        </w:rPr>
      </w:pPr>
      <w:r>
        <w:rPr>
          <w:rFonts w:hint="eastAsia" w:ascii="黑体" w:hAnsi="黑体" w:eastAsia="黑体"/>
          <w:color w:val="000000"/>
          <w:kern w:val="2"/>
          <w:sz w:val="32"/>
          <w:szCs w:val="24"/>
          <w:lang w:val="zh-CN"/>
        </w:rPr>
        <w:t>八、</w:t>
      </w:r>
      <w:r>
        <w:rPr>
          <w:rFonts w:hint="eastAsia" w:ascii="黑体" w:hAnsi="黑体" w:eastAsia="黑体"/>
          <w:kern w:val="2"/>
          <w:sz w:val="32"/>
          <w:szCs w:val="24"/>
          <w:lang w:val="zh-CN"/>
        </w:rPr>
        <w:t>政府性基金预算支出决算情况说明</w:t>
      </w:r>
    </w:p>
    <w:p>
      <w:pPr>
        <w:keepNext/>
        <w:keepLines/>
        <w:spacing w:beforeLines="0" w:afterLines="0" w:line="576" w:lineRule="exact"/>
        <w:ind w:firstLine="643"/>
        <w:jc w:val="both"/>
        <w:rPr>
          <w:rFonts w:hint="default" w:ascii="仿宋" w:hAnsi="仿宋" w:eastAsia="仿宋"/>
          <w:kern w:val="2"/>
          <w:sz w:val="32"/>
          <w:szCs w:val="24"/>
          <w:lang w:val="zh-CN"/>
        </w:rPr>
      </w:pPr>
      <w:r>
        <w:rPr>
          <w:rFonts w:hint="eastAsia" w:ascii="仿宋" w:hAnsi="仿宋" w:eastAsia="仿宋"/>
          <w:kern w:val="2"/>
          <w:sz w:val="32"/>
          <w:szCs w:val="24"/>
          <w:lang w:val="zh-CN"/>
        </w:rPr>
        <w:t>2022年政府性基金预算拨款支出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w:t>
      </w:r>
    </w:p>
    <w:p>
      <w:pPr>
        <w:keepNext/>
        <w:keepLines/>
        <w:spacing w:beforeLines="0" w:afterLines="0" w:line="576" w:lineRule="exact"/>
        <w:ind w:firstLine="640"/>
        <w:jc w:val="both"/>
        <w:rPr>
          <w:rFonts w:hint="default" w:ascii="黑体" w:hAnsi="黑体" w:eastAsia="黑体"/>
          <w:kern w:val="2"/>
          <w:sz w:val="32"/>
          <w:szCs w:val="24"/>
          <w:lang w:val="zh-CN"/>
        </w:rPr>
      </w:pPr>
      <w:r>
        <w:rPr>
          <w:rFonts w:hint="eastAsia" w:ascii="黑体" w:hAnsi="黑体" w:eastAsia="黑体"/>
          <w:kern w:val="2"/>
          <w:sz w:val="32"/>
          <w:szCs w:val="24"/>
          <w:lang w:val="zh-CN"/>
        </w:rPr>
        <w:t>九、国有资本经营预算支出决算情况说明</w:t>
      </w:r>
    </w:p>
    <w:p>
      <w:pPr>
        <w:keepNext/>
        <w:keepLines/>
        <w:spacing w:beforeLines="0" w:afterLines="0" w:line="576" w:lineRule="exact"/>
        <w:ind w:firstLine="643"/>
        <w:jc w:val="both"/>
        <w:rPr>
          <w:rFonts w:hint="default" w:ascii="仿宋" w:hAnsi="仿宋" w:eastAsia="仿宋"/>
          <w:kern w:val="2"/>
          <w:sz w:val="32"/>
          <w:szCs w:val="24"/>
          <w:lang w:val="zh-CN"/>
        </w:rPr>
      </w:pPr>
      <w:r>
        <w:rPr>
          <w:rFonts w:hint="eastAsia" w:ascii="仿宋" w:hAnsi="仿宋" w:eastAsia="仿宋"/>
          <w:kern w:val="2"/>
          <w:sz w:val="32"/>
          <w:szCs w:val="24"/>
          <w:lang w:val="zh-CN"/>
        </w:rPr>
        <w:t>2022年国有资本经营预算拨款支出</w:t>
      </w:r>
      <w:r>
        <w:rPr>
          <w:rFonts w:hint="default" w:ascii="仿宋" w:hAnsi="仿宋" w:eastAsia="仿宋"/>
          <w:kern w:val="2"/>
          <w:sz w:val="32"/>
          <w:szCs w:val="24"/>
          <w:lang w:val="zh-CN"/>
        </w:rPr>
        <w:t>0</w:t>
      </w:r>
      <w:r>
        <w:rPr>
          <w:rFonts w:hint="eastAsia" w:ascii="仿宋" w:hAnsi="仿宋" w:eastAsia="仿宋"/>
          <w:kern w:val="2"/>
          <w:sz w:val="32"/>
          <w:szCs w:val="24"/>
          <w:lang w:val="zh-CN"/>
        </w:rPr>
        <w:t>万元。</w:t>
      </w:r>
    </w:p>
    <w:p>
      <w:pPr>
        <w:keepNext/>
        <w:keepLines/>
        <w:spacing w:beforeLines="0" w:afterLines="0" w:line="576" w:lineRule="exact"/>
        <w:ind w:firstLine="640"/>
        <w:jc w:val="both"/>
        <w:rPr>
          <w:rFonts w:hint="default" w:ascii="黑体" w:hAnsi="黑体" w:eastAsia="黑体"/>
          <w:b/>
          <w:kern w:val="2"/>
          <w:sz w:val="32"/>
          <w:szCs w:val="24"/>
          <w:lang w:val="zh-CN"/>
        </w:rPr>
      </w:pPr>
      <w:r>
        <w:rPr>
          <w:rFonts w:hint="eastAsia" w:ascii="黑体" w:hAnsi="黑体" w:eastAsia="黑体"/>
          <w:color w:val="000000"/>
          <w:kern w:val="2"/>
          <w:sz w:val="32"/>
          <w:szCs w:val="24"/>
          <w:lang w:val="zh-CN"/>
        </w:rPr>
        <w:t>十</w:t>
      </w:r>
      <w:r>
        <w:rPr>
          <w:rFonts w:hint="eastAsia" w:ascii="黑体" w:hAnsi="黑体" w:eastAsia="黑体"/>
          <w:b/>
          <w:kern w:val="2"/>
          <w:sz w:val="32"/>
          <w:szCs w:val="24"/>
          <w:lang w:val="zh-CN"/>
        </w:rPr>
        <w:t>、</w:t>
      </w:r>
      <w:r>
        <w:rPr>
          <w:rFonts w:hint="eastAsia" w:ascii="黑体" w:hAnsi="黑体" w:eastAsia="黑体"/>
          <w:kern w:val="2"/>
          <w:sz w:val="32"/>
          <w:szCs w:val="24"/>
          <w:lang w:val="zh-CN"/>
        </w:rPr>
        <w:t>其他重要事项的情况说明</w:t>
      </w:r>
    </w:p>
    <w:p>
      <w:pPr>
        <w:keepNext/>
        <w:keepLines/>
        <w:spacing w:beforeLines="0" w:afterLines="0" w:line="576" w:lineRule="exact"/>
        <w:ind w:firstLine="643"/>
        <w:jc w:val="both"/>
        <w:rPr>
          <w:rFonts w:hint="default"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pPr>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2022年，乐山市市中区行政审批局机关运行经费支出97.49万元，比2021年增加4.44万元，增长4.8%。主要原因是新招录人员，经费增加。</w:t>
      </w:r>
    </w:p>
    <w:p>
      <w:pPr>
        <w:keepNext/>
        <w:keepLines/>
        <w:spacing w:beforeLines="0" w:afterLines="0" w:line="576" w:lineRule="exact"/>
        <w:ind w:firstLine="643"/>
        <w:jc w:val="both"/>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pPr>
        <w:spacing w:beforeLines="0" w:afterLines="0" w:line="576" w:lineRule="exact"/>
        <w:ind w:firstLine="640"/>
        <w:jc w:val="both"/>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2022年，乐山市市中区行政审批局政府采购支出总额</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万元，其中：政府采购货物支出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万元、政府采购工程支出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万元、政府采购服务支出</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万元。授予中小企业合同金额</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万元，占政府采购支出总额的0%，其中：授予小微企业合同金额</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kern w:val="2"/>
          <w:sz w:val="32"/>
          <w:szCs w:val="24"/>
        </w:rPr>
        <w:t>占政府采购支出总额的</w:t>
      </w:r>
      <w:r>
        <w:rPr>
          <w:rFonts w:hint="eastAsia" w:ascii="仿宋_GB2312" w:hAnsi="仿宋_GB2312" w:eastAsia="仿宋_GB2312"/>
          <w:color w:val="000000"/>
          <w:kern w:val="2"/>
          <w:sz w:val="32"/>
          <w:szCs w:val="24"/>
          <w:lang w:val="zh-CN"/>
        </w:rPr>
        <w:t>0%。</w:t>
      </w:r>
    </w:p>
    <w:p>
      <w:pPr>
        <w:keepNext/>
        <w:keepLines/>
        <w:spacing w:beforeLines="0" w:afterLines="0" w:line="576" w:lineRule="exact"/>
        <w:ind w:firstLine="643"/>
        <w:jc w:val="both"/>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pPr>
        <w:spacing w:beforeLines="0" w:afterLines="0" w:line="576" w:lineRule="exact"/>
        <w:ind w:firstLine="640"/>
        <w:rPr>
          <w:rFonts w:hint="default"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截至2022年12月31日，</w:t>
      </w:r>
      <w:r>
        <w:rPr>
          <w:rFonts w:hint="eastAsia" w:ascii="仿宋_GB2312" w:hAnsi="仿宋_GB2312" w:eastAsia="仿宋_GB2312"/>
          <w:kern w:val="2"/>
          <w:sz w:val="32"/>
          <w:szCs w:val="24"/>
          <w:lang w:val="zh-CN"/>
        </w:rPr>
        <w:t>乐山市市中区行政审批局共有车辆</w:t>
      </w:r>
      <w:r>
        <w:rPr>
          <w:rFonts w:hint="default" w:ascii="仿宋_GB2312" w:hAnsi="仿宋_GB2312" w:eastAsia="仿宋_GB2312"/>
          <w:kern w:val="2"/>
          <w:sz w:val="32"/>
          <w:szCs w:val="24"/>
          <w:lang w:val="zh-CN"/>
        </w:rPr>
        <w:t>0</w:t>
      </w:r>
      <w:r>
        <w:rPr>
          <w:rFonts w:hint="eastAsia" w:ascii="仿宋_GB2312" w:hAnsi="仿宋_GB2312" w:eastAsia="仿宋_GB2312"/>
          <w:kern w:val="2"/>
          <w:sz w:val="32"/>
          <w:szCs w:val="24"/>
          <w:lang w:val="zh-CN"/>
        </w:rPr>
        <w:t>辆，其中：副部（省）级及以上领导用车</w:t>
      </w:r>
      <w:r>
        <w:rPr>
          <w:rFonts w:hint="default" w:ascii="仿宋_GB2312" w:hAnsi="仿宋_GB2312" w:eastAsia="仿宋_GB2312"/>
          <w:kern w:val="2"/>
          <w:sz w:val="32"/>
          <w:szCs w:val="24"/>
          <w:lang w:val="zh-CN"/>
        </w:rPr>
        <w:t>0</w:t>
      </w:r>
      <w:r>
        <w:rPr>
          <w:rFonts w:hint="eastAsia" w:ascii="仿宋_GB2312" w:hAnsi="仿宋_GB2312" w:eastAsia="仿宋_GB2312"/>
          <w:kern w:val="2"/>
          <w:sz w:val="32"/>
          <w:szCs w:val="24"/>
          <w:lang w:val="zh-CN"/>
        </w:rPr>
        <w:t>辆、主要领导干部用车</w:t>
      </w:r>
      <w:r>
        <w:rPr>
          <w:rFonts w:hint="default" w:ascii="仿宋_GB2312" w:hAnsi="仿宋_GB2312" w:eastAsia="仿宋_GB2312"/>
          <w:kern w:val="2"/>
          <w:sz w:val="32"/>
          <w:szCs w:val="24"/>
          <w:lang w:val="zh-CN"/>
        </w:rPr>
        <w:t>0</w:t>
      </w:r>
      <w:r>
        <w:rPr>
          <w:rFonts w:hint="eastAsia" w:ascii="仿宋_GB2312" w:hAnsi="仿宋_GB2312" w:eastAsia="仿宋_GB2312"/>
          <w:kern w:val="2"/>
          <w:sz w:val="32"/>
          <w:szCs w:val="24"/>
          <w:lang w:val="zh-CN"/>
        </w:rPr>
        <w:t>辆、机要通信用车</w:t>
      </w:r>
      <w:r>
        <w:rPr>
          <w:rFonts w:hint="default" w:ascii="仿宋_GB2312" w:hAnsi="仿宋_GB2312" w:eastAsia="仿宋_GB2312"/>
          <w:kern w:val="2"/>
          <w:sz w:val="32"/>
          <w:szCs w:val="24"/>
          <w:lang w:val="zh-CN"/>
        </w:rPr>
        <w:t>0</w:t>
      </w:r>
      <w:r>
        <w:rPr>
          <w:rFonts w:hint="eastAsia" w:ascii="仿宋_GB2312" w:hAnsi="仿宋_GB2312" w:eastAsia="仿宋_GB2312"/>
          <w:kern w:val="2"/>
          <w:sz w:val="32"/>
          <w:szCs w:val="24"/>
          <w:lang w:val="zh-CN"/>
        </w:rPr>
        <w:t>辆、应</w:t>
      </w:r>
      <w:r>
        <w:rPr>
          <w:rFonts w:hint="eastAsia" w:ascii="仿宋_GB2312" w:hAnsi="仿宋_GB2312" w:eastAsia="仿宋_GB2312"/>
          <w:color w:val="000000"/>
          <w:kern w:val="2"/>
          <w:sz w:val="32"/>
          <w:szCs w:val="24"/>
          <w:lang w:val="zh-CN"/>
        </w:rPr>
        <w:t>急保障用车</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辆、执法执勤用车</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辆、特种专业技术用车</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辆、离退休干部用车</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辆、其他用车</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辆。单价100万元（含）以上设备</w:t>
      </w:r>
      <w:r>
        <w:rPr>
          <w:rFonts w:hint="default" w:ascii="仿宋_GB2312" w:hAnsi="仿宋_GB2312" w:eastAsia="仿宋_GB2312"/>
          <w:color w:val="000000"/>
          <w:kern w:val="2"/>
          <w:sz w:val="32"/>
          <w:szCs w:val="24"/>
          <w:lang w:val="zh-CN"/>
        </w:rPr>
        <w:t>0</w:t>
      </w:r>
      <w:r>
        <w:rPr>
          <w:rFonts w:hint="eastAsia" w:ascii="仿宋_GB2312" w:hAnsi="仿宋_GB2312" w:eastAsia="仿宋_GB2312"/>
          <w:color w:val="000000"/>
          <w:kern w:val="2"/>
          <w:sz w:val="32"/>
          <w:szCs w:val="24"/>
          <w:lang w:val="zh-CN"/>
        </w:rPr>
        <w:t>台（套)。</w:t>
      </w:r>
    </w:p>
    <w:p>
      <w:pPr>
        <w:keepNext/>
        <w:keepLines/>
        <w:spacing w:beforeLines="0" w:afterLines="0" w:line="576" w:lineRule="exact"/>
        <w:ind w:firstLine="643"/>
        <w:jc w:val="both"/>
        <w:rPr>
          <w:rFonts w:hint="default"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pPr>
        <w:spacing w:beforeLines="0" w:afterLines="0" w:line="576" w:lineRule="exact"/>
        <w:ind w:firstLine="640"/>
        <w:jc w:val="both"/>
        <w:rPr>
          <w:rFonts w:hint="default"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根据预算绩效管理要求，本部门在2022年度预算编制阶段，组织对政务大厅运转、</w:t>
      </w:r>
      <w:r>
        <w:rPr>
          <w:rFonts w:hint="eastAsia" w:ascii="仿宋" w:hAnsi="仿宋" w:eastAsia="仿宋"/>
          <w:sz w:val="32"/>
          <w:szCs w:val="24"/>
        </w:rPr>
        <w:t>一体化政务服务平台升级技术保障服务、</w:t>
      </w:r>
      <w:r>
        <w:rPr>
          <w:rFonts w:hint="eastAsia" w:ascii="仿宋_GB2312" w:hAnsi="仿宋_GB2312" w:eastAsia="仿宋_GB2312"/>
          <w:kern w:val="2"/>
          <w:sz w:val="32"/>
          <w:szCs w:val="24"/>
        </w:rPr>
        <w:t>乡镇电子监察、编外人员经费等5个项目开展了预算事前绩效评估，对3个项目编制了绩效目标，预算执行过程中，选取3个项目开展绩效监控。</w:t>
      </w:r>
    </w:p>
    <w:p>
      <w:pPr>
        <w:widowControl/>
        <w:snapToGrid w:val="0"/>
        <w:spacing w:beforeLines="0" w:afterLines="0" w:line="580" w:lineRule="exact"/>
        <w:ind w:firstLine="640" w:firstLineChars="200"/>
        <w:rPr>
          <w:rFonts w:hint="default" w:ascii="仿宋_GB2312" w:hAnsi="仿宋_GB2312" w:eastAsia="仿宋_GB2312"/>
          <w:kern w:val="2"/>
          <w:sz w:val="32"/>
          <w:szCs w:val="24"/>
        </w:rPr>
      </w:pPr>
      <w:r>
        <w:rPr>
          <w:rFonts w:hint="eastAsia" w:ascii="仿宋_GB2312" w:hAnsi="仿宋_GB2312" w:eastAsia="仿宋_GB2312"/>
          <w:kern w:val="2"/>
          <w:sz w:val="32"/>
          <w:szCs w:val="24"/>
        </w:rPr>
        <w:t>组织对2022年度一般公共预算全面开展绩效自评，形成乐山市市中区行政审批局部门整体（含部门预算项目）绩效自评报告、乐山市市中区行政审批局等专项预算项目绩效自评报告，其中，乐山市市中区行政审批局部门整体（含部门预算项目）绩效自评得分为94分，绩效自评综述：</w:t>
      </w:r>
      <w:r>
        <w:rPr>
          <w:rFonts w:hint="eastAsia" w:ascii="仿宋_GB2312" w:hAnsi="仿宋_GB2312" w:eastAsia="仿宋_GB2312"/>
          <w:color w:val="000000"/>
          <w:sz w:val="30"/>
          <w:szCs w:val="24"/>
          <w:shd w:val="clear" w:color="auto" w:fill="FFFFFF"/>
          <w:lang w:val="zh-CN"/>
        </w:rPr>
        <w:t>我</w:t>
      </w:r>
      <w:r>
        <w:rPr>
          <w:rFonts w:hint="eastAsia" w:ascii="仿宋_GB2312" w:hAnsi="仿宋_GB2312" w:eastAsia="仿宋_GB2312"/>
          <w:color w:val="000000"/>
          <w:sz w:val="30"/>
          <w:szCs w:val="24"/>
          <w:shd w:val="clear" w:color="auto" w:fill="FFFFFF"/>
        </w:rPr>
        <w:t>部门按照国有资产综合管理绩效评价指标体系，设置评价要点，</w:t>
      </w:r>
      <w:r>
        <w:rPr>
          <w:rFonts w:hint="eastAsia" w:ascii="仿宋_GB2312" w:hAnsi="仿宋_GB2312" w:eastAsia="仿宋_GB2312"/>
          <w:sz w:val="30"/>
          <w:szCs w:val="24"/>
          <w:shd w:val="clear" w:color="auto" w:fill="FFFFFF"/>
        </w:rPr>
        <w:t>充分运用分级评分法</w:t>
      </w:r>
      <w:r>
        <w:rPr>
          <w:rFonts w:hint="eastAsia" w:ascii="仿宋_GB2312" w:hAnsi="仿宋_GB2312" w:eastAsia="仿宋_GB2312"/>
          <w:color w:val="000000"/>
          <w:sz w:val="30"/>
          <w:szCs w:val="24"/>
          <w:shd w:val="clear" w:color="auto" w:fill="FFFFFF"/>
        </w:rPr>
        <w:t>等评分方法，采取整体评价与样本评价相结合的评价方式，定性评价与定量评价相结合的评价属性，按照四类定量评价标准对科室国有资产综合管理情况进行绩效评价</w:t>
      </w:r>
      <w:r>
        <w:rPr>
          <w:rFonts w:hint="eastAsia" w:ascii="仿宋_GB2312" w:hAnsi="仿宋_GB2312" w:eastAsia="仿宋_GB2312"/>
          <w:kern w:val="2"/>
          <w:sz w:val="32"/>
          <w:szCs w:val="24"/>
        </w:rPr>
        <w:t>；政务大厅运转专项预算项目绩效自评得分为90分，绩效自评综述：保证政务服务大厅的正常运转。以提升审批服务质量，营造良好营商环境，强化政务服务水平，加快了“互联网+政务服务”功能的建设。缩减审批时间，节约审批成本。2022年乡镇电子监察费专项预算项目绩效自评得分为90分，绩效自评综述：按省、市要求，各乡镇安装便民服务中心监控系统，以实时掌握了解乡镇便民服务中心服务情况。保证行政效能监察专线的畅通，完善平台维护服务，以保障乡镇便民服务中心监控系统的顺利安装和网络信息安全；2022年编外人员经费专项预算项目绩效自评得分为90分，绩效自评综述：保证政务服务大厅的正常运行，以提高窗口服务人员工作积极性，窗口服务质量。</w:t>
      </w:r>
    </w:p>
    <w:p>
      <w:pPr>
        <w:widowControl/>
        <w:snapToGrid w:val="0"/>
        <w:spacing w:beforeLines="0" w:afterLines="0" w:line="580" w:lineRule="exact"/>
        <w:ind w:firstLine="640" w:firstLineChars="200"/>
        <w:rPr>
          <w:rFonts w:hint="default" w:ascii="仿宋_GB2312" w:hAnsi="仿宋_GB2312" w:eastAsia="仿宋_GB2312"/>
          <w:b/>
          <w:color w:val="000000"/>
          <w:kern w:val="2"/>
          <w:sz w:val="32"/>
          <w:szCs w:val="24"/>
          <w:lang w:val="zh-CN"/>
        </w:rPr>
      </w:pPr>
      <w:r>
        <w:rPr>
          <w:rFonts w:hint="eastAsia" w:ascii="仿宋_GB2312" w:hAnsi="仿宋_GB2312" w:eastAsia="仿宋_GB2312"/>
          <w:kern w:val="2"/>
          <w:sz w:val="32"/>
          <w:szCs w:val="24"/>
        </w:rPr>
        <w:t>绩效自评报告详见附件。</w:t>
      </w:r>
    </w:p>
    <w:p>
      <w:pPr>
        <w:keepNext/>
        <w:keepLines/>
        <w:spacing w:beforeLines="0" w:afterLines="0" w:line="576" w:lineRule="exact"/>
        <w:jc w:val="center"/>
        <w:rPr>
          <w:rFonts w:hint="default" w:ascii="黑体" w:hAnsi="黑体" w:eastAsia="黑体"/>
          <w:color w:val="000000"/>
          <w:kern w:val="2"/>
          <w:sz w:val="44"/>
          <w:szCs w:val="24"/>
          <w:lang w:val="zh-CN"/>
        </w:rPr>
      </w:pPr>
    </w:p>
    <w:p>
      <w:pPr>
        <w:pStyle w:val="2"/>
        <w:spacing w:beforeLines="0" w:afterLines="0"/>
        <w:rPr>
          <w:rFonts w:hint="default" w:eastAsia="Times New Roman"/>
          <w:sz w:val="24"/>
          <w:szCs w:val="24"/>
          <w:lang w:val="zh-CN"/>
        </w:rPr>
      </w:pPr>
    </w:p>
    <w:p>
      <w:pPr>
        <w:pStyle w:val="2"/>
        <w:spacing w:beforeLines="0" w:afterLines="0"/>
        <w:rPr>
          <w:rFonts w:hint="default" w:eastAsia="Times New Roman"/>
          <w:sz w:val="24"/>
          <w:szCs w:val="24"/>
          <w:lang w:val="zh-CN"/>
        </w:rPr>
      </w:pPr>
    </w:p>
    <w:p>
      <w:pPr>
        <w:pStyle w:val="2"/>
        <w:spacing w:beforeLines="0" w:afterLines="0"/>
        <w:rPr>
          <w:rFonts w:hint="default" w:eastAsia="Times New Roman"/>
          <w:sz w:val="24"/>
          <w:szCs w:val="24"/>
          <w:lang w:val="zh-CN"/>
        </w:rPr>
      </w:pPr>
    </w:p>
    <w:p>
      <w:pPr>
        <w:keepNext/>
        <w:keepLines/>
        <w:spacing w:beforeLines="0" w:afterLines="0" w:line="576" w:lineRule="exact"/>
        <w:jc w:val="center"/>
        <w:rPr>
          <w:rFonts w:hint="default" w:ascii="黑体" w:hAnsi="黑体" w:eastAsia="黑体"/>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kern w:val="44"/>
          <w:sz w:val="44"/>
          <w:szCs w:val="24"/>
          <w:lang w:val="zh-CN"/>
        </w:rPr>
        <w:t>词解释</w:t>
      </w:r>
    </w:p>
    <w:p>
      <w:pPr>
        <w:spacing w:beforeLines="0" w:afterLines="0" w:line="576" w:lineRule="exact"/>
        <w:ind w:firstLine="640"/>
        <w:rPr>
          <w:rFonts w:hint="default" w:ascii="仿宋_GB2312" w:hAnsi="仿宋_GB2312" w:eastAsia="仿宋_GB2312"/>
          <w:color w:val="000000"/>
          <w:sz w:val="32"/>
          <w:szCs w:val="24"/>
        </w:rPr>
      </w:pPr>
      <w:r>
        <w:rPr>
          <w:rFonts w:hint="eastAsia" w:ascii="仿宋_GB2312" w:hAnsi="仿宋_GB2312" w:eastAsia="仿宋_GB2312"/>
          <w:color w:val="000000"/>
          <w:sz w:val="32"/>
          <w:szCs w:val="24"/>
        </w:rPr>
        <w:t>1.财政拨款收入：指单位从同级财政部门取得的财政预算资金。</w:t>
      </w:r>
    </w:p>
    <w:p>
      <w:pPr>
        <w:spacing w:beforeLines="0" w:afterLines="0" w:line="576" w:lineRule="exact"/>
        <w:ind w:firstLine="640"/>
        <w:rPr>
          <w:rFonts w:hint="default" w:ascii="仿宋_GB2312" w:hAnsi="仿宋_GB2312" w:eastAsia="仿宋_GB2312"/>
          <w:color w:val="000000"/>
          <w:sz w:val="32"/>
          <w:szCs w:val="24"/>
        </w:rPr>
      </w:pPr>
      <w:r>
        <w:rPr>
          <w:rFonts w:hint="eastAsia" w:ascii="仿宋_GB2312" w:hAnsi="仿宋_GB2312" w:eastAsia="仿宋_GB2312"/>
          <w:color w:val="000000"/>
          <w:sz w:val="32"/>
          <w:szCs w:val="24"/>
        </w:rPr>
        <w:t>2.事业收入：指事业单位开展专业业务活动及辅助活动取得的收入。</w:t>
      </w:r>
    </w:p>
    <w:p>
      <w:pPr>
        <w:spacing w:beforeLines="0" w:afterLines="0" w:line="576" w:lineRule="exact"/>
        <w:ind w:firstLine="640"/>
        <w:rPr>
          <w:rFonts w:hint="default" w:ascii="仿宋_GB2312" w:hAnsi="仿宋_GB2312" w:eastAsia="仿宋_GB2312"/>
          <w:color w:val="000000"/>
          <w:sz w:val="32"/>
          <w:szCs w:val="24"/>
        </w:rPr>
      </w:pPr>
      <w:r>
        <w:rPr>
          <w:rFonts w:hint="eastAsia" w:ascii="仿宋_GB2312" w:hAnsi="仿宋_GB2312" w:eastAsia="仿宋_GB2312"/>
          <w:color w:val="000000"/>
          <w:sz w:val="32"/>
          <w:szCs w:val="24"/>
        </w:rPr>
        <w:t>3.经营收入：指事业单位在专业业务活动及其辅助活动之外开展非独立核算经营活动取得的收入。</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4.其他收入：指单位取得的除上述收入以外的各项收入。 </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5.年初结转和结余：指以前年度尚未完成、结转到本年按有关规定继续使用的资金。 </w:t>
      </w:r>
    </w:p>
    <w:p>
      <w:pPr>
        <w:spacing w:beforeLines="0" w:afterLines="0" w:line="576" w:lineRule="exact"/>
        <w:ind w:firstLine="640"/>
        <w:rPr>
          <w:rFonts w:hint="default" w:ascii="仿宋_GB2312" w:hAnsi="仿宋_GB2312" w:eastAsia="仿宋_GB2312"/>
          <w:color w:val="000000"/>
          <w:sz w:val="32"/>
          <w:szCs w:val="24"/>
        </w:rPr>
      </w:pPr>
      <w:r>
        <w:rPr>
          <w:rFonts w:hint="eastAsia" w:ascii="仿宋_GB2312" w:hAnsi="仿宋_GB2312" w:eastAsia="仿宋_GB2312"/>
          <w:color w:val="000000"/>
          <w:sz w:val="32"/>
          <w:szCs w:val="24"/>
        </w:rPr>
        <w:t>6.结余分配：指事业单位按照会计制度规定缴纳的所得税、提取的专用结余以及转入非财政拨款结余的金额等。</w:t>
      </w:r>
    </w:p>
    <w:p>
      <w:pPr>
        <w:spacing w:beforeLines="0" w:afterLines="0" w:line="576" w:lineRule="exact"/>
        <w:ind w:firstLine="640"/>
        <w:rPr>
          <w:rFonts w:hint="default" w:ascii="仿宋_GB2312" w:hAnsi="仿宋_GB2312" w:eastAsia="仿宋_GB2312"/>
          <w:color w:val="000000"/>
          <w:sz w:val="32"/>
          <w:szCs w:val="24"/>
        </w:rPr>
      </w:pPr>
      <w:r>
        <w:rPr>
          <w:rFonts w:hint="eastAsia" w:ascii="仿宋_GB2312" w:hAnsi="仿宋_GB2312" w:eastAsia="仿宋_GB2312"/>
          <w:color w:val="000000"/>
          <w:sz w:val="32"/>
          <w:szCs w:val="24"/>
        </w:rPr>
        <w:t>7.年末结转和结余：指单位按有关规定结转到下年或以后年度继续使用的资金。</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8.一般公共服务支出（类）政府办公厅（室）及相关机构事务（款）行政运行（项）：指反映行政单位（包括实行公务员管理的事业单位） 基本支出。</w:t>
      </w:r>
    </w:p>
    <w:p>
      <w:pPr>
        <w:spacing w:beforeLines="0" w:afterLines="0" w:line="576" w:lineRule="exact"/>
        <w:ind w:firstLine="640"/>
        <w:jc w:val="both"/>
        <w:rPr>
          <w:rFonts w:hint="default" w:eastAsia="Times New Roman"/>
          <w:sz w:val="24"/>
          <w:szCs w:val="24"/>
        </w:rPr>
      </w:pPr>
      <w:r>
        <w:rPr>
          <w:rFonts w:hint="eastAsia" w:ascii="仿宋_GB2312" w:hAnsi="仿宋_GB2312" w:eastAsia="仿宋_GB2312"/>
          <w:color w:val="000000"/>
          <w:kern w:val="2"/>
          <w:sz w:val="32"/>
          <w:szCs w:val="24"/>
        </w:rPr>
        <w:t>9.一般公共服务支出（类）政府办公厅（室）及相关机构事务（款）政务公开审批（项）：指反映各级政府政务公开审批方面的支出。</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10.一般公共服务（类）政府办公厅（室）及相关机构事务（款）其他政府办公厅（室）及相关机构事务支出（项）:指反映除上述项目以外的其他政府办公厅（室）及相关机构事务支出。</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11.社会保障和就业（类）行政事业单位养老支出（款）机关事业单位基本养老保险缴费支出（项）：指反映机关事业单位实施养老保险制度由单位缴纳的基本养老保险费支出。</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12.社会保障和就业（类）行政事业单位养老支出（款）机关事业单位职业年金缴费支出（项）：指反映机关事业单位实施养老保险制度由单位实际缴纳的职业年金支出。</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13.残疾人事业（类）其他残疾人事业支出（款）：指反映除上述项目以外其他用于残疾人事业方面的支出。</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14.卫生健康（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15.卫生健康（类）行政事业单位医疗（款）事业单位医疗（项）:指反映财政部门安排的事业单位基本医疗保险缴费经费，未参加医疗保险的事业单位的公费医疗经费，按国家规定享受离休人员待遇的医疗经费。</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16.卫生健康（类）行政事业单位医疗（款）公务员医疗补助（项）：指反映财政部门安排的公务员医疗补助经费。</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17.农林水支出（类）巩固脱贫衔接乡村振兴（款）其他巩固脱贫衔接乡村振兴支出（项）：指反映除上述项目以外其他用于巩固拓展脱贫攻坚成果同乡村振兴有效衔接方面的支出。</w:t>
      </w:r>
    </w:p>
    <w:p>
      <w:pPr>
        <w:spacing w:beforeLines="0" w:afterLines="0" w:line="576" w:lineRule="exact"/>
        <w:ind w:firstLine="640"/>
        <w:jc w:val="both"/>
        <w:rPr>
          <w:rFonts w:hint="default" w:ascii="仿宋" w:hAnsi="仿宋" w:eastAsia="仿宋"/>
          <w:b/>
          <w:kern w:val="2"/>
          <w:sz w:val="32"/>
          <w:szCs w:val="24"/>
        </w:rPr>
      </w:pPr>
      <w:r>
        <w:rPr>
          <w:rFonts w:hint="eastAsia" w:ascii="仿宋_GB2312" w:hAnsi="仿宋_GB2312" w:eastAsia="仿宋_GB2312"/>
          <w:color w:val="000000"/>
          <w:kern w:val="2"/>
          <w:sz w:val="32"/>
          <w:szCs w:val="24"/>
        </w:rPr>
        <w:t>18.住房保障（类）住房改革支出（款）住房公积金（项）:指反映行政事业单位按人力资源和社会保障部、财政部规定的基本工资和津贴补贴以及规定比例为职工缴纳的住房公积金。</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19.基本支出：指为保障机构正常运转、完成日常工作任务而发生的人员支出和公用支出。</w:t>
      </w:r>
    </w:p>
    <w:p>
      <w:pPr>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20.项目支出：指在基本支出之外为完成特定行政任务和事业发展目标所发生的支出。 </w:t>
      </w:r>
    </w:p>
    <w:p>
      <w:pPr>
        <w:spacing w:beforeLines="0" w:afterLines="0" w:line="576" w:lineRule="exact"/>
        <w:ind w:firstLine="640"/>
        <w:jc w:val="both"/>
        <w:rPr>
          <w:rFonts w:hint="default"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21.经营支出：指事业单位在专业业务活动及其辅助活动之外开展非独立核算经营活动发生的支出。</w:t>
      </w:r>
    </w:p>
    <w:p>
      <w:pPr>
        <w:spacing w:beforeLines="0" w:afterLines="0" w:line="576" w:lineRule="exact"/>
        <w:ind w:firstLine="640"/>
        <w:rPr>
          <w:rFonts w:hint="default" w:ascii="仿宋_GB2312" w:hAnsi="仿宋_GB2312" w:eastAsia="仿宋_GB2312"/>
          <w:color w:val="000000"/>
          <w:sz w:val="32"/>
          <w:szCs w:val="24"/>
        </w:rPr>
      </w:pPr>
      <w:r>
        <w:rPr>
          <w:rFonts w:hint="eastAsia" w:ascii="仿宋_GB2312" w:hAnsi="仿宋_GB2312" w:eastAsia="仿宋_GB2312"/>
          <w:color w:val="000000"/>
          <w:sz w:val="32"/>
          <w:szCs w:val="24"/>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560" w:lineRule="exact"/>
        <w:ind w:firstLine="640"/>
        <w:rPr>
          <w:rFonts w:hint="default" w:ascii="仿宋_GB2312" w:hAnsi="仿宋_GB2312" w:eastAsia="仿宋_GB2312"/>
          <w:sz w:val="32"/>
          <w:szCs w:val="24"/>
        </w:rPr>
      </w:pPr>
      <w:r>
        <w:rPr>
          <w:rFonts w:hint="eastAsia" w:ascii="仿宋_GB2312" w:hAnsi="仿宋_GB2312" w:eastAsia="仿宋_GB2312"/>
          <w:color w:val="000000"/>
          <w:sz w:val="32"/>
          <w:szCs w:val="24"/>
        </w:rPr>
        <w:t>23.机关运行经费：</w:t>
      </w:r>
      <w:r>
        <w:rPr>
          <w:rFonts w:hint="eastAsia" w:ascii="仿宋_GB2312" w:hAnsi="仿宋_GB2312" w:eastAsia="仿宋_GB2312"/>
          <w:sz w:val="32"/>
          <w:szCs w:val="24"/>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spacing w:beforeLines="0" w:afterLines="0" w:line="576" w:lineRule="exact"/>
        <w:jc w:val="center"/>
        <w:rPr>
          <w:rFonts w:hint="default" w:ascii="黑体" w:hAnsi="黑体" w:eastAsia="黑体"/>
          <w:kern w:val="44"/>
          <w:sz w:val="44"/>
          <w:szCs w:val="24"/>
          <w:lang w:val="zh-CN"/>
        </w:rPr>
      </w:pPr>
    </w:p>
    <w:p>
      <w:pPr>
        <w:spacing w:beforeLines="0" w:afterLines="0" w:line="600" w:lineRule="exact"/>
        <w:jc w:val="center"/>
        <w:rPr>
          <w:rFonts w:hint="default" w:ascii="黑体" w:hAnsi="黑体" w:eastAsia="黑体"/>
          <w:kern w:val="44"/>
          <w:sz w:val="44"/>
          <w:szCs w:val="24"/>
        </w:rPr>
      </w:pPr>
      <w:r>
        <w:rPr>
          <w:rFonts w:hint="eastAsia" w:ascii="黑体" w:hAnsi="黑体" w:eastAsia="黑体"/>
          <w:kern w:val="2"/>
          <w:sz w:val="44"/>
          <w:szCs w:val="24"/>
        </w:rPr>
        <w:t>第</w:t>
      </w:r>
      <w:r>
        <w:rPr>
          <w:rFonts w:hint="eastAsia" w:ascii="黑体" w:hAnsi="黑体" w:eastAsia="黑体"/>
          <w:kern w:val="44"/>
          <w:sz w:val="44"/>
          <w:szCs w:val="24"/>
        </w:rPr>
        <w:t>四部分 附件</w:t>
      </w:r>
    </w:p>
    <w:p>
      <w:pPr>
        <w:keepNext/>
        <w:keepLines/>
        <w:spacing w:beforeLines="0" w:afterLines="0" w:line="572" w:lineRule="exact"/>
        <w:rPr>
          <w:rFonts w:hint="default" w:ascii="方正小标宋简体" w:hAnsi="方正小标宋简体" w:eastAsia="方正小标宋简体"/>
          <w:kern w:val="2"/>
          <w:sz w:val="44"/>
          <w:szCs w:val="24"/>
        </w:rPr>
      </w:pPr>
      <w:r>
        <w:rPr>
          <w:rFonts w:hint="eastAsia" w:ascii="黑体" w:hAnsi="黑体" w:eastAsia="黑体"/>
          <w:kern w:val="2"/>
          <w:sz w:val="32"/>
          <w:szCs w:val="24"/>
        </w:rPr>
        <w:t>附件</w:t>
      </w:r>
    </w:p>
    <w:p>
      <w:pPr>
        <w:widowControl/>
        <w:spacing w:beforeLines="0" w:afterLines="0" w:line="580" w:lineRule="exact"/>
        <w:jc w:val="center"/>
        <w:rPr>
          <w:rFonts w:hint="default" w:ascii="方正小标宋简体" w:hAnsi="宋体" w:eastAsia="方正小标宋简体"/>
          <w:sz w:val="44"/>
          <w:szCs w:val="24"/>
          <w:shd w:val="clear" w:color="auto" w:fill="FFFFFF"/>
        </w:rPr>
      </w:pPr>
      <w:r>
        <w:rPr>
          <w:rFonts w:hint="eastAsia" w:ascii="方正小标宋简体" w:hAnsi="宋体" w:eastAsia="方正小标宋简体"/>
          <w:sz w:val="44"/>
          <w:szCs w:val="24"/>
          <w:shd w:val="clear" w:color="auto" w:fill="FFFFFF"/>
        </w:rPr>
        <w:t>乐山市市中区行政审批局</w:t>
      </w:r>
    </w:p>
    <w:p>
      <w:pPr>
        <w:widowControl/>
        <w:spacing w:beforeLines="0" w:afterLines="0" w:line="580" w:lineRule="exact"/>
        <w:jc w:val="center"/>
        <w:rPr>
          <w:rFonts w:hint="default" w:ascii="方正小标宋简体" w:eastAsia="方正小标宋简体"/>
          <w:sz w:val="44"/>
          <w:szCs w:val="24"/>
          <w:shd w:val="clear" w:color="auto" w:fill="FFFFFF"/>
        </w:rPr>
      </w:pPr>
      <w:r>
        <w:rPr>
          <w:rFonts w:hint="eastAsia" w:ascii="方正小标宋简体" w:hAnsi="宋体" w:eastAsia="方正小标宋简体"/>
          <w:sz w:val="44"/>
          <w:szCs w:val="24"/>
          <w:shd w:val="clear" w:color="auto" w:fill="FFFFFF"/>
        </w:rPr>
        <w:t xml:space="preserve">部门整体绩效自评报告 </w:t>
      </w:r>
    </w:p>
    <w:p>
      <w:pPr>
        <w:widowControl/>
        <w:snapToGrid w:val="0"/>
        <w:spacing w:beforeLines="0" w:afterLines="0" w:line="580" w:lineRule="exact"/>
        <w:ind w:firstLine="602" w:firstLineChars="200"/>
        <w:rPr>
          <w:rFonts w:hint="default" w:ascii="仿宋_GB2312" w:hAnsi="仿宋_GB2312" w:eastAsia="仿宋_GB2312"/>
          <w:b/>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rPr>
        <w:t>一、</w:t>
      </w:r>
      <w:r>
        <w:rPr>
          <w:rFonts w:hint="eastAsia" w:ascii="仿宋_GB2312" w:hAnsi="仿宋_GB2312" w:eastAsia="仿宋_GB2312"/>
          <w:b/>
          <w:color w:val="000000"/>
          <w:sz w:val="30"/>
          <w:szCs w:val="24"/>
          <w:shd w:val="clear" w:color="auto" w:fill="FFFFFF"/>
          <w:lang w:val="zh-CN"/>
        </w:rPr>
        <w:t>部门基本情况</w:t>
      </w:r>
    </w:p>
    <w:p>
      <w:pPr>
        <w:widowControl/>
        <w:snapToGrid w:val="0"/>
        <w:spacing w:beforeLines="0" w:afterLines="0" w:line="580" w:lineRule="exact"/>
        <w:ind w:firstLine="602" w:firstLineChars="200"/>
        <w:rPr>
          <w:rFonts w:hint="eastAsia" w:ascii="仿宋_GB2312" w:hAnsi="仿宋_GB2312" w:eastAsia="仿宋_GB2312"/>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lang w:val="zh-CN"/>
        </w:rPr>
        <w:t>（一）机构组成</w:t>
      </w:r>
      <w:r>
        <w:rPr>
          <w:rFonts w:hint="eastAsia" w:ascii="仿宋_GB2312" w:hAnsi="仿宋_GB2312" w:eastAsia="仿宋_GB2312"/>
          <w:color w:val="000000"/>
          <w:sz w:val="30"/>
          <w:szCs w:val="24"/>
          <w:shd w:val="clear" w:color="auto" w:fill="FFFFFF"/>
          <w:lang w:val="zh-CN"/>
        </w:rPr>
        <w:t>:</w:t>
      </w:r>
    </w:p>
    <w:p>
      <w:pPr>
        <w:spacing w:beforeLines="0" w:afterLines="0" w:line="600" w:lineRule="exact"/>
        <w:ind w:firstLine="600" w:firstLineChars="200"/>
        <w:rPr>
          <w:rFonts w:hint="default" w:ascii="仿宋_GB2312" w:hAnsi="仿宋_GB2312" w:eastAsia="仿宋_GB2312"/>
          <w:sz w:val="30"/>
          <w:szCs w:val="24"/>
        </w:rPr>
      </w:pPr>
      <w:r>
        <w:rPr>
          <w:rFonts w:hint="eastAsia" w:ascii="仿宋_GB2312" w:hAnsi="仿宋_GB2312" w:eastAsia="仿宋_GB2312"/>
          <w:sz w:val="30"/>
          <w:szCs w:val="24"/>
        </w:rPr>
        <w:t>乐山市市中区行政审批局（区政务服务中心），其中行政单位1个，其他事业单位1个。</w:t>
      </w:r>
    </w:p>
    <w:p>
      <w:pPr>
        <w:widowControl/>
        <w:snapToGrid w:val="0"/>
        <w:spacing w:beforeLines="0" w:afterLines="0" w:line="580" w:lineRule="exact"/>
        <w:ind w:firstLine="602" w:firstLineChars="200"/>
        <w:rPr>
          <w:rFonts w:hint="eastAsia" w:ascii="仿宋_GB2312" w:hAnsi="仿宋_GB2312" w:eastAsia="仿宋_GB2312"/>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lang w:val="zh-CN"/>
        </w:rPr>
        <w:t>（二）机构职能和人员概况</w:t>
      </w:r>
      <w:r>
        <w:rPr>
          <w:rFonts w:hint="eastAsia" w:ascii="仿宋_GB2312" w:hAnsi="仿宋_GB2312" w:eastAsia="仿宋_GB2312"/>
          <w:color w:val="000000"/>
          <w:sz w:val="30"/>
          <w:szCs w:val="24"/>
          <w:shd w:val="clear" w:color="auto" w:fill="FFFFFF"/>
          <w:lang w:val="zh-CN"/>
        </w:rPr>
        <w:t>:</w:t>
      </w:r>
    </w:p>
    <w:p>
      <w:pPr>
        <w:spacing w:beforeLines="0" w:afterLines="0" w:line="600" w:lineRule="exact"/>
        <w:ind w:firstLine="600" w:firstLineChars="200"/>
        <w:rPr>
          <w:rFonts w:hint="default" w:ascii="仿宋_GB2312" w:hAnsi="仿宋_GB2312" w:eastAsia="仿宋_GB2312"/>
          <w:sz w:val="30"/>
          <w:szCs w:val="24"/>
        </w:rPr>
      </w:pPr>
      <w:r>
        <w:rPr>
          <w:rFonts w:hint="eastAsia" w:ascii="仿宋_GB2312" w:hAnsi="仿宋_GB2312" w:eastAsia="仿宋_GB2312"/>
          <w:sz w:val="30"/>
          <w:szCs w:val="24"/>
        </w:rPr>
        <w:t>乐山市市中区行政审批局（区政务服务中心）主要职能是贯彻落实国家、四川省、乐山市有关行政审批制度改革的决定，创新和完善相关工作体制机制。行使相对集中行政许可权，负责集中办理相关行政审批和公共服务等其他事项。负责全区机关行政效能建设工作，承办区委、区政府交办的其他事项。其中行政编制34个，事业编制47个。</w:t>
      </w:r>
    </w:p>
    <w:p>
      <w:pPr>
        <w:widowControl/>
        <w:snapToGrid w:val="0"/>
        <w:spacing w:beforeLines="0" w:afterLines="0" w:line="580" w:lineRule="exact"/>
        <w:ind w:firstLine="602" w:firstLineChars="200"/>
        <w:rPr>
          <w:rFonts w:hint="eastAsia" w:ascii="仿宋_GB2312" w:hAnsi="仿宋_GB2312" w:eastAsia="仿宋_GB2312"/>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lang w:val="zh-CN"/>
        </w:rPr>
        <w:t>（三）年度主要工作任务</w:t>
      </w:r>
      <w:r>
        <w:rPr>
          <w:rFonts w:hint="eastAsia" w:ascii="仿宋_GB2312" w:hAnsi="仿宋_GB2312" w:eastAsia="仿宋_GB2312"/>
          <w:color w:val="000000"/>
          <w:sz w:val="30"/>
          <w:szCs w:val="24"/>
          <w:shd w:val="clear" w:color="auto" w:fill="FFFFFF"/>
          <w:lang w:val="zh-CN"/>
        </w:rPr>
        <w:t>:</w:t>
      </w:r>
    </w:p>
    <w:p>
      <w:pPr>
        <w:spacing w:beforeLines="0" w:afterLines="0" w:line="600" w:lineRule="exact"/>
        <w:ind w:firstLine="600" w:firstLineChars="200"/>
        <w:rPr>
          <w:rFonts w:hint="default" w:ascii="仿宋_GB2312" w:hAnsi="仿宋_GB2312" w:eastAsia="仿宋_GB2312"/>
          <w:sz w:val="30"/>
          <w:szCs w:val="24"/>
        </w:rPr>
      </w:pPr>
      <w:r>
        <w:rPr>
          <w:rFonts w:hint="eastAsia" w:ascii="仿宋_GB2312" w:hAnsi="仿宋_GB2312" w:eastAsia="仿宋_GB2312"/>
          <w:sz w:val="30"/>
          <w:szCs w:val="24"/>
        </w:rPr>
        <w:t>2022年，乐山市市中区行政审批局坚持以习近平新时代中国特色社会主义思想为指导，深入贯彻党的二十大和十九届历次全会精神，深刻领悟“两个确立”的决定性意义，增强“四个意识”、坚定“四个自信”、做到“两个维护”，坚定“在新的赶考之路上交出新的优异答卷”的理想信念，按照区委“1245”工作思路和“重大产业项目攻坚年”工作部署，围绕区委“一心五区”发展战略，持续推进“放管服”改革，为全区“拼经济、搞建设”营造良好的营商环境，奋力谱写新时代新征程市中区发展新篇章。</w:t>
      </w:r>
    </w:p>
    <w:p>
      <w:pPr>
        <w:snapToGrid w:val="0"/>
        <w:spacing w:beforeLines="0" w:afterLines="0" w:line="600" w:lineRule="exact"/>
        <w:ind w:firstLine="600" w:firstLineChars="200"/>
        <w:rPr>
          <w:rFonts w:hint="default" w:ascii="仿宋_GB2312" w:hAnsi="仿宋_GB2312" w:eastAsia="仿宋_GB2312"/>
          <w:sz w:val="30"/>
          <w:szCs w:val="24"/>
        </w:rPr>
      </w:pPr>
      <w:r>
        <w:rPr>
          <w:rFonts w:hint="eastAsia" w:ascii="仿宋_GB2312" w:hAnsi="仿宋_GB2312" w:eastAsia="仿宋_GB2312"/>
          <w:sz w:val="30"/>
          <w:szCs w:val="24"/>
        </w:rPr>
        <w:t>今年以来，市中区行政审批局办结行政审批类事项44922件，完成现勘2802件。办结各类市场主体登记（含开业登记、变更登记、注销登记等）21668件，其中新增市场主体9599户；办理食品经营许可证4889件；办结社会事务类和经济发展类审批12120件；涉农事务类审批2792件；投资建设类审批3453件。现场办结率、按时办结率达到100%。</w:t>
      </w:r>
    </w:p>
    <w:p>
      <w:pPr>
        <w:widowControl/>
        <w:snapToGrid w:val="0"/>
        <w:spacing w:beforeLines="0" w:afterLines="0" w:line="600" w:lineRule="exact"/>
        <w:ind w:firstLine="602"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lang w:val="zh-CN"/>
        </w:rPr>
        <w:t>（四）部门整体支出绩效目标</w:t>
      </w:r>
      <w:r>
        <w:rPr>
          <w:rFonts w:hint="eastAsia" w:ascii="仿宋_GB2312" w:hAnsi="仿宋_GB2312" w:eastAsia="仿宋_GB2312"/>
          <w:color w:val="000000"/>
          <w:sz w:val="30"/>
          <w:szCs w:val="24"/>
          <w:shd w:val="clear" w:color="auto" w:fill="FFFFFF"/>
          <w:lang w:val="zh-CN"/>
        </w:rPr>
        <w:t>：</w:t>
      </w:r>
    </w:p>
    <w:p>
      <w:pPr>
        <w:pStyle w:val="2"/>
        <w:spacing w:beforeLines="0" w:after="0" w:afterLines="0" w:line="600" w:lineRule="exact"/>
        <w:ind w:firstLine="600" w:firstLineChars="200"/>
        <w:rPr>
          <w:rFonts w:hint="default"/>
          <w:sz w:val="24"/>
          <w:szCs w:val="24"/>
        </w:rPr>
      </w:pPr>
      <w:r>
        <w:rPr>
          <w:rFonts w:hint="eastAsia" w:ascii="仿宋_GB2312" w:hAnsi="仿宋_GB2312" w:eastAsia="仿宋_GB2312"/>
          <w:color w:val="000000"/>
          <w:sz w:val="30"/>
          <w:szCs w:val="24"/>
          <w:shd w:val="clear" w:color="auto" w:fill="FFFFFF"/>
          <w:lang w:val="zh-CN"/>
        </w:rPr>
        <w:t>完成区委、区政府交办的行政审批事项任务。</w:t>
      </w:r>
    </w:p>
    <w:p>
      <w:pPr>
        <w:pStyle w:val="2"/>
        <w:spacing w:beforeLines="0" w:after="0" w:afterLines="0" w:line="600" w:lineRule="exact"/>
        <w:rPr>
          <w:rFonts w:hint="default"/>
          <w:sz w:val="24"/>
          <w:szCs w:val="24"/>
        </w:rPr>
      </w:pPr>
      <w:r>
        <w:rPr>
          <w:rFonts w:hint="eastAsia" w:ascii="黑体" w:hAnsi="黑体" w:eastAsia="黑体"/>
          <w:color w:val="000000"/>
          <w:kern w:val="2"/>
          <w:sz w:val="32"/>
          <w:szCs w:val="24"/>
        </w:rPr>
        <w:t>二、2022年工作推进情况</w:t>
      </w:r>
    </w:p>
    <w:p>
      <w:pPr>
        <w:numPr>
          <w:ilvl w:val="0"/>
          <w:numId w:val="5"/>
        </w:numPr>
        <w:snapToGrid w:val="0"/>
        <w:spacing w:beforeLines="0" w:afterLines="0" w:line="600" w:lineRule="exact"/>
        <w:rPr>
          <w:rFonts w:hint="default"/>
          <w:sz w:val="24"/>
          <w:szCs w:val="24"/>
        </w:rPr>
      </w:pPr>
      <w:r>
        <w:rPr>
          <w:rFonts w:hint="eastAsia" w:ascii="仿宋_GB2312" w:hAnsi="仿宋_GB2312" w:eastAsia="仿宋_GB2312"/>
          <w:b/>
          <w:sz w:val="30"/>
          <w:szCs w:val="24"/>
        </w:rPr>
        <w:t>网上政务服务能力提质增效</w:t>
      </w:r>
    </w:p>
    <w:p>
      <w:pPr>
        <w:spacing w:beforeLines="0" w:afterLines="0" w:line="600" w:lineRule="exact"/>
        <w:ind w:firstLine="600" w:firstLineChars="200"/>
        <w:rPr>
          <w:rFonts w:hint="default" w:ascii="仿宋_GB2312" w:eastAsia="仿宋_GB2312"/>
          <w:color w:val="000000"/>
          <w:sz w:val="30"/>
          <w:szCs w:val="24"/>
        </w:rPr>
      </w:pPr>
      <w:r>
        <w:rPr>
          <w:rFonts w:hint="eastAsia" w:ascii="仿宋_GB2312" w:eastAsia="仿宋_GB2312"/>
          <w:color w:val="000000"/>
          <w:sz w:val="30"/>
          <w:szCs w:val="24"/>
        </w:rPr>
        <w:t>全力攻坚“一网通办”。以“全联、深通、好办”为目标，推进区镇村三级政务服务系统“一张网”运行，破解了网上政务服务堵点难点痛点，不断优化一体化政务服务平台事项、流程、材料等配置，推动更多政务服务事项由“网上可办”向“全程网办”转变，在教育、医疗、文旅、出行、市场监管等领域推广电子证照亮证场景实现网上可申办率达99.11%。截至2022年底，市中区本年度省一体化平台办件412451件；主动评价率97.61%；依申请事项1573项，全部认领并发布；电子证照实时生产率100%，电子证照签章率100%；共配置发布“一件事一次办”共109个（一件事只有目前的），积极配合省、市完成13项“一件事一次办”改革工作。</w:t>
      </w:r>
    </w:p>
    <w:p>
      <w:pPr>
        <w:numPr>
          <w:ilvl w:val="0"/>
          <w:numId w:val="6"/>
        </w:numPr>
        <w:spacing w:beforeLines="0" w:afterLines="0" w:line="600" w:lineRule="exact"/>
        <w:ind w:firstLine="600" w:firstLineChars="200"/>
        <w:rPr>
          <w:rFonts w:hint="default" w:ascii="仿宋_GB2312" w:eastAsia="仿宋_GB2312"/>
          <w:color w:val="000000"/>
          <w:sz w:val="30"/>
          <w:szCs w:val="24"/>
        </w:rPr>
      </w:pPr>
      <w:r>
        <w:rPr>
          <w:rFonts w:hint="eastAsia" w:ascii="仿宋_GB2312" w:eastAsia="仿宋_GB2312"/>
          <w:color w:val="000000"/>
          <w:sz w:val="30"/>
          <w:szCs w:val="24"/>
        </w:rPr>
        <w:t>不断提升数据共享服务能力。截至2022年底，报送有效数据共享目录692个，开放目录690个，共享数据总容量2.748亿、平均容量39万，开放数据总容量2.573亿，开放平均容量37万。按要求对全区政务资源目录进行梳理整改，每日专人进行维护。做到日常核验联通性，规范数据目录、保证数据质量、提升数据容量，全力促进政务数据共享与回流基础数据的建设。</w:t>
      </w:r>
    </w:p>
    <w:p>
      <w:pPr>
        <w:spacing w:beforeLines="0" w:afterLines="0" w:line="600" w:lineRule="exact"/>
        <w:ind w:firstLine="600" w:firstLineChars="200"/>
        <w:rPr>
          <w:rFonts w:hint="default"/>
          <w:sz w:val="24"/>
          <w:szCs w:val="24"/>
        </w:rPr>
      </w:pPr>
      <w:r>
        <w:rPr>
          <w:rFonts w:hint="eastAsia" w:ascii="仿宋_GB2312" w:eastAsia="仿宋_GB2312"/>
          <w:color w:val="000000"/>
          <w:sz w:val="30"/>
          <w:szCs w:val="24"/>
        </w:rPr>
        <w:t>3、积极推进工程建设项目审批“一网通办”。不断强化省工程建设项目审批管理系统的推广使用，全面推广电子施工许可证，在工业、仓库、居住、市政、城镇老旧小区改造、城市更新等工程建设项目审批领域推行“全程网办”。配合省、市加快推进行政审批中介服务“网上超市”建设，推进更多具有合法资质的行政审批中介服务机构“零门槛、零限制”入驻。截至2022年底，</w:t>
      </w:r>
      <w:r>
        <w:rPr>
          <w:rFonts w:hint="eastAsia" w:ascii="仿宋_GB2312" w:hAnsi="仿宋_GB2312" w:eastAsia="仿宋_GB2312"/>
          <w:color w:val="000000"/>
          <w:sz w:val="30"/>
          <w:szCs w:val="24"/>
        </w:rPr>
        <w:t>市中区工建平台办理项目数305项、主线办件1362件、辅线办件1063件。</w:t>
      </w:r>
    </w:p>
    <w:p>
      <w:pPr>
        <w:snapToGrid w:val="0"/>
        <w:spacing w:beforeLines="0" w:afterLines="0" w:line="520" w:lineRule="exact"/>
        <w:rPr>
          <w:rFonts w:hint="default" w:ascii="仿宋_GB2312" w:hAnsi="仿宋_GB2312" w:eastAsia="仿宋_GB2312"/>
          <w:b/>
          <w:sz w:val="30"/>
          <w:szCs w:val="24"/>
        </w:rPr>
      </w:pPr>
      <w:r>
        <w:rPr>
          <w:rFonts w:hint="eastAsia" w:ascii="仿宋_GB2312" w:hAnsi="仿宋_GB2312" w:eastAsia="仿宋_GB2312"/>
          <w:b/>
          <w:sz w:val="30"/>
          <w:szCs w:val="24"/>
        </w:rPr>
        <w:t>（二）政务服务标准化规范化便利化建设不断深化</w:t>
      </w:r>
    </w:p>
    <w:p>
      <w:pPr>
        <w:spacing w:beforeLines="0" w:afterLines="0" w:line="600" w:lineRule="exact"/>
        <w:ind w:firstLine="640" w:firstLineChars="200"/>
        <w:rPr>
          <w:rFonts w:hint="default" w:ascii="仿宋_GB2312" w:hAnsi="仿宋_GB2312" w:eastAsia="仿宋_GB2312"/>
          <w:color w:val="000000"/>
          <w:sz w:val="30"/>
          <w:szCs w:val="24"/>
        </w:rPr>
      </w:pPr>
      <w:r>
        <w:rPr>
          <w:rFonts w:hint="eastAsia" w:ascii="仿宋_GB2312" w:eastAsia="仿宋_GB2312"/>
          <w:color w:val="000000"/>
          <w:sz w:val="32"/>
          <w:szCs w:val="24"/>
        </w:rPr>
        <w:t>1、</w:t>
      </w:r>
      <w:r>
        <w:rPr>
          <w:rFonts w:hint="eastAsia" w:ascii="仿宋_GB2312" w:eastAsia="仿宋_GB2312"/>
          <w:color w:val="000000"/>
          <w:sz w:val="30"/>
          <w:szCs w:val="24"/>
        </w:rPr>
        <w:t>政务服务标准化建设。一是全面落实行政许可事项清单管理，编制完成《乐山市市中区行政许可事项清单》（2022年版）。二是牵头编制《乐山市市中区行政权力目录清单（2021年本）》。将行政权力全部纳入清单管理，构建形成事项统一、权责清晰的行政权力事项清单体系。三是推进档案室标准化建设。按照档案管理工作标准化、规范化、科学化的要求，推进档案标准化建设</w:t>
      </w:r>
      <w:r>
        <w:rPr>
          <w:rFonts w:hint="eastAsia" w:ascii="仿宋_GB2312" w:hAnsi="仿宋_GB2312" w:eastAsia="仿宋_GB2312"/>
          <w:color w:val="000000"/>
          <w:sz w:val="30"/>
          <w:szCs w:val="24"/>
        </w:rPr>
        <w:t>，投资一百余万元完成标准化档案室建设。</w:t>
      </w:r>
    </w:p>
    <w:p>
      <w:pPr>
        <w:spacing w:beforeLines="0" w:afterLines="0" w:line="600" w:lineRule="exact"/>
        <w:ind w:firstLine="600" w:firstLineChars="200"/>
        <w:rPr>
          <w:rFonts w:hint="default" w:ascii="仿宋_GB2312" w:eastAsia="仿宋_GB2312"/>
          <w:color w:val="000000"/>
          <w:sz w:val="30"/>
          <w:szCs w:val="24"/>
        </w:rPr>
      </w:pPr>
      <w:r>
        <w:rPr>
          <w:rFonts w:hint="eastAsia" w:ascii="仿宋_GB2312" w:eastAsia="仿宋_GB2312"/>
          <w:color w:val="000000"/>
          <w:sz w:val="30"/>
          <w:szCs w:val="24"/>
        </w:rPr>
        <w:t>2、政务服务规范化建设。一是全面深化区镇村三级政务服务体系建设，按照“应进必进”原则推动政务服务事项全部纳入省一体化政务服务平台管理和运行，向政务服务中心集中，建立进驻政务服务大厅或部门办事大厅（分中心）事项负面清单制度。二是进一步规范政务服务场所建设，不断完善各级政务服务大厅管理制度，注重功能设置、业务流程、服务管理和作风形象全过程标准化。三是持续推动综合窗口改革走深走实，区级政务服务中心和镇（街道）便民服务中心完成了综合窗口设置，形成“前台综合受理、后台分类审批、综合窗口出件”的工作模式，落实“首席事务代表”“收件即受理”等制度。</w:t>
      </w:r>
    </w:p>
    <w:p>
      <w:pPr>
        <w:spacing w:beforeLines="0" w:afterLines="0" w:line="600" w:lineRule="exact"/>
        <w:ind w:firstLine="600" w:firstLineChars="200"/>
        <w:rPr>
          <w:rFonts w:hint="default" w:ascii="仿宋_GB2312" w:hAnsi="仿宋_GB2312" w:eastAsia="仿宋_GB2312"/>
          <w:sz w:val="30"/>
          <w:szCs w:val="24"/>
        </w:rPr>
      </w:pPr>
      <w:r>
        <w:rPr>
          <w:rFonts w:hint="eastAsia" w:ascii="仿宋_GB2312" w:eastAsia="仿宋_GB2312"/>
          <w:color w:val="000000"/>
          <w:sz w:val="30"/>
          <w:szCs w:val="24"/>
        </w:rPr>
        <w:t>3、政务服务便利化建设。一是完善“互联网+政务服务+金融”体系，逐步形成“5分钟快办圈”。充分利用金融机构“点多面广、交通便捷、贴近群众”优势，创新推出“互联网+政务+金融”模式，已建立4个行政审批分中心，现场办理个体工商户营业执照、食品经营许可证等，为群众提供区行政审批局全部行政许可事项的业务咨询、受理办理、补齐补正、证照颁发等服务，实现群众“现场办、全可办、马上领”，今年以来共办理事项1000余件。二是与中国邮政合作，开展证照寄递服务，让群众办事“最多跑一次”。三是持续优化重大投资项目审批服务，按照“提前介入、平行推进、相互衔接、及时转换、材料共享”原则，广泛推行超前审查、容缺受理、“承诺制”办理，通过分段分部门并联审批和施工许可证分段办理等方式，极大地压缩审批时间，实现材料齐全2个工作日内颁发施工许可证。四是深化成渝双城经济圈“放管服”改革，继续与广东、浙江、湖南等九省13个县（区）实施战略合作，运行好“跨区域通办”“川渝通办”窗口，实现“统一标准、相互授权、异地受理、远程办理、协同联动”。截至2022年底，共办理川渝通办577件，跨区域办理8432件。</w:t>
      </w:r>
    </w:p>
    <w:p>
      <w:pPr>
        <w:pStyle w:val="3"/>
        <w:spacing w:beforeLines="0" w:afterLines="0" w:line="520" w:lineRule="exact"/>
        <w:rPr>
          <w:rFonts w:hint="default" w:ascii="仿宋_GB2312" w:hAnsi="仿宋_GB2312" w:eastAsia="仿宋_GB2312"/>
          <w:b/>
          <w:sz w:val="30"/>
          <w:szCs w:val="24"/>
        </w:rPr>
      </w:pPr>
      <w:r>
        <w:rPr>
          <w:rFonts w:hint="eastAsia" w:ascii="仿宋_GB2312" w:hAnsi="仿宋_GB2312" w:eastAsia="仿宋_GB2312"/>
          <w:b/>
          <w:sz w:val="30"/>
          <w:szCs w:val="24"/>
        </w:rPr>
        <w:t>（三）“放管服”改革“触角”向基层延伸</w:t>
      </w:r>
    </w:p>
    <w:p>
      <w:pPr>
        <w:spacing w:beforeLines="0" w:afterLines="0" w:line="600" w:lineRule="exact"/>
        <w:ind w:firstLine="600" w:firstLineChars="200"/>
        <w:rPr>
          <w:rFonts w:hint="default" w:ascii="仿宋_GB2312" w:hAnsi="仿宋_GB2312" w:eastAsia="仿宋_GB2312"/>
          <w:color w:val="000000"/>
          <w:sz w:val="30"/>
          <w:szCs w:val="24"/>
        </w:rPr>
      </w:pPr>
      <w:r>
        <w:rPr>
          <w:rFonts w:hint="eastAsia" w:ascii="仿宋_GB2312" w:eastAsia="仿宋_GB2312"/>
          <w:color w:val="000000"/>
          <w:sz w:val="30"/>
          <w:szCs w:val="24"/>
        </w:rPr>
        <w:t>一是牵头编制《乐山市市中区镇（街道）法定行政权力事项清单（2022年）》和</w:t>
      </w:r>
      <w:r>
        <w:rPr>
          <w:rFonts w:hint="eastAsia" w:ascii="仿宋_GB2312" w:hAnsi="仿宋_GB2312" w:eastAsia="仿宋_GB2312"/>
          <w:color w:val="000000"/>
          <w:sz w:val="30"/>
          <w:szCs w:val="24"/>
        </w:rPr>
        <w:t>《乐山市中区赋予镇（街道）县级行政权力事项指导目录（第二批）清单》</w:t>
      </w:r>
      <w:r>
        <w:rPr>
          <w:rFonts w:hint="eastAsia" w:ascii="仿宋_GB2312" w:eastAsia="仿宋_GB2312"/>
          <w:color w:val="000000"/>
          <w:sz w:val="30"/>
          <w:szCs w:val="24"/>
        </w:rPr>
        <w:t>，扎实推进乡镇（街道）扩权赋能，将更多县级权限赋予乡镇（街道）行使，提升基层治理能力，做好乡镇（街道）两项改革“后半篇”文章。二是</w:t>
      </w:r>
      <w:r>
        <w:rPr>
          <w:rFonts w:hint="eastAsia" w:ascii="仿宋_GB2312" w:hAnsi="仿宋_GB2312" w:eastAsia="仿宋_GB2312"/>
          <w:color w:val="000000"/>
          <w:sz w:val="30"/>
          <w:szCs w:val="24"/>
        </w:rPr>
        <w:t>完成10个镇（街道）的市级“示范便民服务中心”建设，主要包括悦来镇、土主镇、青平镇、平兴镇、剑峰镇、苏稽镇、通江街道、全福街道、棉竹镇、牟子镇等。三是编制完成《乐山市市中区便民服务设施专项规划》，市营商环境管理局对专项规划予以肯定。</w:t>
      </w:r>
      <w:r>
        <w:rPr>
          <w:rFonts w:hint="eastAsia" w:ascii="仿宋_GB2312" w:eastAsia="仿宋_GB2312"/>
          <w:color w:val="000000"/>
          <w:sz w:val="30"/>
          <w:szCs w:val="24"/>
        </w:rPr>
        <w:t>四是领办帮办代办服务。在服</w:t>
      </w:r>
      <w:r>
        <w:rPr>
          <w:rFonts w:hint="eastAsia" w:hAnsi="仿宋_GB2312" w:eastAsia="仿宋_GB2312"/>
          <w:color w:val="000000"/>
          <w:sz w:val="30"/>
          <w:szCs w:val="24"/>
        </w:rPr>
        <w:t>务大厅组建领办帮办代办队伍，明确领办帮办代办范围和职责，优化领办帮办代办流程，为办事企业和群众提供</w:t>
      </w:r>
      <w:r>
        <w:rPr>
          <w:rFonts w:hint="eastAsia" w:eastAsia="仿宋_GB2312"/>
          <w:color w:val="000000"/>
          <w:sz w:val="30"/>
          <w:szCs w:val="24"/>
        </w:rPr>
        <w:t>“</w:t>
      </w:r>
      <w:r>
        <w:rPr>
          <w:rFonts w:hint="eastAsia" w:hAnsi="仿宋_GB2312" w:eastAsia="仿宋_GB2312"/>
          <w:color w:val="000000"/>
          <w:sz w:val="30"/>
          <w:szCs w:val="24"/>
        </w:rPr>
        <w:t>五星级店小二</w:t>
      </w:r>
      <w:r>
        <w:rPr>
          <w:rFonts w:hint="eastAsia" w:eastAsia="仿宋_GB2312"/>
          <w:color w:val="000000"/>
          <w:sz w:val="30"/>
          <w:szCs w:val="24"/>
        </w:rPr>
        <w:t>”</w:t>
      </w:r>
      <w:r>
        <w:rPr>
          <w:rFonts w:hint="eastAsia" w:hAnsi="仿宋_GB2312" w:eastAsia="仿宋_GB2312"/>
          <w:color w:val="000000"/>
          <w:sz w:val="30"/>
          <w:szCs w:val="24"/>
        </w:rPr>
        <w:t>和</w:t>
      </w:r>
      <w:r>
        <w:rPr>
          <w:rFonts w:hint="eastAsia" w:eastAsia="仿宋_GB2312"/>
          <w:color w:val="000000"/>
          <w:sz w:val="30"/>
          <w:szCs w:val="24"/>
        </w:rPr>
        <w:t>“</w:t>
      </w:r>
      <w:r>
        <w:rPr>
          <w:rFonts w:hint="eastAsia" w:hAnsi="仿宋_GB2312" w:eastAsia="仿宋_GB2312"/>
          <w:color w:val="000000"/>
          <w:sz w:val="30"/>
          <w:szCs w:val="24"/>
        </w:rPr>
        <w:t>一对一</w:t>
      </w:r>
      <w:r>
        <w:rPr>
          <w:rFonts w:hint="eastAsia" w:eastAsia="仿宋_GB2312"/>
          <w:color w:val="000000"/>
          <w:sz w:val="30"/>
          <w:szCs w:val="24"/>
        </w:rPr>
        <w:t>”</w:t>
      </w:r>
      <w:r>
        <w:rPr>
          <w:rFonts w:hint="eastAsia" w:hAnsi="仿宋_GB2312" w:eastAsia="仿宋_GB2312"/>
          <w:color w:val="000000"/>
          <w:sz w:val="30"/>
          <w:szCs w:val="24"/>
        </w:rPr>
        <w:t>贴心服务。目前，</w:t>
      </w:r>
      <w:r>
        <w:rPr>
          <w:rFonts w:hint="eastAsia" w:ascii="仿宋_GB2312" w:hAnsi="仿宋_GB2312" w:eastAsia="仿宋_GB2312"/>
          <w:color w:val="000000"/>
          <w:sz w:val="30"/>
          <w:szCs w:val="24"/>
        </w:rPr>
        <w:t>全区共有代办员759名。</w:t>
      </w:r>
    </w:p>
    <w:p>
      <w:pPr>
        <w:snapToGrid w:val="0"/>
        <w:spacing w:beforeLines="0" w:afterLines="0" w:line="520" w:lineRule="exact"/>
        <w:rPr>
          <w:rFonts w:hint="default" w:ascii="仿宋_GB2312" w:hAnsi="仿宋_GB2312" w:eastAsia="仿宋_GB2312"/>
          <w:sz w:val="30"/>
          <w:szCs w:val="24"/>
        </w:rPr>
      </w:pPr>
      <w:r>
        <w:rPr>
          <w:rFonts w:hint="eastAsia" w:ascii="仿宋_GB2312" w:hAnsi="仿宋_GB2312" w:eastAsia="仿宋_GB2312"/>
          <w:b/>
          <w:sz w:val="30"/>
          <w:szCs w:val="24"/>
        </w:rPr>
        <w:t>（四）民间投资活力持续激发</w:t>
      </w:r>
    </w:p>
    <w:p>
      <w:pPr>
        <w:spacing w:beforeLines="0" w:afterLines="0" w:line="600" w:lineRule="exact"/>
        <w:ind w:firstLine="600" w:firstLineChars="200"/>
        <w:rPr>
          <w:rFonts w:hint="default" w:ascii="仿宋_GB2312" w:hAnsi="仿宋_GB2312" w:eastAsia="仿宋_GB2312"/>
          <w:sz w:val="30"/>
          <w:szCs w:val="24"/>
        </w:rPr>
      </w:pPr>
      <w:r>
        <w:rPr>
          <w:rFonts w:hint="eastAsia" w:ascii="仿宋_GB2312" w:eastAsia="仿宋_GB2312"/>
          <w:color w:val="000000"/>
          <w:sz w:val="30"/>
          <w:szCs w:val="24"/>
        </w:rPr>
        <w:t>一是</w:t>
      </w:r>
      <w:bookmarkStart w:id="0" w:name="_Hlk118807518"/>
      <w:r>
        <w:rPr>
          <w:rFonts w:hint="eastAsia" w:ascii="仿宋_GB2312" w:eastAsia="仿宋_GB2312"/>
          <w:color w:val="000000"/>
          <w:sz w:val="30"/>
          <w:szCs w:val="24"/>
        </w:rPr>
        <w:t>成立优化营商环境领导小组，形成《乐山市市中区深化“放管服”改革</w:t>
      </w:r>
      <w:bookmarkStart w:id="1" w:name="_Hlk118807460"/>
      <w:r>
        <w:rPr>
          <w:rFonts w:hint="eastAsia" w:ascii="仿宋_GB2312" w:eastAsia="仿宋_GB2312"/>
          <w:color w:val="000000"/>
          <w:sz w:val="30"/>
          <w:szCs w:val="24"/>
        </w:rPr>
        <w:t>优化营商环境工作方案</w:t>
      </w:r>
      <w:bookmarkEnd w:id="1"/>
      <w:r>
        <w:rPr>
          <w:rFonts w:hint="eastAsia" w:ascii="仿宋_GB2312" w:eastAsia="仿宋_GB2312"/>
          <w:color w:val="000000"/>
          <w:sz w:val="30"/>
          <w:szCs w:val="24"/>
        </w:rPr>
        <w:t>》</w:t>
      </w:r>
      <w:bookmarkEnd w:id="0"/>
      <w:r>
        <w:rPr>
          <w:rFonts w:hint="eastAsia" w:ascii="仿宋_GB2312" w:eastAsia="仿宋_GB2312"/>
          <w:color w:val="000000"/>
          <w:sz w:val="30"/>
          <w:szCs w:val="24"/>
        </w:rPr>
        <w:t>。二是</w:t>
      </w:r>
      <w:bookmarkStart w:id="2" w:name="_Hlk118807540"/>
      <w:r>
        <w:rPr>
          <w:rFonts w:hint="eastAsia" w:ascii="仿宋_GB2312" w:eastAsia="仿宋_GB2312"/>
          <w:color w:val="000000"/>
          <w:sz w:val="30"/>
          <w:szCs w:val="24"/>
        </w:rPr>
        <w:t>设立“个转企”登记专窗和绿色通道，实行“个转企”登记“无障碍准入”登记程序，提高登记主体便捷程度，截至2022年底，共办理“个转企”商户102户。</w:t>
      </w:r>
      <w:bookmarkEnd w:id="2"/>
      <w:r>
        <w:rPr>
          <w:rFonts w:hint="eastAsia" w:ascii="仿宋_GB2312" w:eastAsia="仿宋_GB2312"/>
          <w:color w:val="000000"/>
          <w:sz w:val="30"/>
          <w:szCs w:val="24"/>
        </w:rPr>
        <w:t>三是牵头编制完成《乐山市市中区全面落实“证照分离”改革全覆盖进一步激发市场主体发展活力实施方案》，实现涉企经营许可事项全覆盖清单管理，建立起便捷高效、公正透明、宽进严管的行业准营规则，大幅提高市场主体办事的便利度，着力激发市场主体活力。四是积极推进“多证合一”、简易注销登记等商事制度改革，有效解决市场主体“进退两难”问题。五是积极探索扩大住所与经营场所分离改革。</w:t>
      </w:r>
    </w:p>
    <w:p>
      <w:pPr>
        <w:spacing w:beforeLines="0" w:afterLines="0" w:line="600" w:lineRule="exact"/>
        <w:rPr>
          <w:rFonts w:hint="default" w:ascii="仿宋_GB2312" w:hAnsi="仿宋_GB2312" w:eastAsia="仿宋_GB2312"/>
          <w:b/>
          <w:sz w:val="30"/>
          <w:szCs w:val="24"/>
        </w:rPr>
      </w:pPr>
      <w:r>
        <w:rPr>
          <w:rFonts w:hint="eastAsia" w:ascii="仿宋_GB2312" w:hAnsi="仿宋_GB2312" w:eastAsia="仿宋_GB2312"/>
          <w:b/>
          <w:sz w:val="30"/>
          <w:szCs w:val="24"/>
        </w:rPr>
        <w:t>（五）社会监督机制不断完善。</w:t>
      </w:r>
    </w:p>
    <w:p>
      <w:pPr>
        <w:pStyle w:val="2"/>
        <w:spacing w:beforeLines="0" w:after="0" w:afterLines="0" w:line="520" w:lineRule="exact"/>
        <w:ind w:firstLine="600" w:firstLineChars="200"/>
        <w:rPr>
          <w:rFonts w:hint="default" w:eastAsia="Times New Roman"/>
          <w:sz w:val="24"/>
          <w:szCs w:val="24"/>
        </w:rPr>
      </w:pPr>
      <w:r>
        <w:rPr>
          <w:rFonts w:hint="eastAsia" w:ascii="仿宋_GB2312" w:hAnsi="仿宋_GB2312" w:eastAsia="仿宋_GB2312"/>
          <w:sz w:val="30"/>
          <w:szCs w:val="24"/>
        </w:rPr>
        <w:t>在四川政务网上积极开展“好差评”工作，今年主动评价率达97.61%，好评率达99%。规范“办不成事”反映窗口设置，完善受理、交办、督办、反馈等全流程运行机制，实现区、镇（街道）政务服务平台“办不成事”反映窗口全覆盖。</w:t>
      </w:r>
    </w:p>
    <w:p>
      <w:pPr>
        <w:snapToGrid w:val="0"/>
        <w:spacing w:beforeLines="0" w:afterLines="0" w:line="520" w:lineRule="exact"/>
        <w:rPr>
          <w:rFonts w:hint="default" w:ascii="仿宋_GB2312" w:hAnsi="仿宋_GB2312" w:eastAsia="仿宋_GB2312"/>
          <w:b/>
          <w:sz w:val="30"/>
          <w:szCs w:val="24"/>
        </w:rPr>
      </w:pPr>
      <w:r>
        <w:rPr>
          <w:rFonts w:hint="eastAsia" w:ascii="仿宋_GB2312" w:hAnsi="仿宋_GB2312" w:eastAsia="仿宋_GB2312"/>
          <w:b/>
          <w:sz w:val="30"/>
          <w:szCs w:val="24"/>
        </w:rPr>
        <w:t>（六）常态化做好疫情防控</w:t>
      </w:r>
    </w:p>
    <w:p>
      <w:pPr>
        <w:pStyle w:val="2"/>
        <w:spacing w:beforeLines="0" w:after="0" w:afterLines="0" w:line="520" w:lineRule="exact"/>
        <w:ind w:firstLine="600" w:firstLineChars="200"/>
        <w:rPr>
          <w:rFonts w:hint="default" w:eastAsia="Times New Roman"/>
          <w:sz w:val="24"/>
          <w:szCs w:val="24"/>
        </w:rPr>
      </w:pPr>
      <w:r>
        <w:rPr>
          <w:rFonts w:hint="eastAsia" w:ascii="仿宋_GB2312" w:hAnsi="仿宋_GB2312" w:eastAsia="仿宋_GB2312"/>
          <w:sz w:val="30"/>
          <w:szCs w:val="24"/>
        </w:rPr>
        <w:t>政务服务大厅常态化做好人员戴口罩、测温、扫码、设置“一米线”等疫情防控措施。持续做好政务服务大厅清洁消毒，加强开窗通风换气，为办事群众和工作人员提供舒适、安全的政务服务环境。持续宣传引导办事群众通过“不见面”、网上办理、预约办理等方式办理业务，严格落实一次性告知、首问负责等制度，做好业务解答，避免群众来回跑。</w:t>
      </w:r>
    </w:p>
    <w:p>
      <w:pPr>
        <w:widowControl/>
        <w:snapToGrid w:val="0"/>
        <w:spacing w:beforeLines="0" w:afterLines="0" w:line="580" w:lineRule="exact"/>
        <w:ind w:firstLine="602" w:firstLineChars="200"/>
        <w:rPr>
          <w:rFonts w:hint="default" w:ascii="仿宋_GB2312" w:hAnsi="仿宋_GB2312" w:eastAsia="仿宋_GB2312"/>
          <w:b/>
          <w:color w:val="000000"/>
          <w:sz w:val="30"/>
          <w:szCs w:val="24"/>
          <w:shd w:val="clear" w:color="auto" w:fill="FFFFFF"/>
        </w:rPr>
      </w:pPr>
      <w:r>
        <w:rPr>
          <w:rFonts w:hint="eastAsia" w:ascii="仿宋_GB2312" w:hAnsi="仿宋_GB2312" w:eastAsia="仿宋_GB2312"/>
          <w:b/>
          <w:color w:val="000000"/>
          <w:sz w:val="30"/>
          <w:szCs w:val="24"/>
          <w:shd w:val="clear" w:color="auto" w:fill="FFFFFF"/>
        </w:rPr>
        <w:t>三、部门财政资金收支情况</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（一）部门财政资金收入情况：</w:t>
      </w:r>
    </w:p>
    <w:p>
      <w:pPr>
        <w:widowControl/>
        <w:snapToGrid w:val="0"/>
        <w:spacing w:beforeLines="0" w:afterLines="0" w:line="580" w:lineRule="exact"/>
        <w:ind w:firstLine="600" w:firstLineChars="200"/>
        <w:rPr>
          <w:rFonts w:hint="default" w:ascii="仿宋_GB2312" w:hAnsi="仿宋_GB2312" w:eastAsia="仿宋_GB2312"/>
          <w:sz w:val="30"/>
          <w:szCs w:val="24"/>
        </w:rPr>
      </w:pPr>
      <w:r>
        <w:rPr>
          <w:rFonts w:hint="eastAsia" w:ascii="仿宋_GB2312" w:hAnsi="仿宋_GB2312" w:eastAsia="仿宋_GB2312"/>
          <w:sz w:val="30"/>
          <w:szCs w:val="24"/>
        </w:rPr>
        <w:t>一般公共预算财政拨款收入年初预算数为1053.36万元。</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（二）部门财政资金支出情况：</w:t>
      </w:r>
    </w:p>
    <w:p>
      <w:pPr>
        <w:widowControl/>
        <w:snapToGrid w:val="0"/>
        <w:spacing w:beforeLines="0" w:afterLines="0" w:line="580" w:lineRule="exact"/>
        <w:ind w:firstLine="600" w:firstLineChars="200"/>
        <w:rPr>
          <w:rFonts w:hint="default" w:ascii="仿宋_GB2312" w:hAnsi="仿宋_GB2312" w:eastAsia="仿宋_GB2312"/>
          <w:sz w:val="30"/>
          <w:szCs w:val="24"/>
        </w:rPr>
      </w:pPr>
      <w:r>
        <w:rPr>
          <w:rFonts w:hint="eastAsia" w:ascii="仿宋_GB2312" w:hAnsi="仿宋_GB2312" w:eastAsia="仿宋_GB2312"/>
          <w:sz w:val="30"/>
          <w:szCs w:val="24"/>
        </w:rPr>
        <w:t>一般公共预算财政拨款支出年初预算数为1053.36万元。</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（三）部门财政资金</w:t>
      </w:r>
      <w:r>
        <w:rPr>
          <w:rFonts w:hint="eastAsia" w:ascii="仿宋_GB2312" w:hAnsi="仿宋_GB2312" w:eastAsia="仿宋_GB2312"/>
          <w:sz w:val="30"/>
          <w:szCs w:val="24"/>
          <w:shd w:val="clear" w:color="auto" w:fill="FFFFFF"/>
          <w:lang w:val="zh-CN"/>
        </w:rPr>
        <w:t>结转结余</w:t>
      </w:r>
      <w:r>
        <w:rPr>
          <w:rFonts w:hint="eastAsia" w:ascii="仿宋_GB2312" w:hAnsi="仿宋_GB2312" w:eastAsia="仿宋_GB2312"/>
          <w:color w:val="000000"/>
          <w:sz w:val="30"/>
          <w:szCs w:val="24"/>
          <w:shd w:val="clear" w:color="auto" w:fill="FFFFFF"/>
          <w:lang w:val="zh-CN"/>
        </w:rPr>
        <w:t>情况：</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无</w:t>
      </w:r>
    </w:p>
    <w:p>
      <w:pPr>
        <w:widowControl/>
        <w:snapToGrid w:val="0"/>
        <w:spacing w:beforeLines="0" w:afterLines="0" w:line="580" w:lineRule="exact"/>
        <w:ind w:firstLine="602" w:firstLineChars="200"/>
        <w:rPr>
          <w:rFonts w:hint="default" w:ascii="仿宋_GB2312" w:hAnsi="仿宋_GB2312" w:eastAsia="仿宋_GB2312"/>
          <w:b/>
          <w:color w:val="000000"/>
          <w:sz w:val="30"/>
          <w:szCs w:val="24"/>
          <w:shd w:val="clear" w:color="auto" w:fill="FFFFFF"/>
        </w:rPr>
      </w:pPr>
      <w:r>
        <w:rPr>
          <w:rFonts w:hint="eastAsia" w:ascii="仿宋_GB2312" w:hAnsi="仿宋_GB2312" w:eastAsia="仿宋_GB2312"/>
          <w:b/>
          <w:color w:val="000000"/>
          <w:sz w:val="30"/>
          <w:szCs w:val="24"/>
          <w:shd w:val="clear" w:color="auto" w:fill="FFFFFF"/>
        </w:rPr>
        <w:t>四、部门整体绩效管理情况（根据自评体系进行描述）</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（一）部门整体履职绩效分析</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lang w:val="zh-CN"/>
        </w:rPr>
        <w:t>我</w:t>
      </w:r>
      <w:r>
        <w:rPr>
          <w:rFonts w:hint="eastAsia" w:ascii="仿宋_GB2312" w:hAnsi="仿宋_GB2312" w:eastAsia="仿宋_GB2312"/>
          <w:color w:val="000000"/>
          <w:sz w:val="30"/>
          <w:szCs w:val="24"/>
          <w:shd w:val="clear" w:color="auto" w:fill="FFFFFF"/>
        </w:rPr>
        <w:t>单位按照国有资产综合管理绩效评价指标体系，设置评价要点，</w:t>
      </w:r>
      <w:r>
        <w:rPr>
          <w:rFonts w:hint="eastAsia" w:ascii="仿宋_GB2312" w:hAnsi="仿宋_GB2312" w:eastAsia="仿宋_GB2312"/>
          <w:sz w:val="30"/>
          <w:szCs w:val="24"/>
          <w:shd w:val="clear" w:color="auto" w:fill="FFFFFF"/>
        </w:rPr>
        <w:t>充分运用分级评分法等评分方法</w:t>
      </w:r>
      <w:r>
        <w:rPr>
          <w:rFonts w:hint="eastAsia" w:ascii="仿宋_GB2312" w:hAnsi="仿宋_GB2312" w:eastAsia="仿宋_GB2312"/>
          <w:color w:val="000000"/>
          <w:sz w:val="30"/>
          <w:szCs w:val="24"/>
          <w:shd w:val="clear" w:color="auto" w:fill="FFFFFF"/>
        </w:rPr>
        <w:t>，采取整体评价与样本评价相结合的评价方式，定性评价与定量评价相结合的评价属性，按照四类定量评价标准对科室国有资产综合管理情况进行绩效评价。</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（二）特定目标类项目绩效分析</w:t>
      </w:r>
    </w:p>
    <w:p>
      <w:pPr>
        <w:widowControl/>
        <w:snapToGrid w:val="0"/>
        <w:spacing w:beforeLines="0" w:afterLines="0" w:line="580" w:lineRule="exact"/>
        <w:ind w:firstLine="602" w:firstLineChars="200"/>
        <w:rPr>
          <w:rFonts w:hint="default" w:ascii="仿宋_GB2312" w:hAnsi="仿宋_GB2312" w:eastAsia="仿宋_GB2312"/>
          <w:b/>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rPr>
        <w:t>1.</w:t>
      </w:r>
      <w:r>
        <w:rPr>
          <w:rFonts w:hint="eastAsia" w:ascii="仿宋_GB2312" w:hAnsi="仿宋_GB2312" w:eastAsia="仿宋_GB2312"/>
          <w:b/>
          <w:color w:val="000000"/>
          <w:sz w:val="30"/>
          <w:szCs w:val="24"/>
          <w:shd w:val="clear" w:color="auto" w:fill="FFFFFF"/>
          <w:lang w:val="zh-CN"/>
        </w:rPr>
        <w:t>整体情况：</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lang w:val="zh-CN"/>
        </w:rPr>
        <w:t>我</w:t>
      </w:r>
      <w:r>
        <w:rPr>
          <w:rFonts w:hint="eastAsia" w:ascii="仿宋_GB2312" w:hAnsi="仿宋_GB2312" w:eastAsia="仿宋_GB2312"/>
          <w:color w:val="000000"/>
          <w:sz w:val="30"/>
          <w:szCs w:val="24"/>
          <w:shd w:val="clear" w:color="auto" w:fill="FFFFFF"/>
        </w:rPr>
        <w:t>单位按照国有资产综合管理绩效评价指标体系，设置项目绩效目标评价要点，组织对本部门（含下属单位）绩效目标开展内部审核，根据年度绩效目标实现情况，评价部门绩效目标是否科学合理、规范完整、细化量化并与预算安排相匹配。</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rPr>
        <w:t>采取整体评价与样本评价相结合的评价方式，确保绩效目标的实现。评价部门整体支出绩效目标实现程度与预期目标的偏离度，评价部门预算项目绩效目标实际实现程度与预期目标的偏离度。</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sz w:val="30"/>
          <w:szCs w:val="24"/>
          <w:shd w:val="clear" w:color="auto" w:fill="FFFFFF"/>
        </w:rPr>
        <w:t>对照部门公用经费及非定额公用支出控制情况，</w:t>
      </w:r>
      <w:r>
        <w:rPr>
          <w:rFonts w:hint="eastAsia" w:ascii="仿宋_GB2312" w:hAnsi="仿宋_GB2312" w:eastAsia="仿宋_GB2312"/>
          <w:color w:val="000000"/>
          <w:sz w:val="30"/>
          <w:szCs w:val="24"/>
          <w:shd w:val="clear" w:color="auto" w:fill="FFFFFF"/>
        </w:rPr>
        <w:t>计算部门日常公用经费、项目支出中“办公费、印刷费、水费、电费、物业管理费”等科目年初预算数与决算数偏差程度。</w:t>
      </w:r>
    </w:p>
    <w:p>
      <w:pPr>
        <w:widowControl/>
        <w:snapToGrid w:val="0"/>
        <w:spacing w:beforeLines="0" w:afterLines="0" w:line="580" w:lineRule="exact"/>
        <w:ind w:firstLine="600" w:firstLineChars="200"/>
        <w:rPr>
          <w:rFonts w:hint="default" w:ascii="仿宋_GB2312" w:hAnsi="仿宋_GB2312" w:eastAsia="仿宋_GB2312"/>
          <w:sz w:val="30"/>
          <w:szCs w:val="24"/>
          <w:shd w:val="clear" w:color="auto" w:fill="FFFFFF"/>
        </w:rPr>
      </w:pPr>
      <w:r>
        <w:rPr>
          <w:rFonts w:hint="eastAsia" w:ascii="仿宋_GB2312" w:hAnsi="仿宋_GB2312" w:eastAsia="仿宋_GB2312"/>
          <w:color w:val="000000"/>
          <w:sz w:val="30"/>
          <w:szCs w:val="24"/>
          <w:shd w:val="clear" w:color="auto" w:fill="FFFFFF"/>
        </w:rPr>
        <w:t>部门开展绩效运行监控后，</w:t>
      </w:r>
      <w:r>
        <w:rPr>
          <w:rFonts w:hint="eastAsia" w:ascii="仿宋_GB2312" w:hAnsi="仿宋_GB2312" w:eastAsia="仿宋_GB2312"/>
          <w:sz w:val="30"/>
          <w:szCs w:val="24"/>
          <w:shd w:val="clear" w:color="auto" w:fill="FFFFFF"/>
        </w:rPr>
        <w:t>将绩效监控结果应用到预算调整中。对绩效运行监控未发现问题或对发现问题提出预算收回、调整处置意见。</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rPr>
        <w:t>部门预算执行进度在6、9、11月，科学合理的安排下，达到序时进度的80%、90%、90%，未达到目标进度</w:t>
      </w:r>
      <w:r>
        <w:rPr>
          <w:rFonts w:hint="eastAsia" w:ascii="仿宋_GB2312" w:hAnsi="仿宋_GB2312" w:eastAsia="仿宋_GB2312"/>
          <w:sz w:val="30"/>
          <w:szCs w:val="24"/>
          <w:shd w:val="clear" w:color="auto" w:fill="FFFFFF"/>
        </w:rPr>
        <w:t>的</w:t>
      </w:r>
      <w:r>
        <w:rPr>
          <w:rFonts w:hint="eastAsia" w:ascii="仿宋_GB2312" w:hAnsi="仿宋_GB2312" w:eastAsia="仿宋_GB2312"/>
          <w:color w:val="000000"/>
          <w:sz w:val="30"/>
          <w:szCs w:val="24"/>
          <w:shd w:val="clear" w:color="auto" w:fill="FFFFFF"/>
        </w:rPr>
        <w:t>按其实际进度执行。</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rPr>
        <w:t>依据年度审计监督、财会监督和部门自查结果，落实党政机关过紧日子相关要求，严格按照执行要求，完成预算执行。</w:t>
      </w:r>
    </w:p>
    <w:p>
      <w:pPr>
        <w:widowControl/>
        <w:snapToGrid w:val="0"/>
        <w:spacing w:beforeLines="0" w:afterLines="0" w:line="580" w:lineRule="exact"/>
        <w:ind w:firstLine="602" w:firstLineChars="200"/>
        <w:jc w:val="both"/>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b/>
          <w:color w:val="000000"/>
          <w:sz w:val="30"/>
          <w:szCs w:val="24"/>
          <w:shd w:val="clear" w:color="auto" w:fill="FFFFFF"/>
        </w:rPr>
        <w:t xml:space="preserve"> </w:t>
      </w:r>
      <w:r>
        <w:rPr>
          <w:rFonts w:hint="eastAsia" w:ascii="仿宋_GB2312" w:hAnsi="仿宋_GB2312" w:eastAsia="仿宋_GB2312"/>
          <w:b/>
          <w:color w:val="000000"/>
          <w:sz w:val="30"/>
          <w:szCs w:val="24"/>
          <w:shd w:val="clear" w:color="auto" w:fill="FFFFFF"/>
          <w:lang w:val="zh-CN"/>
        </w:rPr>
        <w:t>2.100万以上项目</w:t>
      </w:r>
      <w:r>
        <w:rPr>
          <w:rFonts w:hint="eastAsia" w:ascii="仿宋_GB2312" w:hAnsi="仿宋_GB2312" w:eastAsia="仿宋_GB2312"/>
          <w:color w:val="000000"/>
          <w:sz w:val="30"/>
          <w:szCs w:val="24"/>
          <w:shd w:val="clear" w:color="auto" w:fill="FFFFFF"/>
          <w:lang w:val="zh-CN"/>
        </w:rPr>
        <w:t>：</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项目1：202</w:t>
      </w:r>
      <w:r>
        <w:rPr>
          <w:rFonts w:hint="eastAsia" w:ascii="仿宋_GB2312" w:hAnsi="仿宋_GB2312" w:eastAsia="仿宋_GB2312"/>
          <w:color w:val="000000"/>
          <w:sz w:val="30"/>
          <w:szCs w:val="24"/>
          <w:shd w:val="clear" w:color="auto" w:fill="FFFFFF"/>
        </w:rPr>
        <w:t>2</w:t>
      </w:r>
      <w:r>
        <w:rPr>
          <w:rFonts w:hint="eastAsia" w:ascii="仿宋_GB2312" w:hAnsi="仿宋_GB2312" w:eastAsia="仿宋_GB2312"/>
          <w:color w:val="000000"/>
          <w:sz w:val="30"/>
          <w:szCs w:val="24"/>
          <w:shd w:val="clear" w:color="auto" w:fill="FFFFFF"/>
          <w:lang w:val="zh-CN"/>
        </w:rPr>
        <w:t>年编外人员经费</w:t>
      </w:r>
      <w:r>
        <w:rPr>
          <w:rFonts w:hint="default" w:ascii="仿宋_GB2312" w:hAnsi="仿宋_GB2312" w:eastAsia="仿宋_GB2312"/>
          <w:color w:val="000000"/>
          <w:sz w:val="30"/>
          <w:szCs w:val="24"/>
          <w:shd w:val="clear" w:color="auto" w:fill="FFFFFF"/>
          <w:lang w:val="zh-CN"/>
        </w:rPr>
        <w:t>-</w:t>
      </w:r>
      <w:r>
        <w:rPr>
          <w:rFonts w:hint="eastAsia" w:ascii="仿宋_GB2312" w:hAnsi="仿宋_GB2312" w:eastAsia="仿宋_GB2312"/>
          <w:color w:val="000000"/>
          <w:sz w:val="30"/>
          <w:szCs w:val="24"/>
          <w:shd w:val="clear" w:color="auto" w:fill="FFFFFF"/>
          <w:lang w:val="zh-CN"/>
        </w:rPr>
        <w:t>劳务派遣人员：</w:t>
      </w:r>
    </w:p>
    <w:p>
      <w:pPr>
        <w:widowControl/>
        <w:snapToGrid w:val="0"/>
        <w:spacing w:beforeLines="0" w:afterLines="0" w:line="580" w:lineRule="exact"/>
        <w:ind w:firstLine="600" w:firstLineChars="200"/>
        <w:rPr>
          <w:rFonts w:hint="eastAsia"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2022年，预</w:t>
      </w:r>
      <w:r>
        <w:rPr>
          <w:rFonts w:hint="eastAsia" w:ascii="仿宋_GB2312" w:hAnsi="仿宋_GB2312" w:eastAsia="仿宋_GB2312"/>
          <w:color w:val="000000"/>
          <w:sz w:val="30"/>
          <w:szCs w:val="24"/>
          <w:shd w:val="clear" w:color="auto" w:fill="FFFFFF"/>
        </w:rPr>
        <w:t>算</w:t>
      </w:r>
      <w:r>
        <w:rPr>
          <w:rFonts w:hint="eastAsia" w:ascii="仿宋_GB2312" w:hAnsi="仿宋_GB2312" w:eastAsia="仿宋_GB2312"/>
          <w:color w:val="000000"/>
          <w:sz w:val="30"/>
          <w:szCs w:val="24"/>
          <w:shd w:val="clear" w:color="auto" w:fill="FFFFFF"/>
          <w:lang w:val="zh-CN"/>
        </w:rPr>
        <w:t>投入财政资金11</w:t>
      </w:r>
      <w:r>
        <w:rPr>
          <w:rFonts w:hint="eastAsia" w:ascii="仿宋_GB2312" w:hAnsi="仿宋_GB2312" w:eastAsia="仿宋_GB2312"/>
          <w:color w:val="000000"/>
          <w:sz w:val="30"/>
          <w:szCs w:val="24"/>
          <w:shd w:val="clear" w:color="auto" w:fill="FFFFFF"/>
        </w:rPr>
        <w:t>3</w:t>
      </w:r>
      <w:r>
        <w:rPr>
          <w:rFonts w:hint="default" w:ascii="仿宋_GB2312" w:hAnsi="仿宋_GB2312" w:eastAsia="仿宋_GB2312"/>
          <w:color w:val="000000"/>
          <w:sz w:val="30"/>
          <w:szCs w:val="24"/>
          <w:shd w:val="clear" w:color="auto" w:fill="FFFFFF"/>
          <w:lang w:val="zh-CN"/>
        </w:rPr>
        <w:t>.</w:t>
      </w:r>
      <w:r>
        <w:rPr>
          <w:rFonts w:hint="eastAsia" w:ascii="仿宋_GB2312" w:hAnsi="仿宋_GB2312" w:eastAsia="仿宋_GB2312"/>
          <w:color w:val="000000"/>
          <w:sz w:val="30"/>
          <w:szCs w:val="24"/>
          <w:shd w:val="clear" w:color="auto" w:fill="FFFFFF"/>
        </w:rPr>
        <w:t>43</w:t>
      </w:r>
      <w:r>
        <w:rPr>
          <w:rFonts w:hint="eastAsia" w:ascii="仿宋_GB2312" w:hAnsi="仿宋_GB2312" w:eastAsia="仿宋_GB2312"/>
          <w:color w:val="000000"/>
          <w:sz w:val="30"/>
          <w:szCs w:val="24"/>
          <w:shd w:val="clear" w:color="auto" w:fill="FFFFFF"/>
          <w:lang w:val="zh-CN"/>
        </w:rPr>
        <w:t>万，保证政务服务大厅的正常运行。2022年共需投入11</w:t>
      </w:r>
      <w:r>
        <w:rPr>
          <w:rFonts w:hint="eastAsia" w:ascii="仿宋_GB2312" w:hAnsi="仿宋_GB2312" w:eastAsia="仿宋_GB2312"/>
          <w:color w:val="000000"/>
          <w:sz w:val="30"/>
          <w:szCs w:val="24"/>
          <w:shd w:val="clear" w:color="auto" w:fill="FFFFFF"/>
        </w:rPr>
        <w:t>3.43</w:t>
      </w:r>
      <w:r>
        <w:rPr>
          <w:rFonts w:hint="eastAsia" w:ascii="仿宋_GB2312" w:hAnsi="仿宋_GB2312" w:eastAsia="仿宋_GB2312"/>
          <w:color w:val="000000"/>
          <w:sz w:val="30"/>
          <w:szCs w:val="24"/>
          <w:shd w:val="clear" w:color="auto" w:fill="FFFFFF"/>
          <w:lang w:val="zh-CN"/>
        </w:rPr>
        <w:t>万元，其中，用于服务大厅窗口人员的劳务费及窗口服务绩效奖励等，按照乐山市市中区最低工资标准1970元/月+五险单位缴纳部分1108元/月计算，包干使用人员经费，需支付劳务费用11</w:t>
      </w:r>
      <w:r>
        <w:rPr>
          <w:rFonts w:hint="eastAsia" w:ascii="仿宋_GB2312" w:hAnsi="仿宋_GB2312" w:eastAsia="仿宋_GB2312"/>
          <w:color w:val="000000"/>
          <w:sz w:val="30"/>
          <w:szCs w:val="24"/>
          <w:shd w:val="clear" w:color="auto" w:fill="FFFFFF"/>
        </w:rPr>
        <w:t>3.43</w:t>
      </w:r>
      <w:r>
        <w:rPr>
          <w:rFonts w:hint="eastAsia" w:ascii="仿宋_GB2312" w:hAnsi="仿宋_GB2312" w:eastAsia="仿宋_GB2312"/>
          <w:color w:val="000000"/>
          <w:sz w:val="30"/>
          <w:szCs w:val="24"/>
          <w:shd w:val="clear" w:color="auto" w:fill="FFFFFF"/>
          <w:lang w:val="zh-CN"/>
        </w:rPr>
        <w:t xml:space="preserve">万元。此项经费的投入以提高窗口服务人员工作积极性，窗口服务质量，保障服务大厅的正常运转。 </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（三）结果应用情况。</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包括内部应用、自评公开、问题整改和应用反馈等情况。</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部门内部绩效结果与预算挂钩情况，将内设机构绩效自评情况纳入内部考核体系，逐步完善内设机构</w:t>
      </w:r>
      <w:r>
        <w:rPr>
          <w:rFonts w:hint="eastAsia" w:ascii="仿宋_GB2312" w:hAnsi="仿宋_GB2312" w:eastAsia="仿宋_GB2312"/>
          <w:sz w:val="30"/>
          <w:szCs w:val="24"/>
          <w:shd w:val="clear" w:color="auto" w:fill="FFFFFF"/>
          <w:lang w:val="zh-CN"/>
        </w:rPr>
        <w:t>绩效挂钩机制</w:t>
      </w:r>
      <w:r>
        <w:rPr>
          <w:rFonts w:hint="eastAsia" w:ascii="仿宋_GB2312" w:hAnsi="仿宋_GB2312" w:eastAsia="仿宋_GB2312"/>
          <w:color w:val="000000"/>
          <w:sz w:val="30"/>
          <w:szCs w:val="24"/>
          <w:shd w:val="clear" w:color="auto" w:fill="FFFFFF"/>
          <w:lang w:val="zh-CN"/>
        </w:rPr>
        <w:t>。</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评价部门是否按要求将部门整体绩效自评情况和自行组织的评价情况向社会公开，</w:t>
      </w:r>
      <w:r>
        <w:rPr>
          <w:rFonts w:hint="eastAsia" w:ascii="仿宋_GB2312" w:hAnsi="仿宋_GB2312" w:eastAsia="仿宋_GB2312"/>
          <w:sz w:val="30"/>
          <w:szCs w:val="24"/>
          <w:shd w:val="clear" w:color="auto" w:fill="FFFFFF"/>
          <w:lang w:val="zh-CN"/>
        </w:rPr>
        <w:t>按要求将相关绩效信息随同决算公开。</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部门根据绩效管理结果整改问题、完善政策、改进管理。针对绩效管理过程中（包括绩效目标核查、绩效监控核查和重点绩效评价）提出的问题进行整改。</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部门按要求及时向财政部门反馈结果应用情况。</w:t>
      </w:r>
    </w:p>
    <w:p>
      <w:pPr>
        <w:widowControl/>
        <w:snapToGrid w:val="0"/>
        <w:spacing w:beforeLines="0" w:afterLines="0" w:line="580" w:lineRule="exact"/>
        <w:ind w:firstLine="602"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b/>
          <w:color w:val="000000"/>
          <w:sz w:val="30"/>
          <w:szCs w:val="24"/>
          <w:shd w:val="clear" w:color="auto" w:fill="FFFFFF"/>
        </w:rPr>
        <w:t>五、评价结论及建议</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（一）评价结论</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rPr>
        <w:t>总体自评，我单位国有资产综合管理成效较好，科学设定了资产绩效评价指标和标准，相关个人坚持问题导向，预算绩效管理意识较强。</w:t>
      </w:r>
    </w:p>
    <w:p>
      <w:pPr>
        <w:widowControl/>
        <w:numPr>
          <w:ilvl w:val="0"/>
          <w:numId w:val="7"/>
        </w:numPr>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存在问题</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rPr>
        <w:t>在管理机构设置及人员配置、制度建设、资产盘点以及管理责任等方面，还需进行优化改进。</w:t>
      </w:r>
    </w:p>
    <w:p>
      <w:pPr>
        <w:widowControl/>
        <w:numPr>
          <w:ilvl w:val="0"/>
          <w:numId w:val="7"/>
        </w:numPr>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lang w:val="zh-CN"/>
        </w:rPr>
      </w:pPr>
      <w:r>
        <w:rPr>
          <w:rFonts w:hint="eastAsia" w:ascii="仿宋_GB2312" w:hAnsi="仿宋_GB2312" w:eastAsia="仿宋_GB2312"/>
          <w:color w:val="000000"/>
          <w:sz w:val="30"/>
          <w:szCs w:val="24"/>
          <w:shd w:val="clear" w:color="auto" w:fill="FFFFFF"/>
          <w:lang w:val="zh-CN"/>
        </w:rPr>
        <w:t>改进建议</w:t>
      </w:r>
    </w:p>
    <w:p>
      <w:pPr>
        <w:widowControl/>
        <w:snapToGrid w:val="0"/>
        <w:spacing w:beforeLines="0" w:afterLines="0" w:line="580" w:lineRule="exact"/>
        <w:ind w:firstLine="600" w:firstLineChars="200"/>
        <w:rPr>
          <w:rFonts w:hint="default" w:ascii="仿宋_GB2312" w:hAnsi="仿宋_GB2312" w:eastAsia="仿宋_GB2312"/>
          <w:color w:val="000000"/>
          <w:sz w:val="30"/>
          <w:szCs w:val="24"/>
          <w:shd w:val="clear" w:color="auto" w:fill="FFFFFF"/>
        </w:rPr>
      </w:pPr>
      <w:r>
        <w:rPr>
          <w:rFonts w:hint="eastAsia" w:ascii="仿宋_GB2312" w:hAnsi="仿宋_GB2312" w:eastAsia="仿宋_GB2312"/>
          <w:color w:val="000000"/>
          <w:sz w:val="30"/>
          <w:szCs w:val="24"/>
          <w:shd w:val="clear" w:color="auto" w:fill="FFFFFF"/>
        </w:rPr>
        <w:t>下一步资产管理工作中，我单位将在以下几个方面加强和改进资产管理工作：一是加强人员配置，强化业务能力，严格执行管理机制，相关人员深入学习国有资产管理条例，提升相关履职能力；二是优化资产管理，主要加强监督管理，进一步健全和完善资产管理责任和措施，确保国有资产管理规范严谨；三是加强内部控制领导小组与内部控制工作小组的管理、监督作用。</w:t>
      </w:r>
    </w:p>
    <w:p>
      <w:pPr>
        <w:spacing w:beforeLines="0" w:afterLines="0"/>
        <w:rPr>
          <w:rFonts w:hint="default" w:ascii="仿宋" w:hAnsi="仿宋" w:eastAsia="仿宋"/>
          <w:kern w:val="44"/>
          <w:sz w:val="30"/>
          <w:szCs w:val="24"/>
        </w:rPr>
      </w:pPr>
      <w:r>
        <w:rPr>
          <w:rFonts w:hint="eastAsia" w:ascii="仿宋" w:hAnsi="仿宋" w:eastAsia="仿宋"/>
          <w:kern w:val="44"/>
          <w:sz w:val="30"/>
          <w:szCs w:val="24"/>
        </w:rPr>
        <w:t>附表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94"/>
        <w:gridCol w:w="1147"/>
        <w:gridCol w:w="2104"/>
        <w:gridCol w:w="916"/>
        <w:gridCol w:w="1172"/>
        <w:gridCol w:w="1068"/>
        <w:gridCol w:w="491"/>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0" w:hRule="atLeast"/>
        </w:trPr>
        <w:tc>
          <w:tcPr>
            <w:tcW w:w="5000" w:type="pct"/>
            <w:gridSpan w:val="8"/>
            <w:tcBorders>
              <w:top w:val="nil"/>
              <w:left w:val="nil"/>
              <w:bottom w:val="nil"/>
              <w:right w:val="nil"/>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b/>
                <w:color w:val="000000"/>
                <w:sz w:val="36"/>
                <w:szCs w:val="24"/>
              </w:rPr>
            </w:pPr>
            <w:r>
              <w:rPr>
                <w:rFonts w:hint="eastAsia" w:ascii="宋体" w:hAnsi="宋体" w:cs="宋体"/>
                <w:b/>
                <w:color w:val="000000"/>
                <w:sz w:val="36"/>
                <w:szCs w:val="24"/>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项目名称：</w:t>
            </w:r>
          </w:p>
        </w:tc>
        <w:tc>
          <w:tcPr>
            <w:tcW w:w="210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政务大厅运转经费</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年度：</w:t>
            </w:r>
          </w:p>
        </w:tc>
        <w:tc>
          <w:tcPr>
            <w:tcW w:w="1608"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eastAsia" w:ascii="宋体" w:hAnsi="宋体" w:cs="宋体"/>
                <w:color w:val="000000"/>
                <w:sz w:val="20"/>
                <w:szCs w:val="24"/>
              </w:rPr>
            </w:pPr>
            <w:r>
              <w:rPr>
                <w:rFonts w:hint="eastAsia" w:ascii="宋体" w:hAnsi="宋体" w:cs="宋体"/>
                <w:color w:val="000000"/>
                <w:sz w:val="20"/>
                <w:szCs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主管部门：</w:t>
            </w:r>
          </w:p>
        </w:tc>
        <w:tc>
          <w:tcPr>
            <w:tcW w:w="210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乐山市市中区行政审批局</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实施单位：</w:t>
            </w:r>
          </w:p>
        </w:tc>
        <w:tc>
          <w:tcPr>
            <w:tcW w:w="1608"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乐山市市中区行政审批局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5000" w:type="pct"/>
            <w:gridSpan w:val="8"/>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432" w:type="pct"/>
            <w:gridSpan w:val="2"/>
            <w:tcBorders>
              <w:top w:val="single" w:color="000000" w:sz="4" w:space="0"/>
              <w:left w:val="single" w:color="000000" w:sz="4" w:space="0"/>
              <w:bottom w:val="single" w:color="000000" w:sz="4" w:space="0"/>
              <w:right w:val="nil"/>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137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全年预算数</w:t>
            </w: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全年执行数</w:t>
            </w:r>
          </w:p>
        </w:tc>
        <w:tc>
          <w:tcPr>
            <w:tcW w:w="1055"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432"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年度资金总额</w:t>
            </w:r>
          </w:p>
        </w:tc>
        <w:tc>
          <w:tcPr>
            <w:tcW w:w="137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50</w:t>
            </w: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50</w:t>
            </w:r>
          </w:p>
        </w:tc>
        <w:tc>
          <w:tcPr>
            <w:tcW w:w="1055"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432"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其中：财政拨款</w:t>
            </w:r>
          </w:p>
        </w:tc>
        <w:tc>
          <w:tcPr>
            <w:tcW w:w="137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50</w:t>
            </w: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50</w:t>
            </w:r>
          </w:p>
        </w:tc>
        <w:tc>
          <w:tcPr>
            <w:tcW w:w="1055"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432"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其他资金</w:t>
            </w:r>
          </w:p>
        </w:tc>
        <w:tc>
          <w:tcPr>
            <w:tcW w:w="137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1055"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年度总体目标</w:t>
            </w:r>
          </w:p>
        </w:tc>
        <w:tc>
          <w:tcPr>
            <w:tcW w:w="2692"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预期目标</w:t>
            </w:r>
          </w:p>
        </w:tc>
        <w:tc>
          <w:tcPr>
            <w:tcW w:w="1608"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35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default" w:ascii="宋体"/>
                <w:color w:val="000000"/>
                <w:sz w:val="20"/>
                <w:szCs w:val="24"/>
              </w:rPr>
            </w:pPr>
          </w:p>
        </w:tc>
        <w:tc>
          <w:tcPr>
            <w:tcW w:w="2692" w:type="pct"/>
            <w:gridSpan w:val="3"/>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在2022年期间，预计投入财政资金50万，保证政务服务大厅的正常运转。以提升审批服务质量，营造良好营商环境，强化政务服务水平，加快了“互联网+政务服务”。缩减审批时间，节约审批成本。需大厅运转经费50万元。</w:t>
            </w:r>
          </w:p>
        </w:tc>
        <w:tc>
          <w:tcPr>
            <w:tcW w:w="1608"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已按预算管理要求100%执行项目年度目标。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29" w:hRule="atLeast"/>
        </w:trPr>
        <w:tc>
          <w:tcPr>
            <w:tcW w:w="698"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一级指标</w:t>
            </w:r>
          </w:p>
        </w:tc>
        <w:tc>
          <w:tcPr>
            <w:tcW w:w="73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二级指标</w:t>
            </w:r>
          </w:p>
        </w:tc>
        <w:tc>
          <w:tcPr>
            <w:tcW w:w="137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三级指标</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年度指标值</w:t>
            </w:r>
          </w:p>
        </w:tc>
        <w:tc>
          <w:tcPr>
            <w:tcW w:w="55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实际完成值</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分值/权重</w:t>
            </w:r>
            <w:r>
              <w:rPr>
                <w:rFonts w:hint="default" w:ascii="宋体"/>
                <w:color w:val="000000"/>
                <w:sz w:val="18"/>
                <w:szCs w:val="24"/>
              </w:rPr>
              <w:br w:type="textWrapping"/>
            </w:r>
            <w:r>
              <w:rPr>
                <w:rFonts w:hint="eastAsia" w:ascii="宋体" w:hAnsi="宋体" w:cs="宋体"/>
                <w:color w:val="000000"/>
                <w:sz w:val="18"/>
                <w:szCs w:val="24"/>
              </w:rPr>
              <w:t>（百分制）</w:t>
            </w:r>
          </w:p>
        </w:tc>
        <w:tc>
          <w:tcPr>
            <w:tcW w:w="231" w:type="pct"/>
            <w:tcBorders>
              <w:top w:val="single" w:color="000000" w:sz="4" w:space="0"/>
              <w:left w:val="nil"/>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得分</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3944"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得    分</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90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90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2805"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预算执行率（10分）</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产出指标</w:t>
            </w: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数量指标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服务大厅自来水用水量</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500吨</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500吨</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质量指标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服务大厅保洁质量达标率</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时效指标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服务大厅印刷纸张购置及时率</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100&amp;</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成本指标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服务大厅全年用电费用成本</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161880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161880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效益指标</w:t>
            </w: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经济效益指标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服务大厅办事企业、服务大厅正常运转率</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社会效益指标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服务大厅正常运转率</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生态效益指标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服务大厅无纸化办公</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可持续影响指标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服务大厅运行管理机制健全性</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定性</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健全、优良</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69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满意度指标</w:t>
            </w:r>
          </w:p>
        </w:tc>
        <w:tc>
          <w:tcPr>
            <w:tcW w:w="733" w:type="pct"/>
            <w:tcBorders>
              <w:top w:val="single" w:color="000000" w:sz="4" w:space="0"/>
              <w:left w:val="single" w:color="000000" w:sz="4" w:space="0"/>
              <w:bottom w:val="single" w:color="000000" w:sz="4" w:space="0"/>
              <w:right w:val="nil"/>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满意度指标</w:t>
            </w:r>
          </w:p>
        </w:tc>
        <w:tc>
          <w:tcPr>
            <w:tcW w:w="13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办事企业、群众满意度</w:t>
            </w:r>
          </w:p>
        </w:tc>
        <w:tc>
          <w:tcPr>
            <w:tcW w:w="58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5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3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58" w:hRule="atLeast"/>
        </w:trPr>
        <w:tc>
          <w:tcPr>
            <w:tcW w:w="5000" w:type="pct"/>
            <w:gridSpan w:val="8"/>
            <w:tcBorders>
              <w:top w:val="single" w:color="000000" w:sz="4" w:space="0"/>
              <w:left w:val="nil"/>
              <w:bottom w:val="single" w:color="000000" w:sz="4" w:space="0"/>
              <w:right w:val="nil"/>
              <w:tl2br w:val="nil"/>
              <w:tr2bl w:val="nil"/>
            </w:tcBorders>
            <w:noWrap w:val="0"/>
            <w:tcMar>
              <w:top w:w="15" w:type="dxa"/>
              <w:left w:w="15" w:type="dxa"/>
              <w:right w:w="15" w:type="dxa"/>
            </w:tcMar>
            <w:vAlign w:val="center"/>
          </w:tcPr>
          <w:p>
            <w:pPr>
              <w:widowControl/>
              <w:spacing w:beforeLines="0" w:afterLines="0"/>
              <w:textAlignment w:val="center"/>
              <w:rPr>
                <w:rFonts w:hint="default" w:asci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58" w:hRule="atLeast"/>
        </w:trPr>
        <w:tc>
          <w:tcPr>
            <w:tcW w:w="5000" w:type="pct"/>
            <w:gridSpan w:val="8"/>
            <w:tcBorders>
              <w:top w:val="single" w:color="000000" w:sz="4" w:space="0"/>
              <w:left w:val="nil"/>
              <w:bottom w:val="single" w:color="000000" w:sz="4" w:space="0"/>
              <w:right w:val="nil"/>
              <w:tl2br w:val="nil"/>
              <w:tr2bl w:val="nil"/>
            </w:tcBorders>
            <w:noWrap w:val="0"/>
            <w:tcMar>
              <w:top w:w="15" w:type="dxa"/>
              <w:left w:w="15" w:type="dxa"/>
              <w:right w:w="15" w:type="dxa"/>
            </w:tcMar>
            <w:vAlign w:val="center"/>
          </w:tcPr>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30"/>
              <w:gridCol w:w="1290"/>
              <w:gridCol w:w="1252"/>
              <w:gridCol w:w="1030"/>
              <w:gridCol w:w="1591"/>
              <w:gridCol w:w="1372"/>
              <w:gridCol w:w="665"/>
              <w:gridCol w:w="106"/>
              <w:gridCol w:w="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Before w:w="0" w:type="dxa"/>
                <w:wAfter w:w="40" w:type="pct"/>
                <w:trHeight w:val="480" w:hRule="atLeast"/>
              </w:trPr>
              <w:tc>
                <w:tcPr>
                  <w:tcW w:w="4957" w:type="pct"/>
                  <w:gridSpan w:val="8"/>
                  <w:tcBorders>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b/>
                      <w:color w:val="000000"/>
                      <w:sz w:val="36"/>
                      <w:szCs w:val="24"/>
                    </w:rPr>
                  </w:pPr>
                  <w:r>
                    <w:rPr>
                      <w:rFonts w:hint="eastAsia" w:ascii="宋体" w:hAnsi="宋体" w:cs="宋体"/>
                      <w:b/>
                      <w:color w:val="000000"/>
                      <w:sz w:val="36"/>
                      <w:szCs w:val="24"/>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项目名称：</w:t>
                  </w:r>
                </w:p>
              </w:tc>
              <w:tc>
                <w:tcPr>
                  <w:tcW w:w="1922"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2022年乡镇电子监察费</w:t>
                  </w:r>
                </w:p>
              </w:tc>
              <w:tc>
                <w:tcPr>
                  <w:tcW w:w="65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年度：</w:t>
                  </w:r>
                </w:p>
              </w:tc>
              <w:tc>
                <w:tcPr>
                  <w:tcW w:w="1645"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eastAsia" w:ascii="宋体" w:hAnsi="宋体" w:cs="宋体"/>
                      <w:color w:val="000000"/>
                      <w:sz w:val="20"/>
                      <w:szCs w:val="24"/>
                    </w:rPr>
                  </w:pPr>
                  <w:r>
                    <w:rPr>
                      <w:rFonts w:hint="eastAsia" w:ascii="宋体" w:hAnsi="宋体" w:cs="宋体"/>
                      <w:color w:val="000000"/>
                      <w:sz w:val="20"/>
                      <w:szCs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主管部门：</w:t>
                  </w:r>
                </w:p>
              </w:tc>
              <w:tc>
                <w:tcPr>
                  <w:tcW w:w="1922"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乐山市市中区行政审批局</w:t>
                  </w:r>
                </w:p>
              </w:tc>
              <w:tc>
                <w:tcPr>
                  <w:tcW w:w="65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实施单位：</w:t>
                  </w:r>
                </w:p>
              </w:tc>
              <w:tc>
                <w:tcPr>
                  <w:tcW w:w="1645"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乐山市市中区行政审批局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5000" w:type="pct"/>
                  <w:gridSpan w:val="9"/>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596" w:type="pct"/>
                  <w:gridSpan w:val="2"/>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11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全年预算数</w:t>
                  </w:r>
                </w:p>
              </w:tc>
              <w:tc>
                <w:tcPr>
                  <w:tcW w:w="133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全年执行数</w:t>
                  </w:r>
                </w:p>
              </w:tc>
              <w:tc>
                <w:tcPr>
                  <w:tcW w:w="962"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59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年度资金总额</w:t>
                  </w:r>
                </w:p>
              </w:tc>
              <w:tc>
                <w:tcPr>
                  <w:tcW w:w="11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24.3</w:t>
                  </w:r>
                </w:p>
              </w:tc>
              <w:tc>
                <w:tcPr>
                  <w:tcW w:w="133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24.3</w:t>
                  </w:r>
                </w:p>
              </w:tc>
              <w:tc>
                <w:tcPr>
                  <w:tcW w:w="962"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59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其中：财政拨款</w:t>
                  </w:r>
                </w:p>
              </w:tc>
              <w:tc>
                <w:tcPr>
                  <w:tcW w:w="11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24.3</w:t>
                  </w:r>
                </w:p>
              </w:tc>
              <w:tc>
                <w:tcPr>
                  <w:tcW w:w="133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24.3</w:t>
                  </w:r>
                </w:p>
              </w:tc>
              <w:tc>
                <w:tcPr>
                  <w:tcW w:w="962"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59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其他资金</w:t>
                  </w:r>
                </w:p>
              </w:tc>
              <w:tc>
                <w:tcPr>
                  <w:tcW w:w="11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1336"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962"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年度总体目标</w:t>
                  </w:r>
                </w:p>
              </w:tc>
              <w:tc>
                <w:tcPr>
                  <w:tcW w:w="2574"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预期目标</w:t>
                  </w:r>
                </w:p>
              </w:tc>
              <w:tc>
                <w:tcPr>
                  <w:tcW w:w="1645"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359" w:hRule="atLeast"/>
              </w:trPr>
              <w:tc>
                <w:tcPr>
                  <w:tcW w:w="779"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default" w:ascii="宋体"/>
                      <w:color w:val="000000"/>
                      <w:sz w:val="20"/>
                      <w:szCs w:val="24"/>
                    </w:rPr>
                  </w:pPr>
                </w:p>
              </w:tc>
              <w:tc>
                <w:tcPr>
                  <w:tcW w:w="2574" w:type="pct"/>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按省、市要求，各乡镇安装便民服务中心监控系统，以实时掌握了解乡镇便民服务中心服务情况。2022年与中国电信股份有限公司乐山分公司签订合同，服务期限5年，行政效能监察专线的使用和平台维护服务共41个点，全年共需243000元。以保障乡镇便民服务中心监控系统顺利安装运行和网络信息安全。</w:t>
                  </w:r>
                </w:p>
              </w:tc>
              <w:tc>
                <w:tcPr>
                  <w:tcW w:w="1645"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已按预算管理要求100%执行项目年度目标。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29" w:hRule="atLeast"/>
              </w:trPr>
              <w:tc>
                <w:tcPr>
                  <w:tcW w:w="77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一级指标</w:t>
                  </w:r>
                </w:p>
              </w:tc>
              <w:tc>
                <w:tcPr>
                  <w:tcW w:w="81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二级指标</w:t>
                  </w:r>
                </w:p>
              </w:tc>
              <w:tc>
                <w:tcPr>
                  <w:tcW w:w="110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三级指标</w:t>
                  </w:r>
                </w:p>
              </w:tc>
              <w:tc>
                <w:tcPr>
                  <w:tcW w:w="65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年度指标值</w:t>
                  </w:r>
                </w:p>
              </w:tc>
              <w:tc>
                <w:tcPr>
                  <w:tcW w:w="68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实际完成值</w:t>
                  </w:r>
                </w:p>
              </w:tc>
              <w:tc>
                <w:tcPr>
                  <w:tcW w:w="590"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分值/权重</w:t>
                  </w:r>
                  <w:r>
                    <w:rPr>
                      <w:rFonts w:hint="default" w:ascii="宋体"/>
                      <w:color w:val="000000"/>
                      <w:sz w:val="18"/>
                      <w:szCs w:val="24"/>
                    </w:rPr>
                    <w:br w:type="textWrapping"/>
                  </w:r>
                  <w:r>
                    <w:rPr>
                      <w:rFonts w:hint="eastAsia" w:ascii="宋体" w:hAnsi="宋体" w:cs="宋体"/>
                      <w:color w:val="000000"/>
                      <w:sz w:val="18"/>
                      <w:szCs w:val="24"/>
                    </w:rPr>
                    <w:t>（百分制）</w:t>
                  </w:r>
                </w:p>
              </w:tc>
              <w:tc>
                <w:tcPr>
                  <w:tcW w:w="286"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得分</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4037"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得    分</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90</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90</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2701"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预算执行率（10分）</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产出指标</w:t>
                  </w: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数量指标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乡镇便民服务维护服务点维护数量</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30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30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15</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15</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质量指标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乡镇便民服务维护服务点维护合格率</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15</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15</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时效指标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乡镇便民服务维护服务点维护及时率</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15</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15</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成本指标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电子监察经费</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243000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243000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效益指标</w:t>
                  </w: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社会效益指标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乡镇便民服务维护服务点正常运转率</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可持续影响指标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乡镇便民服务窗口服务管理机制健全性</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定性</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健全、优良</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7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满意度指标</w:t>
                  </w:r>
                </w:p>
              </w:tc>
              <w:tc>
                <w:tcPr>
                  <w:tcW w:w="817"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满意度指标</w:t>
                  </w:r>
                </w:p>
              </w:tc>
              <w:tc>
                <w:tcPr>
                  <w:tcW w:w="11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群众满意度</w:t>
                  </w:r>
                </w:p>
              </w:tc>
              <w:tc>
                <w:tcPr>
                  <w:tcW w:w="65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9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bl>
          <w:p>
            <w:pPr>
              <w:widowControl/>
              <w:spacing w:beforeLines="0" w:afterLines="0"/>
              <w:textAlignment w:val="center"/>
              <w:rPr>
                <w:rFonts w:hint="default" w:asci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58" w:hRule="atLeast"/>
        </w:trPr>
        <w:tc>
          <w:tcPr>
            <w:tcW w:w="5000" w:type="pct"/>
            <w:gridSpan w:val="8"/>
            <w:tcBorders>
              <w:top w:val="single" w:color="000000" w:sz="4" w:space="0"/>
              <w:left w:val="nil"/>
              <w:bottom w:val="nil"/>
              <w:right w:val="nil"/>
              <w:tl2br w:val="nil"/>
              <w:tr2bl w:val="nil"/>
            </w:tcBorders>
            <w:noWrap w:val="0"/>
            <w:tcMar>
              <w:top w:w="15" w:type="dxa"/>
              <w:left w:w="15" w:type="dxa"/>
              <w:right w:w="15" w:type="dxa"/>
            </w:tcMar>
            <w:vAlign w:val="center"/>
          </w:tcPr>
          <w:p>
            <w:pPr>
              <w:widowControl/>
              <w:spacing w:beforeLines="0" w:afterLines="0"/>
              <w:textAlignment w:val="center"/>
              <w:rPr>
                <w:rFonts w:hint="default" w:eastAsia="Times New Roman"/>
                <w:sz w:val="24"/>
                <w:szCs w:val="24"/>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1"/>
              <w:gridCol w:w="1248"/>
              <w:gridCol w:w="1681"/>
              <w:gridCol w:w="964"/>
              <w:gridCol w:w="1490"/>
              <w:gridCol w:w="1283"/>
              <w:gridCol w:w="624"/>
              <w:gridCol w:w="99"/>
              <w:gridCol w:w="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Before w:w="0" w:type="dxa"/>
                <w:wAfter w:w="40" w:type="pct"/>
                <w:trHeight w:val="480" w:hRule="atLeast"/>
              </w:trPr>
              <w:tc>
                <w:tcPr>
                  <w:tcW w:w="4957" w:type="pct"/>
                  <w:gridSpan w:val="8"/>
                  <w:tcBorders>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b/>
                      <w:color w:val="000000"/>
                      <w:sz w:val="36"/>
                      <w:szCs w:val="24"/>
                    </w:rPr>
                  </w:pPr>
                  <w:r>
                    <w:rPr>
                      <w:rFonts w:hint="eastAsia" w:ascii="宋体" w:hAnsi="宋体" w:cs="宋体"/>
                      <w:b/>
                      <w:color w:val="000000"/>
                      <w:sz w:val="36"/>
                      <w:szCs w:val="24"/>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8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项目名称：</w:t>
                  </w:r>
                </w:p>
              </w:tc>
              <w:tc>
                <w:tcPr>
                  <w:tcW w:w="192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2022年编外人员经费</w:t>
                  </w:r>
                  <w:r>
                    <w:rPr>
                      <w:rFonts w:hint="default" w:ascii="宋体"/>
                      <w:color w:val="000000"/>
                      <w:sz w:val="20"/>
                      <w:szCs w:val="24"/>
                    </w:rPr>
                    <w:t>-</w:t>
                  </w:r>
                  <w:r>
                    <w:rPr>
                      <w:rFonts w:hint="eastAsia" w:ascii="宋体" w:hAnsi="宋体" w:cs="宋体"/>
                      <w:color w:val="000000"/>
                      <w:sz w:val="20"/>
                      <w:szCs w:val="24"/>
                    </w:rPr>
                    <w:t>劳务派遣人员</w:t>
                  </w:r>
                </w:p>
              </w:tc>
              <w:tc>
                <w:tcPr>
                  <w:tcW w:w="65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年度：</w:t>
                  </w:r>
                </w:p>
              </w:tc>
              <w:tc>
                <w:tcPr>
                  <w:tcW w:w="1632"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eastAsia" w:ascii="宋体" w:hAnsi="宋体" w:cs="宋体"/>
                      <w:color w:val="000000"/>
                      <w:sz w:val="20"/>
                      <w:szCs w:val="24"/>
                    </w:rPr>
                  </w:pPr>
                  <w:r>
                    <w:rPr>
                      <w:rFonts w:hint="eastAsia" w:ascii="宋体" w:hAnsi="宋体" w:cs="宋体"/>
                      <w:color w:val="000000"/>
                      <w:sz w:val="20"/>
                      <w:szCs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8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主管部门：</w:t>
                  </w:r>
                </w:p>
              </w:tc>
              <w:tc>
                <w:tcPr>
                  <w:tcW w:w="192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乐山市市中区行政审批局</w:t>
                  </w:r>
                </w:p>
              </w:tc>
              <w:tc>
                <w:tcPr>
                  <w:tcW w:w="65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实施单位：</w:t>
                  </w:r>
                </w:p>
              </w:tc>
              <w:tc>
                <w:tcPr>
                  <w:tcW w:w="1632"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乐山市市中区行政审批局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5000" w:type="pct"/>
                  <w:gridSpan w:val="9"/>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604" w:type="pct"/>
                  <w:gridSpan w:val="2"/>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beforeLines="0" w:afterLines="0"/>
                    <w:jc w:val="center"/>
                    <w:rPr>
                      <w:rFonts w:hint="default" w:ascii="宋体"/>
                      <w:color w:val="000000"/>
                      <w:sz w:val="20"/>
                      <w:szCs w:val="24"/>
                    </w:rPr>
                  </w:pPr>
                </w:p>
              </w:tc>
              <w:tc>
                <w:tcPr>
                  <w:tcW w:w="110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全年预算数</w:t>
                  </w:r>
                </w:p>
              </w:tc>
              <w:tc>
                <w:tcPr>
                  <w:tcW w:w="133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全年执行数</w:t>
                  </w:r>
                </w:p>
              </w:tc>
              <w:tc>
                <w:tcPr>
                  <w:tcW w:w="954"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60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年度资金总额</w:t>
                  </w:r>
                </w:p>
              </w:tc>
              <w:tc>
                <w:tcPr>
                  <w:tcW w:w="110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113.43</w:t>
                  </w:r>
                </w:p>
              </w:tc>
              <w:tc>
                <w:tcPr>
                  <w:tcW w:w="133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113.43</w:t>
                  </w:r>
                </w:p>
              </w:tc>
              <w:tc>
                <w:tcPr>
                  <w:tcW w:w="954"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60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其中：财政拨款</w:t>
                  </w:r>
                </w:p>
              </w:tc>
              <w:tc>
                <w:tcPr>
                  <w:tcW w:w="110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113.43</w:t>
                  </w:r>
                </w:p>
              </w:tc>
              <w:tc>
                <w:tcPr>
                  <w:tcW w:w="133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113.43</w:t>
                  </w:r>
                </w:p>
              </w:tc>
              <w:tc>
                <w:tcPr>
                  <w:tcW w:w="954"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160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其他资金</w:t>
                  </w:r>
                </w:p>
              </w:tc>
              <w:tc>
                <w:tcPr>
                  <w:tcW w:w="110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default" w:ascii="宋体"/>
                      <w:color w:val="000000"/>
                      <w:sz w:val="20"/>
                      <w:szCs w:val="24"/>
                    </w:rPr>
                    <w:t>0</w:t>
                  </w:r>
                </w:p>
              </w:tc>
              <w:tc>
                <w:tcPr>
                  <w:tcW w:w="1334"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default" w:ascii="宋体"/>
                      <w:color w:val="000000"/>
                      <w:sz w:val="20"/>
                      <w:szCs w:val="24"/>
                    </w:rPr>
                    <w:t>0</w:t>
                  </w:r>
                </w:p>
              </w:tc>
              <w:tc>
                <w:tcPr>
                  <w:tcW w:w="954" w:type="pct"/>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4"/>
                    </w:rPr>
                  </w:pPr>
                  <w:r>
                    <w:rPr>
                      <w:rFonts w:hint="eastAsia" w:ascii="宋体" w:hAnsi="宋体" w:cs="宋体"/>
                      <w:color w:val="000000"/>
                      <w:sz w:val="20"/>
                      <w:szCs w:val="24"/>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783" w:type="pct"/>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年度总体目标</w:t>
                  </w:r>
                </w:p>
              </w:tc>
              <w:tc>
                <w:tcPr>
                  <w:tcW w:w="2583"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预期目标</w:t>
                  </w:r>
                </w:p>
              </w:tc>
              <w:tc>
                <w:tcPr>
                  <w:tcW w:w="1632"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20"/>
                      <w:szCs w:val="24"/>
                    </w:rPr>
                  </w:pPr>
                  <w:r>
                    <w:rPr>
                      <w:rFonts w:hint="eastAsia" w:ascii="宋体" w:hAnsi="宋体" w:cs="宋体"/>
                      <w:color w:val="000000"/>
                      <w:sz w:val="20"/>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35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rPr>
                      <w:rFonts w:hint="default" w:ascii="宋体"/>
                      <w:color w:val="000000"/>
                      <w:sz w:val="20"/>
                      <w:szCs w:val="24"/>
                    </w:rPr>
                  </w:pPr>
                </w:p>
              </w:tc>
              <w:tc>
                <w:tcPr>
                  <w:tcW w:w="2583" w:type="pct"/>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在2022年，预计投入财政资金113.43万，保证政务服务大厅的正常运行。2022年共需投入113.43万元，其中，用于服务大厅窗口人员的劳务费及窗口服务绩效奖励等，按照乐山市市中区最低工资标准1970元/月+五险单位缴纳部分1108元/月计算，包干使用人员经费，需支付劳务费用113.43万元。此项经费的投入以提高窗口服务人员工作积极性，窗口服务质量，保障服务大厅的正常运转。</w:t>
                  </w:r>
                </w:p>
              </w:tc>
              <w:tc>
                <w:tcPr>
                  <w:tcW w:w="1632"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textAlignment w:val="center"/>
                    <w:rPr>
                      <w:rFonts w:hint="default" w:ascii="宋体"/>
                      <w:color w:val="000000"/>
                      <w:sz w:val="20"/>
                      <w:szCs w:val="24"/>
                    </w:rPr>
                  </w:pPr>
                  <w:r>
                    <w:rPr>
                      <w:rFonts w:hint="eastAsia" w:ascii="宋体" w:hAnsi="宋体" w:cs="宋体"/>
                      <w:color w:val="000000"/>
                      <w:sz w:val="20"/>
                      <w:szCs w:val="24"/>
                    </w:rPr>
                    <w:t>已按预算管理要求100%执行项目年度目标。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29" w:hRule="atLeast"/>
              </w:trPr>
              <w:tc>
                <w:tcPr>
                  <w:tcW w:w="78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一级指标</w:t>
                  </w:r>
                </w:p>
              </w:tc>
              <w:tc>
                <w:tcPr>
                  <w:tcW w:w="821"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二级指标</w:t>
                  </w:r>
                </w:p>
              </w:tc>
              <w:tc>
                <w:tcPr>
                  <w:tcW w:w="1106"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三级指标</w:t>
                  </w:r>
                </w:p>
              </w:tc>
              <w:tc>
                <w:tcPr>
                  <w:tcW w:w="65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年度指标值</w:t>
                  </w:r>
                </w:p>
              </w:tc>
              <w:tc>
                <w:tcPr>
                  <w:tcW w:w="678"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实际完成值</w:t>
                  </w:r>
                </w:p>
              </w:tc>
              <w:tc>
                <w:tcPr>
                  <w:tcW w:w="585"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分值/权重</w:t>
                  </w:r>
                  <w:r>
                    <w:rPr>
                      <w:rFonts w:hint="default" w:ascii="宋体"/>
                      <w:color w:val="000000"/>
                      <w:sz w:val="18"/>
                      <w:szCs w:val="24"/>
                    </w:rPr>
                    <w:br w:type="textWrapping"/>
                  </w:r>
                  <w:r>
                    <w:rPr>
                      <w:rFonts w:hint="eastAsia" w:ascii="宋体" w:hAnsi="宋体" w:cs="宋体"/>
                      <w:color w:val="000000"/>
                      <w:sz w:val="18"/>
                      <w:szCs w:val="24"/>
                    </w:rPr>
                    <w:t>（百分制）</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得分</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4045"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color w:val="000000"/>
                      <w:sz w:val="18"/>
                      <w:szCs w:val="24"/>
                    </w:rPr>
                  </w:pPr>
                  <w:r>
                    <w:rPr>
                      <w:rFonts w:hint="eastAsia" w:ascii="宋体" w:hAnsi="宋体" w:cs="宋体"/>
                      <w:color w:val="000000"/>
                      <w:sz w:val="18"/>
                      <w:szCs w:val="24"/>
                    </w:rPr>
                    <w:t>得    分</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90</w:t>
                  </w:r>
                </w:p>
              </w:tc>
              <w:tc>
                <w:tcPr>
                  <w:tcW w:w="28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90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9" w:hRule="atLeast"/>
              </w:trPr>
              <w:tc>
                <w:tcPr>
                  <w:tcW w:w="2711"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预算执行率（10分）</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产出指标</w:t>
                  </w: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数量指标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服务大厅窗口服务人员绩效奖励发放人数</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35</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35</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质量指标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服务大厅窗口服务聘用人员正常到岗率</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时效指标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 xml:space="preserve"> </w:t>
                  </w:r>
                  <w:r>
                    <w:rPr>
                      <w:rFonts w:hint="eastAsia" w:ascii="宋体" w:hAnsi="宋体" w:cs="宋体"/>
                      <w:color w:val="333333"/>
                      <w:sz w:val="18"/>
                      <w:szCs w:val="24"/>
                    </w:rPr>
                    <w:br w:type="textWrapping"/>
                  </w:r>
                  <w:r>
                    <w:rPr>
                      <w:rFonts w:hint="eastAsia" w:ascii="宋体" w:hAnsi="宋体" w:cs="宋体"/>
                      <w:color w:val="333333"/>
                      <w:sz w:val="18"/>
                      <w:szCs w:val="24"/>
                    </w:rPr>
                    <w:t>服务大厅窗口服务人员绩效奖励发放及时率</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成本指标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服务大厅窗口聘用人员劳务费成本</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1134300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1134300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效益指标</w:t>
                  </w: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经济效益指标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服务大厅窗口服务人员劳务费及绩效奖励应发尽发</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1134300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1134300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社会效益指标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 xml:space="preserve"> </w:t>
                  </w:r>
                  <w:r>
                    <w:rPr>
                      <w:rFonts w:hint="eastAsia" w:ascii="宋体" w:hAnsi="宋体" w:cs="宋体"/>
                      <w:color w:val="333333"/>
                      <w:sz w:val="18"/>
                      <w:szCs w:val="24"/>
                    </w:rPr>
                    <w:br w:type="textWrapping"/>
                  </w:r>
                  <w:r>
                    <w:rPr>
                      <w:rFonts w:hint="eastAsia" w:ascii="宋体" w:hAnsi="宋体" w:cs="宋体"/>
                      <w:color w:val="333333"/>
                      <w:sz w:val="18"/>
                      <w:szCs w:val="24"/>
                    </w:rPr>
                    <w:t>服务大厅窗口服务正常运转率</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生态效益指标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服务大厅窗口人员健康上岗</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default" w:ascii="宋体"/>
                      <w:color w:val="333333"/>
                      <w:sz w:val="18"/>
                      <w:szCs w:val="24"/>
                    </w:rPr>
                  </w:pP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可持续影响指标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 xml:space="preserve"> </w:t>
                  </w:r>
                  <w:r>
                    <w:rPr>
                      <w:rFonts w:hint="eastAsia" w:ascii="宋体" w:hAnsi="宋体" w:cs="宋体"/>
                      <w:color w:val="333333"/>
                      <w:sz w:val="18"/>
                      <w:szCs w:val="24"/>
                    </w:rPr>
                    <w:br w:type="textWrapping"/>
                  </w:r>
                  <w:r>
                    <w:rPr>
                      <w:rFonts w:hint="eastAsia" w:ascii="宋体" w:hAnsi="宋体" w:cs="宋体"/>
                      <w:color w:val="333333"/>
                      <w:sz w:val="18"/>
                      <w:szCs w:val="24"/>
                    </w:rPr>
                    <w:t>服务大厅窗口服务管理机制健全性</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5</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99" w:hRule="atLeast"/>
              </w:trPr>
              <w:tc>
                <w:tcPr>
                  <w:tcW w:w="7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满意度指标</w:t>
                  </w:r>
                </w:p>
              </w:tc>
              <w:tc>
                <w:tcPr>
                  <w:tcW w:w="821" w:type="pct"/>
                  <w:tcBorders>
                    <w:top w:val="single" w:color="000000" w:sz="4" w:space="0"/>
                    <w:left w:val="single" w:color="000000" w:sz="4" w:space="0"/>
                    <w:bottom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满意度指标</w:t>
                  </w:r>
                </w:p>
              </w:tc>
              <w:tc>
                <w:tcPr>
                  <w:tcW w:w="110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color w:val="333333"/>
                      <w:sz w:val="18"/>
                      <w:szCs w:val="24"/>
                    </w:rPr>
                  </w:pPr>
                  <w:r>
                    <w:rPr>
                      <w:rFonts w:hint="eastAsia" w:ascii="宋体" w:hAnsi="宋体" w:cs="宋体"/>
                      <w:color w:val="333333"/>
                      <w:sz w:val="18"/>
                      <w:szCs w:val="24"/>
                    </w:rPr>
                    <w:t>办事企业、群众满意度</w:t>
                  </w:r>
                </w:p>
              </w:tc>
              <w:tc>
                <w:tcPr>
                  <w:tcW w:w="65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100%</w:t>
                  </w:r>
                </w:p>
              </w:tc>
              <w:tc>
                <w:tcPr>
                  <w:tcW w:w="585"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284" w:type="pct"/>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24"/>
                    </w:rPr>
                  </w:pPr>
                  <w:r>
                    <w:rPr>
                      <w:rFonts w:hint="eastAsia" w:ascii="宋体" w:hAnsi="宋体" w:cs="宋体"/>
                      <w:color w:val="000000"/>
                      <w:sz w:val="18"/>
                      <w:szCs w:val="24"/>
                    </w:rPr>
                    <w:t>10</w:t>
                  </w:r>
                </w:p>
              </w:tc>
              <w:tc>
                <w:tcPr>
                  <w:tcW w:w="84"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rPr>
                      <w:rFonts w:hint="default" w:ascii="宋体"/>
                      <w:color w:val="000000"/>
                      <w:sz w:val="18"/>
                      <w:szCs w:val="24"/>
                    </w:rPr>
                  </w:pPr>
                </w:p>
              </w:tc>
            </w:tr>
          </w:tbl>
          <w:p>
            <w:pPr>
              <w:pStyle w:val="2"/>
              <w:spacing w:beforeLines="0" w:afterLines="0"/>
              <w:rPr>
                <w:rFonts w:hint="default" w:ascii="宋体"/>
                <w:color w:val="000000"/>
                <w:sz w:val="22"/>
                <w:szCs w:val="24"/>
              </w:rPr>
            </w:pPr>
          </w:p>
        </w:tc>
      </w:tr>
    </w:tbl>
    <w:p>
      <w:pPr>
        <w:pStyle w:val="2"/>
        <w:spacing w:beforeLines="0" w:afterLines="0"/>
        <w:rPr>
          <w:rFonts w:hint="default" w:eastAsia="Times New Roman"/>
          <w:sz w:val="24"/>
          <w:szCs w:val="24"/>
        </w:rPr>
      </w:pPr>
    </w:p>
    <w:p>
      <w:pPr>
        <w:spacing w:beforeLines="0" w:afterLines="0" w:line="600" w:lineRule="exact"/>
        <w:jc w:val="center"/>
        <w:rPr>
          <w:rFonts w:hint="default" w:ascii="黑体" w:hAnsi="黑体" w:eastAsia="黑体"/>
          <w:kern w:val="2"/>
          <w:sz w:val="44"/>
          <w:szCs w:val="24"/>
        </w:rPr>
      </w:pPr>
    </w:p>
    <w:p>
      <w:pPr>
        <w:spacing w:beforeLines="0" w:afterLines="0" w:line="600" w:lineRule="exact"/>
        <w:jc w:val="center"/>
        <w:rPr>
          <w:rFonts w:hint="default" w:ascii="黑体" w:hAnsi="黑体" w:eastAsia="黑体"/>
          <w:kern w:val="2"/>
          <w:sz w:val="44"/>
          <w:szCs w:val="24"/>
        </w:rPr>
      </w:pPr>
    </w:p>
    <w:p>
      <w:pPr>
        <w:spacing w:beforeLines="0" w:afterLines="0" w:line="600" w:lineRule="exact"/>
        <w:jc w:val="center"/>
        <w:rPr>
          <w:rFonts w:hint="default" w:ascii="黑体" w:hAnsi="黑体" w:eastAsia="黑体"/>
          <w:kern w:val="2"/>
          <w:sz w:val="44"/>
          <w:szCs w:val="24"/>
        </w:rPr>
      </w:pPr>
    </w:p>
    <w:p>
      <w:pPr>
        <w:spacing w:beforeLines="0" w:afterLines="0" w:line="600" w:lineRule="exact"/>
        <w:jc w:val="center"/>
        <w:rPr>
          <w:rFonts w:hint="default" w:ascii="黑体" w:hAnsi="黑体" w:eastAsia="黑体"/>
          <w:kern w:val="2"/>
          <w:sz w:val="44"/>
          <w:szCs w:val="24"/>
        </w:rPr>
      </w:pPr>
    </w:p>
    <w:p>
      <w:pPr>
        <w:spacing w:beforeLines="0" w:afterLines="0" w:line="600" w:lineRule="exact"/>
        <w:jc w:val="center"/>
        <w:rPr>
          <w:rFonts w:hint="default" w:ascii="黑体" w:hAnsi="黑体" w:eastAsia="黑体"/>
          <w:kern w:val="2"/>
          <w:sz w:val="44"/>
          <w:szCs w:val="24"/>
        </w:rPr>
      </w:pPr>
    </w:p>
    <w:p>
      <w:pPr>
        <w:spacing w:beforeLines="0" w:afterLines="0" w:line="600" w:lineRule="exact"/>
        <w:jc w:val="center"/>
        <w:rPr>
          <w:rFonts w:hint="default" w:ascii="黑体" w:hAnsi="黑体" w:eastAsia="黑体"/>
          <w:kern w:val="2"/>
          <w:sz w:val="44"/>
          <w:szCs w:val="24"/>
        </w:rPr>
      </w:pPr>
    </w:p>
    <w:p>
      <w:pPr>
        <w:spacing w:beforeLines="0" w:afterLines="0" w:line="600" w:lineRule="exact"/>
        <w:jc w:val="center"/>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pStyle w:val="2"/>
        <w:spacing w:beforeLines="0" w:afterLines="0"/>
        <w:rPr>
          <w:rFonts w:hint="default" w:ascii="黑体" w:hAnsi="黑体" w:eastAsia="黑体"/>
          <w:kern w:val="2"/>
          <w:sz w:val="44"/>
          <w:szCs w:val="24"/>
        </w:rPr>
      </w:pPr>
    </w:p>
    <w:p>
      <w:pPr>
        <w:numPr>
          <w:ilvl w:val="0"/>
          <w:numId w:val="8"/>
        </w:numPr>
        <w:spacing w:beforeLines="0" w:afterLines="0" w:line="600" w:lineRule="exact"/>
        <w:jc w:val="center"/>
        <w:rPr>
          <w:rFonts w:hint="default" w:ascii="黑体" w:hAnsi="黑体" w:eastAsia="黑体"/>
          <w:kern w:val="44"/>
          <w:sz w:val="44"/>
          <w:szCs w:val="24"/>
        </w:rPr>
      </w:pPr>
      <w:r>
        <w:rPr>
          <w:rFonts w:hint="eastAsia" w:ascii="黑体" w:hAnsi="黑体" w:eastAsia="黑体"/>
          <w:kern w:val="44"/>
          <w:sz w:val="44"/>
          <w:szCs w:val="24"/>
        </w:rPr>
        <w:t>附表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收入支出决算总表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收入决算表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支出决算表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财政拨款收入支出决算总表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财政拨款支出决算明细表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一般公共预算财政拨款支出决算表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一般公共预算财政拨款支出决算明细表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一般公共预算财政拨款基本支出决算明细表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一般公共预算财政拨款项目支出决算表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政府性基金预算财政拨款收入支出决算表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国有资本经营预算财政拨款收入支出决算表</w:t>
      </w:r>
    </w:p>
    <w:p>
      <w:pPr>
        <w:pStyle w:val="4"/>
        <w:keepNext/>
        <w:keepLines/>
        <w:numPr>
          <w:ilvl w:val="0"/>
          <w:numId w:val="9"/>
        </w:numPr>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国有资本经营预算财政拨款支出决算表</w:t>
      </w:r>
    </w:p>
    <w:p>
      <w:pPr>
        <w:pStyle w:val="2"/>
        <w:spacing w:beforeLines="0" w:afterLines="0"/>
        <w:rPr>
          <w:rFonts w:hint="default" w:eastAsia="Times New Roman"/>
          <w:sz w:val="24"/>
          <w:szCs w:val="24"/>
        </w:rPr>
      </w:pPr>
    </w:p>
    <w:p>
      <w:pPr>
        <w:pStyle w:val="4"/>
        <w:keepNext/>
        <w:keepLines/>
        <w:spacing w:before="260" w:beforeLines="0" w:after="260" w:afterLines="0" w:line="408" w:lineRule="auto"/>
        <w:jc w:val="both"/>
        <w:rPr>
          <w:rFonts w:hint="default" w:ascii="仿宋" w:hAnsi="仿宋" w:eastAsia="仿宋"/>
          <w:kern w:val="2"/>
          <w:sz w:val="32"/>
          <w:szCs w:val="24"/>
        </w:rPr>
      </w:pPr>
      <w:r>
        <w:rPr>
          <w:rFonts w:hint="eastAsia" w:ascii="仿宋" w:hAnsi="仿宋" w:eastAsia="仿宋"/>
          <w:kern w:val="2"/>
          <w:sz w:val="32"/>
          <w:szCs w:val="24"/>
        </w:rPr>
        <w:t>十三、财政拨款“三公”经费支出决算表</w:t>
      </w:r>
    </w:p>
    <w:p>
      <w:pPr>
        <w:pStyle w:val="4"/>
        <w:keepNext/>
        <w:keepLines/>
        <w:spacing w:before="260" w:beforeLines="0" w:after="260" w:afterLines="0" w:line="408" w:lineRule="auto"/>
        <w:jc w:val="both"/>
        <w:rPr>
          <w:rFonts w:hint="default" w:ascii="仿宋" w:hAnsi="仿宋" w:eastAsia="仿宋"/>
          <w:kern w:val="2"/>
          <w:sz w:val="32"/>
          <w:szCs w:val="24"/>
        </w:rPr>
      </w:pPr>
    </w:p>
    <w:p>
      <w:pPr>
        <w:pStyle w:val="4"/>
        <w:keepNext/>
        <w:keepLines/>
        <w:spacing w:before="260" w:beforeLines="0" w:after="260" w:afterLines="0" w:line="408" w:lineRule="auto"/>
        <w:jc w:val="both"/>
        <w:rPr>
          <w:rFonts w:hint="default" w:ascii="仿宋" w:hAnsi="仿宋" w:eastAsia="仿宋"/>
          <w:kern w:val="2"/>
          <w:sz w:val="32"/>
          <w:szCs w:val="24"/>
        </w:rPr>
      </w:pPr>
    </w:p>
    <w:p>
      <w:pPr>
        <w:pStyle w:val="2"/>
        <w:spacing w:beforeLines="0" w:afterLines="0"/>
        <w:rPr>
          <w:rFonts w:hint="default" w:eastAsia="Times New Roman"/>
          <w:sz w:val="24"/>
          <w:szCs w:val="24"/>
        </w:rPr>
      </w:pPr>
    </w:p>
    <w:p>
      <w:pPr>
        <w:spacing w:beforeLines="0" w:afterLines="0"/>
        <w:rPr>
          <w:rFonts w:hint="default" w:ascii="华文中宋" w:hAnsi="华文中宋" w:eastAsia="华文中宋"/>
          <w:kern w:val="2"/>
          <w:sz w:val="36"/>
          <w:szCs w:val="24"/>
        </w:rPr>
      </w:pPr>
    </w:p>
    <w:sectPr>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rPr>
        <w:rFonts w:hint="default" w:eastAsia="Times New Roman"/>
        <w:sz w:val="18"/>
        <w:szCs w:val="24"/>
      </w:rPr>
    </w:pPr>
    <w:r>
      <w:rPr>
        <w:rFonts w:hint="default"/>
        <w:sz w:val="18"/>
        <w:szCs w:val="24"/>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spacing w:beforeLines="0" w:afterLines="0"/>
                            <w:rPr>
                              <w:rFonts w:hint="default" w:ascii="宋体"/>
                              <w:sz w:val="28"/>
                              <w:szCs w:val="24"/>
                            </w:rPr>
                          </w:pPr>
                          <w:r>
                            <w:rPr>
                              <w:rFonts w:hint="default" w:ascii="宋体" w:hAnsi="宋体" w:cs="宋体"/>
                              <w:sz w:val="28"/>
                              <w:szCs w:val="24"/>
                            </w:rPr>
                            <w:t>—</w:t>
                          </w:r>
                          <w:r>
                            <w:rPr>
                              <w:rFonts w:hint="eastAsia" w:ascii="宋体" w:hAnsi="宋体" w:cs="宋体"/>
                              <w:sz w:val="28"/>
                              <w:szCs w:val="24"/>
                            </w:rPr>
                            <w:t xml:space="preserve"> </w:t>
                          </w:r>
                          <w:r>
                            <w:rPr>
                              <w:rFonts w:hint="eastAsia" w:ascii="宋体" w:hAnsi="宋体" w:cs="宋体"/>
                              <w:sz w:val="28"/>
                              <w:szCs w:val="24"/>
                            </w:rPr>
                            <w:fldChar w:fldCharType="begin"/>
                          </w:r>
                          <w:r>
                            <w:rPr>
                              <w:rFonts w:hint="eastAsia" w:ascii="宋体" w:hAnsi="宋体" w:cs="宋体"/>
                              <w:sz w:val="28"/>
                              <w:szCs w:val="24"/>
                            </w:rPr>
                            <w:instrText xml:space="preserve"> PAGE  \* MERGEFORMAT </w:instrText>
                          </w:r>
                          <w:r>
                            <w:rPr>
                              <w:rFonts w:hint="eastAsia" w:ascii="宋体" w:hAnsi="宋体" w:cs="宋体"/>
                              <w:sz w:val="28"/>
                              <w:szCs w:val="24"/>
                            </w:rPr>
                            <w:fldChar w:fldCharType="separate"/>
                          </w:r>
                          <w:r>
                            <w:rPr>
                              <w:rFonts w:hint="eastAsia" w:ascii="宋体" w:hAnsi="宋体" w:cs="宋体"/>
                              <w:sz w:val="28"/>
                              <w:szCs w:val="24"/>
                              <w:lang/>
                            </w:rPr>
                            <w:t>4</w:t>
                          </w:r>
                          <w:r>
                            <w:rPr>
                              <w:rFonts w:hint="eastAsia" w:ascii="宋体" w:hAnsi="宋体" w:cs="宋体"/>
                              <w:sz w:val="28"/>
                              <w:szCs w:val="24"/>
                              <w:lang/>
                            </w:rPr>
                            <w:fldChar w:fldCharType="end"/>
                          </w:r>
                          <w:r>
                            <w:rPr>
                              <w:rFonts w:hint="eastAsia" w:ascii="宋体" w:hAnsi="宋体" w:cs="宋体"/>
                              <w:sz w:val="28"/>
                              <w:szCs w:val="24"/>
                            </w:rPr>
                            <w:t xml:space="preserve"> </w:t>
                          </w:r>
                          <w:r>
                            <w:rPr>
                              <w:rFonts w:hint="default" w:ascii="宋体" w:hAnsi="宋体" w:cs="宋体"/>
                              <w:sz w:val="28"/>
                              <w:szCs w:val="24"/>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w1Wc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LM&#10;7ekD1Jh1HzAvDe/8gEsz+wGdWfWgos1f1EMwjs09X5srh0REfrRerdcVhgTG5gvis4fnIUJ6L70l&#10;2WhoxOmVpvLTR0hj6pySqzl/p40pEzTuHwdiZg/L3EeO2UrDfpgE7X17Rj09Dr6hDvecEvPBYV/z&#10;jsxGnI39bBxD1IcOqS0LLwi3x4QkCrdcYYSdCuPEirppu/JKPL6XrIc/av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JMNVnIAQAAmQMAAA4AAAAAAAAAAQAgAAAAHgEAAGRycy9lMm9Eb2Mu&#10;eG1sUEsFBgAAAAAGAAYAWQEAAFgFAAAAAA==&#10;">
              <v:fill on="f" focussize="0,0"/>
              <v:stroke on="f"/>
              <v:imagedata o:title=""/>
              <o:lock v:ext="edit" aspectratio="f"/>
              <v:textbox inset="0mm,0mm,0mm,0mm" style="mso-fit-shape-to-text:t;">
                <w:txbxContent>
                  <w:p>
                    <w:pPr>
                      <w:pStyle w:val="6"/>
                      <w:spacing w:beforeLines="0" w:afterLines="0"/>
                      <w:rPr>
                        <w:rFonts w:hint="default" w:ascii="宋体"/>
                        <w:sz w:val="28"/>
                        <w:szCs w:val="24"/>
                      </w:rPr>
                    </w:pPr>
                    <w:r>
                      <w:rPr>
                        <w:rFonts w:hint="default" w:ascii="宋体" w:hAnsi="宋体" w:cs="宋体"/>
                        <w:sz w:val="28"/>
                        <w:szCs w:val="24"/>
                      </w:rPr>
                      <w:t>—</w:t>
                    </w:r>
                    <w:r>
                      <w:rPr>
                        <w:rFonts w:hint="eastAsia" w:ascii="宋体" w:hAnsi="宋体" w:cs="宋体"/>
                        <w:sz w:val="28"/>
                        <w:szCs w:val="24"/>
                      </w:rPr>
                      <w:t xml:space="preserve"> </w:t>
                    </w:r>
                    <w:r>
                      <w:rPr>
                        <w:rFonts w:hint="eastAsia" w:ascii="宋体" w:hAnsi="宋体" w:cs="宋体"/>
                        <w:sz w:val="28"/>
                        <w:szCs w:val="24"/>
                      </w:rPr>
                      <w:fldChar w:fldCharType="begin"/>
                    </w:r>
                    <w:r>
                      <w:rPr>
                        <w:rFonts w:hint="eastAsia" w:ascii="宋体" w:hAnsi="宋体" w:cs="宋体"/>
                        <w:sz w:val="28"/>
                        <w:szCs w:val="24"/>
                      </w:rPr>
                      <w:instrText xml:space="preserve"> PAGE  \* MERGEFORMAT </w:instrText>
                    </w:r>
                    <w:r>
                      <w:rPr>
                        <w:rFonts w:hint="eastAsia" w:ascii="宋体" w:hAnsi="宋体" w:cs="宋体"/>
                        <w:sz w:val="28"/>
                        <w:szCs w:val="24"/>
                      </w:rPr>
                      <w:fldChar w:fldCharType="separate"/>
                    </w:r>
                    <w:r>
                      <w:rPr>
                        <w:rFonts w:hint="eastAsia" w:ascii="宋体" w:hAnsi="宋体" w:cs="宋体"/>
                        <w:sz w:val="28"/>
                        <w:szCs w:val="24"/>
                        <w:lang/>
                      </w:rPr>
                      <w:t>4</w:t>
                    </w:r>
                    <w:r>
                      <w:rPr>
                        <w:rFonts w:hint="eastAsia" w:ascii="宋体" w:hAnsi="宋体" w:cs="宋体"/>
                        <w:sz w:val="28"/>
                        <w:szCs w:val="24"/>
                        <w:lang/>
                      </w:rPr>
                      <w:fldChar w:fldCharType="end"/>
                    </w:r>
                    <w:r>
                      <w:rPr>
                        <w:rFonts w:hint="eastAsia" w:ascii="宋体" w:hAnsi="宋体" w:cs="宋体"/>
                        <w:sz w:val="28"/>
                        <w:szCs w:val="24"/>
                      </w:rPr>
                      <w:t xml:space="preserve"> </w:t>
                    </w:r>
                    <w:r>
                      <w:rPr>
                        <w:rFonts w:hint="default" w:ascii="宋体" w:hAnsi="宋体" w:cs="宋体"/>
                        <w:sz w:val="28"/>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B9AB"/>
    <w:multiLevelType w:val="multilevel"/>
    <w:tmpl w:val="A7BBB9AB"/>
    <w:lvl w:ilvl="0" w:tentative="0">
      <w:start w:val="1"/>
      <w:numFmt w:val="chineseCounting"/>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1">
    <w:nsid w:val="ADA76319"/>
    <w:multiLevelType w:val="multilevel"/>
    <w:tmpl w:val="ADA76319"/>
    <w:lvl w:ilvl="0" w:tentative="0">
      <w:start w:val="1"/>
      <w:numFmt w:val="decimal"/>
      <w:lvlText w:val="%1."/>
      <w:lvlJc w:val="left"/>
      <w:pPr>
        <w:tabs>
          <w:tab w:val="left" w:pos="312"/>
        </w:tabs>
      </w:pPr>
      <w:rPr>
        <w:rFonts w:hint="default" w:ascii="Times New Roman" w:hAnsi="Times New Roman" w:eastAsia="Times New Roman" w:cs="Times New Roman"/>
        <w:u w:val="none" w:color="auto"/>
      </w:rPr>
    </w:lvl>
    <w:lvl w:ilvl="1" w:tentative="0">
      <w:start w:val="1"/>
      <w:numFmt w:val="decimal"/>
      <w:lvlText w:val=""/>
      <w:lvlJc w:val="left"/>
      <w:rPr>
        <w:rFonts w:hint="default" w:ascii="Times New Roman" w:hAnsi="Times New Roman" w:eastAsia="Times New Roman" w:cs="Times New Roman"/>
        <w:u w:val="none" w:color="auto"/>
      </w:rPr>
    </w:lvl>
    <w:lvl w:ilvl="2" w:tentative="0">
      <w:start w:val="1"/>
      <w:numFmt w:val="decimal"/>
      <w:lvlText w:val=""/>
      <w:lvlJc w:val="left"/>
      <w:rPr>
        <w:rFonts w:hint="default" w:ascii="Times New Roman" w:hAnsi="Times New Roman" w:eastAsia="Times New Roman" w:cs="Times New Roman"/>
        <w:u w:val="none" w:color="auto"/>
      </w:rPr>
    </w:lvl>
    <w:lvl w:ilvl="3" w:tentative="0">
      <w:start w:val="1"/>
      <w:numFmt w:val="decimal"/>
      <w:lvlText w:val=""/>
      <w:lvlJc w:val="left"/>
      <w:rPr>
        <w:rFonts w:hint="default" w:ascii="Times New Roman" w:hAnsi="Times New Roman" w:eastAsia="Times New Roman" w:cs="Times New Roman"/>
        <w:u w:val="none" w:color="auto"/>
      </w:rPr>
    </w:lvl>
    <w:lvl w:ilvl="4" w:tentative="0">
      <w:start w:val="1"/>
      <w:numFmt w:val="decimal"/>
      <w:lvlText w:val=""/>
      <w:lvlJc w:val="left"/>
      <w:rPr>
        <w:rFonts w:hint="default" w:ascii="Times New Roman" w:hAnsi="Times New Roman" w:eastAsia="Times New Roman" w:cs="Times New Roman"/>
        <w:u w:val="none" w:color="auto"/>
      </w:rPr>
    </w:lvl>
    <w:lvl w:ilvl="5" w:tentative="0">
      <w:start w:val="1"/>
      <w:numFmt w:val="decimal"/>
      <w:lvlText w:val=""/>
      <w:lvlJc w:val="left"/>
      <w:rPr>
        <w:rFonts w:hint="default" w:ascii="Times New Roman" w:hAnsi="Times New Roman" w:eastAsia="Times New Roman" w:cs="Times New Roman"/>
        <w:u w:val="none" w:color="auto"/>
      </w:rPr>
    </w:lvl>
    <w:lvl w:ilvl="6" w:tentative="0">
      <w:start w:val="1"/>
      <w:numFmt w:val="decimal"/>
      <w:lvlText w:val=""/>
      <w:lvlJc w:val="left"/>
      <w:rPr>
        <w:rFonts w:hint="default" w:ascii="Times New Roman" w:hAnsi="Times New Roman" w:eastAsia="Times New Roman" w:cs="Times New Roman"/>
        <w:u w:val="none" w:color="auto"/>
      </w:rPr>
    </w:lvl>
    <w:lvl w:ilvl="7" w:tentative="0">
      <w:start w:val="1"/>
      <w:numFmt w:val="decimal"/>
      <w:lvlText w:val=""/>
      <w:lvlJc w:val="left"/>
      <w:rPr>
        <w:rFonts w:hint="default" w:ascii="Times New Roman" w:hAnsi="Times New Roman" w:eastAsia="Times New Roman" w:cs="Times New Roman"/>
        <w:u w:val="none" w:color="auto"/>
      </w:rPr>
    </w:lvl>
    <w:lvl w:ilvl="8" w:tentative="0">
      <w:start w:val="1"/>
      <w:numFmt w:val="decimal"/>
      <w:lvlText w:val=""/>
      <w:lvlJc w:val="left"/>
      <w:rPr>
        <w:rFonts w:hint="default" w:ascii="Times New Roman" w:hAnsi="Times New Roman" w:eastAsia="Times New Roman" w:cs="Times New Roman"/>
        <w:u w:val="none" w:color="auto"/>
      </w:rPr>
    </w:lvl>
  </w:abstractNum>
  <w:abstractNum w:abstractNumId="2">
    <w:nsid w:val="E536E67A"/>
    <w:multiLevelType w:val="multilevel"/>
    <w:tmpl w:val="E536E67A"/>
    <w:lvl w:ilvl="0" w:tentative="0">
      <w:start w:val="2"/>
      <w:numFmt w:val="decimal"/>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3">
    <w:nsid w:val="1A0D6946"/>
    <w:multiLevelType w:val="multilevel"/>
    <w:tmpl w:val="1A0D6946"/>
    <w:lvl w:ilvl="0" w:tentative="0">
      <w:start w:val="1"/>
      <w:numFmt w:val="chineseCounting"/>
      <w:suff w:val="nothing"/>
      <w:lvlText w:val="%1、"/>
      <w:lvlJc w:val="left"/>
      <w:rPr>
        <w:rFonts w:hint="default" w:ascii="Times New Roman" w:hAnsi="Times New Roman" w:eastAsia="Times New Roman" w:cs="Times New Roman"/>
        <w:u w:val="none" w:color="auto"/>
      </w:rPr>
    </w:lvl>
    <w:lvl w:ilvl="1" w:tentative="0">
      <w:start w:val="1"/>
      <w:numFmt w:val="decimal"/>
      <w:lvlText w:val=""/>
      <w:lvlJc w:val="left"/>
      <w:rPr>
        <w:rFonts w:hint="default" w:ascii="Times New Roman" w:hAnsi="Times New Roman" w:eastAsia="Times New Roman" w:cs="Times New Roman"/>
        <w:u w:val="none" w:color="auto"/>
      </w:rPr>
    </w:lvl>
    <w:lvl w:ilvl="2" w:tentative="0">
      <w:start w:val="1"/>
      <w:numFmt w:val="decimal"/>
      <w:lvlText w:val=""/>
      <w:lvlJc w:val="left"/>
      <w:rPr>
        <w:rFonts w:hint="default" w:ascii="Times New Roman" w:hAnsi="Times New Roman" w:eastAsia="Times New Roman" w:cs="Times New Roman"/>
        <w:u w:val="none" w:color="auto"/>
      </w:rPr>
    </w:lvl>
    <w:lvl w:ilvl="3" w:tentative="0">
      <w:start w:val="1"/>
      <w:numFmt w:val="decimal"/>
      <w:lvlText w:val=""/>
      <w:lvlJc w:val="left"/>
      <w:rPr>
        <w:rFonts w:hint="default" w:ascii="Times New Roman" w:hAnsi="Times New Roman" w:eastAsia="Times New Roman" w:cs="Times New Roman"/>
        <w:u w:val="none" w:color="auto"/>
      </w:rPr>
    </w:lvl>
    <w:lvl w:ilvl="4" w:tentative="0">
      <w:start w:val="1"/>
      <w:numFmt w:val="decimal"/>
      <w:lvlText w:val=""/>
      <w:lvlJc w:val="left"/>
      <w:rPr>
        <w:rFonts w:hint="default" w:ascii="Times New Roman" w:hAnsi="Times New Roman" w:eastAsia="Times New Roman" w:cs="Times New Roman"/>
        <w:u w:val="none" w:color="auto"/>
      </w:rPr>
    </w:lvl>
    <w:lvl w:ilvl="5" w:tentative="0">
      <w:start w:val="1"/>
      <w:numFmt w:val="decimal"/>
      <w:lvlText w:val=""/>
      <w:lvlJc w:val="left"/>
      <w:rPr>
        <w:rFonts w:hint="default" w:ascii="Times New Roman" w:hAnsi="Times New Roman" w:eastAsia="Times New Roman" w:cs="Times New Roman"/>
        <w:u w:val="none" w:color="auto"/>
      </w:rPr>
    </w:lvl>
    <w:lvl w:ilvl="6" w:tentative="0">
      <w:start w:val="1"/>
      <w:numFmt w:val="decimal"/>
      <w:lvlText w:val=""/>
      <w:lvlJc w:val="left"/>
      <w:rPr>
        <w:rFonts w:hint="default" w:ascii="Times New Roman" w:hAnsi="Times New Roman" w:eastAsia="Times New Roman" w:cs="Times New Roman"/>
        <w:u w:val="none" w:color="auto"/>
      </w:rPr>
    </w:lvl>
    <w:lvl w:ilvl="7" w:tentative="0">
      <w:start w:val="1"/>
      <w:numFmt w:val="decimal"/>
      <w:lvlText w:val=""/>
      <w:lvlJc w:val="left"/>
      <w:rPr>
        <w:rFonts w:hint="default" w:ascii="Times New Roman" w:hAnsi="Times New Roman" w:eastAsia="Times New Roman" w:cs="Times New Roman"/>
        <w:u w:val="none" w:color="auto"/>
      </w:rPr>
    </w:lvl>
    <w:lvl w:ilvl="8" w:tentative="0">
      <w:start w:val="1"/>
      <w:numFmt w:val="decimal"/>
      <w:lvlText w:val=""/>
      <w:lvlJc w:val="left"/>
      <w:rPr>
        <w:rFonts w:hint="default" w:ascii="Times New Roman" w:hAnsi="Times New Roman" w:eastAsia="Times New Roman" w:cs="Times New Roman"/>
        <w:u w:val="none" w:color="auto"/>
      </w:rPr>
    </w:lvl>
  </w:abstractNum>
  <w:abstractNum w:abstractNumId="4">
    <w:nsid w:val="5BF297DF"/>
    <w:multiLevelType w:val="multilevel"/>
    <w:tmpl w:val="5BF297DF"/>
    <w:lvl w:ilvl="0" w:tentative="0">
      <w:start w:val="2"/>
      <w:numFmt w:val="chineseCounting"/>
      <w:suff w:val="nothing"/>
      <w:lvlText w:val="%1、"/>
      <w:lvlJc w:val="left"/>
      <w:rPr>
        <w:rFonts w:hint="default" w:ascii="Times New Roman" w:hAnsi="Times New Roman" w:eastAsia="Times New Roman" w:cs="Times New Roman"/>
        <w:u w:val="none" w:color="auto"/>
      </w:rPr>
    </w:lvl>
    <w:lvl w:ilvl="1" w:tentative="0">
      <w:start w:val="1"/>
      <w:numFmt w:val="decimal"/>
      <w:lvlText w:val=""/>
      <w:lvlJc w:val="left"/>
      <w:rPr>
        <w:rFonts w:hint="default" w:ascii="Times New Roman" w:hAnsi="Times New Roman" w:eastAsia="Times New Roman" w:cs="Times New Roman"/>
        <w:u w:val="none" w:color="auto"/>
      </w:rPr>
    </w:lvl>
    <w:lvl w:ilvl="2" w:tentative="0">
      <w:start w:val="1"/>
      <w:numFmt w:val="decimal"/>
      <w:lvlText w:val=""/>
      <w:lvlJc w:val="left"/>
      <w:rPr>
        <w:rFonts w:hint="default" w:ascii="Times New Roman" w:hAnsi="Times New Roman" w:eastAsia="Times New Roman" w:cs="Times New Roman"/>
        <w:u w:val="none" w:color="auto"/>
      </w:rPr>
    </w:lvl>
    <w:lvl w:ilvl="3" w:tentative="0">
      <w:start w:val="1"/>
      <w:numFmt w:val="decimal"/>
      <w:lvlText w:val=""/>
      <w:lvlJc w:val="left"/>
      <w:rPr>
        <w:rFonts w:hint="default" w:ascii="Times New Roman" w:hAnsi="Times New Roman" w:eastAsia="Times New Roman" w:cs="Times New Roman"/>
        <w:u w:val="none" w:color="auto"/>
      </w:rPr>
    </w:lvl>
    <w:lvl w:ilvl="4" w:tentative="0">
      <w:start w:val="1"/>
      <w:numFmt w:val="decimal"/>
      <w:lvlText w:val=""/>
      <w:lvlJc w:val="left"/>
      <w:rPr>
        <w:rFonts w:hint="default" w:ascii="Times New Roman" w:hAnsi="Times New Roman" w:eastAsia="Times New Roman" w:cs="Times New Roman"/>
        <w:u w:val="none" w:color="auto"/>
      </w:rPr>
    </w:lvl>
    <w:lvl w:ilvl="5" w:tentative="0">
      <w:start w:val="1"/>
      <w:numFmt w:val="decimal"/>
      <w:lvlText w:val=""/>
      <w:lvlJc w:val="left"/>
      <w:rPr>
        <w:rFonts w:hint="default" w:ascii="Times New Roman" w:hAnsi="Times New Roman" w:eastAsia="Times New Roman" w:cs="Times New Roman"/>
        <w:u w:val="none" w:color="auto"/>
      </w:rPr>
    </w:lvl>
    <w:lvl w:ilvl="6" w:tentative="0">
      <w:start w:val="1"/>
      <w:numFmt w:val="decimal"/>
      <w:lvlText w:val=""/>
      <w:lvlJc w:val="left"/>
      <w:rPr>
        <w:rFonts w:hint="default" w:ascii="Times New Roman" w:hAnsi="Times New Roman" w:eastAsia="Times New Roman" w:cs="Times New Roman"/>
        <w:u w:val="none" w:color="auto"/>
      </w:rPr>
    </w:lvl>
    <w:lvl w:ilvl="7" w:tentative="0">
      <w:start w:val="1"/>
      <w:numFmt w:val="decimal"/>
      <w:lvlText w:val=""/>
      <w:lvlJc w:val="left"/>
      <w:rPr>
        <w:rFonts w:hint="default" w:ascii="Times New Roman" w:hAnsi="Times New Roman" w:eastAsia="Times New Roman" w:cs="Times New Roman"/>
        <w:u w:val="none" w:color="auto"/>
      </w:rPr>
    </w:lvl>
    <w:lvl w:ilvl="8" w:tentative="0">
      <w:start w:val="1"/>
      <w:numFmt w:val="decimal"/>
      <w:lvlText w:val=""/>
      <w:lvlJc w:val="left"/>
      <w:rPr>
        <w:rFonts w:hint="default" w:ascii="Times New Roman" w:hAnsi="Times New Roman" w:eastAsia="Times New Roman" w:cs="Times New Roman"/>
        <w:u w:val="none" w:color="auto"/>
      </w:rPr>
    </w:lvl>
  </w:abstractNum>
  <w:abstractNum w:abstractNumId="5">
    <w:nsid w:val="6B08397D"/>
    <w:multiLevelType w:val="multilevel"/>
    <w:tmpl w:val="6B08397D"/>
    <w:lvl w:ilvl="0" w:tentative="0">
      <w:start w:val="5"/>
      <w:numFmt w:val="chineseCounting"/>
      <w:suff w:val="space"/>
      <w:lvlText w:val="第%1部分"/>
      <w:lvlJc w:val="left"/>
      <w:rPr>
        <w:rFonts w:hint="default" w:ascii="黑体" w:hAnsi="黑体" w:eastAsia="黑体" w:cs="Times New Roman"/>
        <w:u w:val="none" w:color="auto"/>
      </w:rPr>
    </w:lvl>
    <w:lvl w:ilvl="1" w:tentative="0">
      <w:start w:val="1"/>
      <w:numFmt w:val="decimal"/>
      <w:lvlText w:val="第"/>
      <w:lvlJc w:val="left"/>
      <w:rPr>
        <w:rFonts w:hint="default" w:ascii="Times New Roman" w:hAnsi="Times New Roman" w:eastAsia="Times New Roman" w:cs="Times New Roman"/>
        <w:u w:val="none" w:color="auto"/>
      </w:rPr>
    </w:lvl>
    <w:lvl w:ilvl="2" w:tentative="0">
      <w:start w:val="1"/>
      <w:numFmt w:val="decimal"/>
      <w:lvlText w:val="第"/>
      <w:lvlJc w:val="left"/>
      <w:rPr>
        <w:rFonts w:hint="default" w:ascii="Times New Roman" w:hAnsi="Times New Roman" w:eastAsia="Times New Roman" w:cs="Times New Roman"/>
        <w:u w:val="none" w:color="auto"/>
      </w:rPr>
    </w:lvl>
    <w:lvl w:ilvl="3" w:tentative="0">
      <w:start w:val="1"/>
      <w:numFmt w:val="decimal"/>
      <w:lvlText w:val="第"/>
      <w:lvlJc w:val="left"/>
      <w:rPr>
        <w:rFonts w:hint="default" w:ascii="Times New Roman" w:hAnsi="Times New Roman" w:eastAsia="Times New Roman" w:cs="Times New Roman"/>
        <w:u w:val="none" w:color="auto"/>
      </w:rPr>
    </w:lvl>
    <w:lvl w:ilvl="4" w:tentative="0">
      <w:start w:val="1"/>
      <w:numFmt w:val="decimal"/>
      <w:lvlText w:val="第"/>
      <w:lvlJc w:val="left"/>
      <w:rPr>
        <w:rFonts w:hint="default" w:ascii="Times New Roman" w:hAnsi="Times New Roman" w:eastAsia="Times New Roman" w:cs="Times New Roman"/>
        <w:u w:val="none" w:color="auto"/>
      </w:rPr>
    </w:lvl>
    <w:lvl w:ilvl="5" w:tentative="0">
      <w:start w:val="1"/>
      <w:numFmt w:val="decimal"/>
      <w:lvlText w:val="第"/>
      <w:lvlJc w:val="left"/>
      <w:rPr>
        <w:rFonts w:hint="default" w:ascii="Times New Roman" w:hAnsi="Times New Roman" w:eastAsia="Times New Roman" w:cs="Times New Roman"/>
        <w:u w:val="none" w:color="auto"/>
      </w:rPr>
    </w:lvl>
    <w:lvl w:ilvl="6" w:tentative="0">
      <w:start w:val="1"/>
      <w:numFmt w:val="decimal"/>
      <w:lvlText w:val="第"/>
      <w:lvlJc w:val="left"/>
      <w:rPr>
        <w:rFonts w:hint="default" w:ascii="Times New Roman" w:hAnsi="Times New Roman" w:eastAsia="Times New Roman" w:cs="Times New Roman"/>
        <w:u w:val="none" w:color="auto"/>
      </w:rPr>
    </w:lvl>
    <w:lvl w:ilvl="7" w:tentative="0">
      <w:start w:val="1"/>
      <w:numFmt w:val="decimal"/>
      <w:lvlText w:val="第"/>
      <w:lvlJc w:val="left"/>
      <w:rPr>
        <w:rFonts w:hint="default" w:ascii="Times New Roman" w:hAnsi="Times New Roman" w:eastAsia="Times New Roman" w:cs="Times New Roman"/>
        <w:u w:val="none" w:color="auto"/>
      </w:rPr>
    </w:lvl>
    <w:lvl w:ilvl="8" w:tentative="0">
      <w:start w:val="1"/>
      <w:numFmt w:val="decimal"/>
      <w:lvlText w:val="第"/>
      <w:lvlJc w:val="left"/>
      <w:rPr>
        <w:rFonts w:hint="default" w:ascii="Times New Roman" w:hAnsi="Times New Roman" w:eastAsia="Times New Roman" w:cs="Times New Roman"/>
        <w:u w:val="none" w:color="auto"/>
      </w:rPr>
    </w:lvl>
  </w:abstractNum>
  <w:abstractNum w:abstractNumId="6">
    <w:nsid w:val="6DA7490C"/>
    <w:multiLevelType w:val="multilevel"/>
    <w:tmpl w:val="6DA7490C"/>
    <w:lvl w:ilvl="0" w:tentative="0">
      <w:start w:val="3"/>
      <w:numFmt w:val="chineseCounting"/>
      <w:suff w:val="nothing"/>
      <w:lvlText w:val="（%1）"/>
      <w:lvlJc w:val="left"/>
      <w:rPr>
        <w:rFonts w:hint="default" w:ascii="Times New Roman" w:hAnsi="Times New Roman" w:eastAsia="Times New Roman" w:cs="Times New Roman"/>
        <w:u w:val="none" w:color="auto"/>
      </w:rPr>
    </w:lvl>
    <w:lvl w:ilvl="1" w:tentative="0">
      <w:start w:val="1"/>
      <w:numFmt w:val="decimal"/>
      <w:lvlText w:val="（"/>
      <w:lvlJc w:val="left"/>
      <w:rPr>
        <w:rFonts w:hint="default" w:ascii="Times New Roman" w:hAnsi="Times New Roman" w:eastAsia="Times New Roman" w:cs="Times New Roman"/>
        <w:u w:val="none" w:color="auto"/>
      </w:rPr>
    </w:lvl>
    <w:lvl w:ilvl="2" w:tentative="0">
      <w:start w:val="1"/>
      <w:numFmt w:val="decimal"/>
      <w:lvlText w:val="（"/>
      <w:lvlJc w:val="left"/>
      <w:rPr>
        <w:rFonts w:hint="default" w:ascii="Times New Roman" w:hAnsi="Times New Roman" w:eastAsia="Times New Roman" w:cs="Times New Roman"/>
        <w:u w:val="none" w:color="auto"/>
      </w:rPr>
    </w:lvl>
    <w:lvl w:ilvl="3" w:tentative="0">
      <w:start w:val="1"/>
      <w:numFmt w:val="decimal"/>
      <w:lvlText w:val="（"/>
      <w:lvlJc w:val="left"/>
      <w:rPr>
        <w:rFonts w:hint="default" w:ascii="Times New Roman" w:hAnsi="Times New Roman" w:eastAsia="Times New Roman" w:cs="Times New Roman"/>
        <w:u w:val="none" w:color="auto"/>
      </w:rPr>
    </w:lvl>
    <w:lvl w:ilvl="4" w:tentative="0">
      <w:start w:val="1"/>
      <w:numFmt w:val="decimal"/>
      <w:lvlText w:val="（"/>
      <w:lvlJc w:val="left"/>
      <w:rPr>
        <w:rFonts w:hint="default" w:ascii="Times New Roman" w:hAnsi="Times New Roman" w:eastAsia="Times New Roman" w:cs="Times New Roman"/>
        <w:u w:val="none" w:color="auto"/>
      </w:rPr>
    </w:lvl>
    <w:lvl w:ilvl="5" w:tentative="0">
      <w:start w:val="1"/>
      <w:numFmt w:val="decimal"/>
      <w:lvlText w:val="（"/>
      <w:lvlJc w:val="left"/>
      <w:rPr>
        <w:rFonts w:hint="default" w:ascii="Times New Roman" w:hAnsi="Times New Roman" w:eastAsia="Times New Roman" w:cs="Times New Roman"/>
        <w:u w:val="none" w:color="auto"/>
      </w:rPr>
    </w:lvl>
    <w:lvl w:ilvl="6" w:tentative="0">
      <w:start w:val="1"/>
      <w:numFmt w:val="decimal"/>
      <w:lvlText w:val="（"/>
      <w:lvlJc w:val="left"/>
      <w:rPr>
        <w:rFonts w:hint="default" w:ascii="Times New Roman" w:hAnsi="Times New Roman" w:eastAsia="Times New Roman" w:cs="Times New Roman"/>
        <w:u w:val="none" w:color="auto"/>
      </w:rPr>
    </w:lvl>
    <w:lvl w:ilvl="7" w:tentative="0">
      <w:start w:val="1"/>
      <w:numFmt w:val="decimal"/>
      <w:lvlText w:val="（"/>
      <w:lvlJc w:val="left"/>
      <w:rPr>
        <w:rFonts w:hint="default" w:ascii="Times New Roman" w:hAnsi="Times New Roman" w:eastAsia="Times New Roman" w:cs="Times New Roman"/>
        <w:u w:val="none" w:color="auto"/>
      </w:rPr>
    </w:lvl>
    <w:lvl w:ilvl="8" w:tentative="0">
      <w:start w:val="1"/>
      <w:numFmt w:val="decimal"/>
      <w:lvlText w:val="（"/>
      <w:lvlJc w:val="left"/>
      <w:rPr>
        <w:rFonts w:hint="default" w:ascii="Times New Roman" w:hAnsi="Times New Roman" w:eastAsia="Times New Roman" w:cs="Times New Roman"/>
        <w:u w:val="none" w:color="auto"/>
      </w:rPr>
    </w:lvl>
  </w:abstractNum>
  <w:abstractNum w:abstractNumId="7">
    <w:nsid w:val="75F781E6"/>
    <w:multiLevelType w:val="multilevel"/>
    <w:tmpl w:val="75F781E6"/>
    <w:lvl w:ilvl="0" w:tentative="0">
      <w:start w:val="2"/>
      <w:numFmt w:val="chineseCounting"/>
      <w:suff w:val="nothing"/>
      <w:lvlText w:val="（%1）"/>
      <w:lvlJc w:val="left"/>
      <w:rPr>
        <w:rFonts w:hint="default" w:ascii="Times New Roman" w:hAnsi="Times New Roman" w:eastAsia="Times New Roman" w:cs="Times New Roman"/>
        <w:u w:val="none" w:color="auto"/>
      </w:rPr>
    </w:lvl>
    <w:lvl w:ilvl="1" w:tentative="0">
      <w:start w:val="1"/>
      <w:numFmt w:val="decimal"/>
      <w:lvlText w:val="（"/>
      <w:lvlJc w:val="left"/>
      <w:rPr>
        <w:rFonts w:hint="default" w:ascii="Times New Roman" w:hAnsi="Times New Roman" w:eastAsia="Times New Roman" w:cs="Times New Roman"/>
        <w:u w:val="none" w:color="auto"/>
      </w:rPr>
    </w:lvl>
    <w:lvl w:ilvl="2" w:tentative="0">
      <w:start w:val="1"/>
      <w:numFmt w:val="decimal"/>
      <w:lvlText w:val="（"/>
      <w:lvlJc w:val="left"/>
      <w:rPr>
        <w:rFonts w:hint="default" w:ascii="Times New Roman" w:hAnsi="Times New Roman" w:eastAsia="Times New Roman" w:cs="Times New Roman"/>
        <w:u w:val="none" w:color="auto"/>
      </w:rPr>
    </w:lvl>
    <w:lvl w:ilvl="3" w:tentative="0">
      <w:start w:val="1"/>
      <w:numFmt w:val="decimal"/>
      <w:lvlText w:val="（"/>
      <w:lvlJc w:val="left"/>
      <w:rPr>
        <w:rFonts w:hint="default" w:ascii="Times New Roman" w:hAnsi="Times New Roman" w:eastAsia="Times New Roman" w:cs="Times New Roman"/>
        <w:u w:val="none" w:color="auto"/>
      </w:rPr>
    </w:lvl>
    <w:lvl w:ilvl="4" w:tentative="0">
      <w:start w:val="1"/>
      <w:numFmt w:val="decimal"/>
      <w:lvlText w:val="（"/>
      <w:lvlJc w:val="left"/>
      <w:rPr>
        <w:rFonts w:hint="default" w:ascii="Times New Roman" w:hAnsi="Times New Roman" w:eastAsia="Times New Roman" w:cs="Times New Roman"/>
        <w:u w:val="none" w:color="auto"/>
      </w:rPr>
    </w:lvl>
    <w:lvl w:ilvl="5" w:tentative="0">
      <w:start w:val="1"/>
      <w:numFmt w:val="decimal"/>
      <w:lvlText w:val="（"/>
      <w:lvlJc w:val="left"/>
      <w:rPr>
        <w:rFonts w:hint="default" w:ascii="Times New Roman" w:hAnsi="Times New Roman" w:eastAsia="Times New Roman" w:cs="Times New Roman"/>
        <w:u w:val="none" w:color="auto"/>
      </w:rPr>
    </w:lvl>
    <w:lvl w:ilvl="6" w:tentative="0">
      <w:start w:val="1"/>
      <w:numFmt w:val="decimal"/>
      <w:lvlText w:val="（"/>
      <w:lvlJc w:val="left"/>
      <w:rPr>
        <w:rFonts w:hint="default" w:ascii="Times New Roman" w:hAnsi="Times New Roman" w:eastAsia="Times New Roman" w:cs="Times New Roman"/>
        <w:u w:val="none" w:color="auto"/>
      </w:rPr>
    </w:lvl>
    <w:lvl w:ilvl="7" w:tentative="0">
      <w:start w:val="1"/>
      <w:numFmt w:val="decimal"/>
      <w:lvlText w:val="（"/>
      <w:lvlJc w:val="left"/>
      <w:rPr>
        <w:rFonts w:hint="default" w:ascii="Times New Roman" w:hAnsi="Times New Roman" w:eastAsia="Times New Roman" w:cs="Times New Roman"/>
        <w:u w:val="none" w:color="auto"/>
      </w:rPr>
    </w:lvl>
    <w:lvl w:ilvl="8" w:tentative="0">
      <w:start w:val="1"/>
      <w:numFmt w:val="decimal"/>
      <w:lvlText w:val="（"/>
      <w:lvlJc w:val="left"/>
      <w:rPr>
        <w:rFonts w:hint="default" w:ascii="Times New Roman" w:hAnsi="Times New Roman" w:eastAsia="Times New Roman" w:cs="Times New Roman"/>
        <w:u w:val="none" w:color="auto"/>
      </w:rPr>
    </w:lvl>
  </w:abstractNum>
  <w:abstractNum w:abstractNumId="8">
    <w:nsid w:val="7E9C3FB4"/>
    <w:multiLevelType w:val="multilevel"/>
    <w:tmpl w:val="7E9C3FB4"/>
    <w:lvl w:ilvl="0" w:tentative="0">
      <w:start w:val="2"/>
      <w:numFmt w:val="chineseCounting"/>
      <w:lvlText w:val="(%1)"/>
      <w:lvlJc w:val="left"/>
      <w:pPr>
        <w:tabs>
          <w:tab w:val="left" w:pos="312"/>
        </w:tabs>
      </w:pPr>
      <w:rPr>
        <w:rFonts w:hint="default" w:ascii="Times New Roman" w:hAnsi="Times New Roman" w:eastAsia="Times New Roman" w:cs="Times New Roman"/>
        <w:u w:val="none" w:color="auto"/>
      </w:rPr>
    </w:lvl>
    <w:lvl w:ilvl="1" w:tentative="0">
      <w:start w:val="1"/>
      <w:numFmt w:val="decimal"/>
      <w:lvlText w:val="("/>
      <w:lvlJc w:val="left"/>
      <w:rPr>
        <w:rFonts w:hint="default" w:ascii="Times New Roman" w:hAnsi="Times New Roman" w:eastAsia="Times New Roman" w:cs="Times New Roman"/>
        <w:u w:val="none" w:color="auto"/>
      </w:rPr>
    </w:lvl>
    <w:lvl w:ilvl="2" w:tentative="0">
      <w:start w:val="1"/>
      <w:numFmt w:val="decimal"/>
      <w:lvlText w:val="("/>
      <w:lvlJc w:val="left"/>
      <w:rPr>
        <w:rFonts w:hint="default" w:ascii="Times New Roman" w:hAnsi="Times New Roman" w:eastAsia="Times New Roman" w:cs="Times New Roman"/>
        <w:u w:val="none" w:color="auto"/>
      </w:rPr>
    </w:lvl>
    <w:lvl w:ilvl="3" w:tentative="0">
      <w:start w:val="1"/>
      <w:numFmt w:val="decimal"/>
      <w:lvlText w:val="("/>
      <w:lvlJc w:val="left"/>
      <w:rPr>
        <w:rFonts w:hint="default" w:ascii="Times New Roman" w:hAnsi="Times New Roman" w:eastAsia="Times New Roman" w:cs="Times New Roman"/>
        <w:u w:val="none" w:color="auto"/>
      </w:rPr>
    </w:lvl>
    <w:lvl w:ilvl="4" w:tentative="0">
      <w:start w:val="1"/>
      <w:numFmt w:val="decimal"/>
      <w:lvlText w:val="("/>
      <w:lvlJc w:val="left"/>
      <w:rPr>
        <w:rFonts w:hint="default" w:ascii="Times New Roman" w:hAnsi="Times New Roman" w:eastAsia="Times New Roman" w:cs="Times New Roman"/>
        <w:u w:val="none" w:color="auto"/>
      </w:rPr>
    </w:lvl>
    <w:lvl w:ilvl="5" w:tentative="0">
      <w:start w:val="1"/>
      <w:numFmt w:val="decimal"/>
      <w:lvlText w:val="("/>
      <w:lvlJc w:val="left"/>
      <w:rPr>
        <w:rFonts w:hint="default" w:ascii="Times New Roman" w:hAnsi="Times New Roman" w:eastAsia="Times New Roman" w:cs="Times New Roman"/>
        <w:u w:val="none" w:color="auto"/>
      </w:rPr>
    </w:lvl>
    <w:lvl w:ilvl="6" w:tentative="0">
      <w:start w:val="1"/>
      <w:numFmt w:val="decimal"/>
      <w:lvlText w:val="("/>
      <w:lvlJc w:val="left"/>
      <w:rPr>
        <w:rFonts w:hint="default" w:ascii="Times New Roman" w:hAnsi="Times New Roman" w:eastAsia="Times New Roman" w:cs="Times New Roman"/>
        <w:u w:val="none" w:color="auto"/>
      </w:rPr>
    </w:lvl>
    <w:lvl w:ilvl="7" w:tentative="0">
      <w:start w:val="1"/>
      <w:numFmt w:val="decimal"/>
      <w:lvlText w:val="("/>
      <w:lvlJc w:val="left"/>
      <w:rPr>
        <w:rFonts w:hint="default" w:ascii="Times New Roman" w:hAnsi="Times New Roman" w:eastAsia="Times New Roman" w:cs="Times New Roman"/>
        <w:u w:val="none" w:color="auto"/>
      </w:rPr>
    </w:lvl>
    <w:lvl w:ilvl="8" w:tentative="0">
      <w:start w:val="1"/>
      <w:numFmt w:val="decimal"/>
      <w:lvlText w:val="("/>
      <w:lvlJc w:val="left"/>
      <w:rPr>
        <w:rFonts w:hint="default" w:ascii="Times New Roman" w:hAnsi="Times New Roman" w:eastAsia="Times New Roman" w:cs="Times New Roman"/>
        <w:u w:val="none" w:color="auto"/>
      </w:rPr>
    </w:lvl>
  </w:abstractNum>
  <w:num w:numId="1">
    <w:abstractNumId w:val="4"/>
  </w:num>
  <w:num w:numId="2">
    <w:abstractNumId w:val="8"/>
  </w:num>
  <w:num w:numId="3">
    <w:abstractNumId w:val="6"/>
  </w:num>
  <w:num w:numId="4">
    <w:abstractNumId w:val="1"/>
  </w:num>
  <w:num w:numId="5">
    <w:abstractNumId w:val="0"/>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0D3F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link w:val="13"/>
    <w:unhideWhenUsed/>
    <w:qFormat/>
    <w:uiPriority w:val="99"/>
    <w:pPr>
      <w:spacing w:beforeLines="0" w:afterLines="0"/>
      <w:outlineLvl w:val="0"/>
    </w:pPr>
    <w:rPr>
      <w:rFonts w:hint="eastAsia"/>
      <w:sz w:val="24"/>
      <w:szCs w:val="24"/>
    </w:rPr>
  </w:style>
  <w:style w:type="paragraph" w:styleId="4">
    <w:name w:val="heading 2"/>
    <w:basedOn w:val="1"/>
    <w:link w:val="14"/>
    <w:unhideWhenUsed/>
    <w:qFormat/>
    <w:uiPriority w:val="99"/>
    <w:pPr>
      <w:spacing w:beforeLines="0" w:afterLines="0"/>
      <w:outlineLvl w:val="1"/>
    </w:pPr>
    <w:rPr>
      <w:rFonts w:hint="eastAsia"/>
      <w:sz w:val="24"/>
      <w:szCs w:val="24"/>
    </w:rPr>
  </w:style>
  <w:style w:type="character" w:default="1" w:styleId="11">
    <w:name w:val="Default Paragraph Font"/>
    <w:unhideWhenUsed/>
    <w:uiPriority w:val="99"/>
    <w:rPr>
      <w:rFonts w:hint="default"/>
      <w:sz w:val="24"/>
      <w:szCs w:val="24"/>
    </w:rPr>
  </w:style>
  <w:style w:type="table" w:default="1" w:styleId="10">
    <w:name w:val="Normal Table"/>
    <w:semiHidden/>
    <w:unhideWhenUsed/>
    <w:uiPriority w:val="0"/>
    <w:tblPr>
      <w:tblCellMar>
        <w:top w:w="0" w:type="dxa"/>
        <w:left w:w="108" w:type="dxa"/>
        <w:bottom w:w="0" w:type="dxa"/>
        <w:right w:w="108" w:type="dxa"/>
      </w:tblCellMar>
    </w:tblPr>
  </w:style>
  <w:style w:type="paragraph" w:styleId="2">
    <w:name w:val="Body Text"/>
    <w:basedOn w:val="1"/>
    <w:link w:val="15"/>
    <w:unhideWhenUsed/>
    <w:qFormat/>
    <w:uiPriority w:val="99"/>
    <w:pPr>
      <w:spacing w:beforeLines="0" w:after="140" w:afterLines="0" w:line="276" w:lineRule="auto"/>
    </w:pPr>
    <w:rPr>
      <w:rFonts w:hint="eastAsia"/>
      <w:sz w:val="24"/>
      <w:szCs w:val="24"/>
    </w:rPr>
  </w:style>
  <w:style w:type="paragraph" w:styleId="5">
    <w:name w:val="Plain Text"/>
    <w:basedOn w:val="1"/>
    <w:link w:val="20"/>
    <w:unhideWhenUsed/>
    <w:qFormat/>
    <w:uiPriority w:val="99"/>
    <w:pPr>
      <w:spacing w:beforeLines="0" w:afterLines="0"/>
    </w:pPr>
    <w:rPr>
      <w:rFonts w:hint="eastAsia" w:ascii="宋体" w:hAnsi="Courier New"/>
      <w:sz w:val="24"/>
      <w:szCs w:val="24"/>
    </w:rPr>
  </w:style>
  <w:style w:type="paragraph" w:styleId="6">
    <w:name w:val="footer"/>
    <w:basedOn w:val="1"/>
    <w:link w:val="17"/>
    <w:unhideWhenUsed/>
    <w:qFormat/>
    <w:uiPriority w:val="99"/>
    <w:pPr>
      <w:tabs>
        <w:tab w:val="center" w:pos="4153"/>
        <w:tab w:val="right" w:pos="8306"/>
      </w:tabs>
      <w:snapToGrid w:val="0"/>
      <w:spacing w:beforeLines="0" w:afterLines="0"/>
    </w:pPr>
    <w:rPr>
      <w:rFonts w:hint="eastAsia"/>
      <w:sz w:val="18"/>
      <w:szCs w:val="24"/>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paragraph" w:styleId="8">
    <w:name w:val="toc 2"/>
    <w:basedOn w:val="1"/>
    <w:next w:val="1"/>
    <w:unhideWhenUsed/>
    <w:qFormat/>
    <w:uiPriority w:val="39"/>
    <w:pPr>
      <w:tabs>
        <w:tab w:val="right" w:leader="dot" w:pos="8296"/>
      </w:tabs>
      <w:spacing w:beforeLines="0" w:afterLines="0"/>
      <w:ind w:left="420" w:leftChars="200"/>
    </w:pPr>
    <w:rPr>
      <w:rFonts w:hint="eastAsia"/>
      <w:sz w:val="24"/>
      <w:szCs w:val="24"/>
    </w:rPr>
  </w:style>
  <w:style w:type="paragraph" w:styleId="9">
    <w:name w:val="Normal (Web)"/>
    <w:basedOn w:val="1"/>
    <w:unhideWhenUsed/>
    <w:qFormat/>
    <w:uiPriority w:val="99"/>
    <w:pPr>
      <w:spacing w:before="100" w:beforeLines="0" w:beforeAutospacing="1" w:after="100" w:afterLines="0" w:afterAutospacing="1"/>
    </w:pPr>
    <w:rPr>
      <w:rFonts w:hint="eastAsia"/>
      <w:sz w:val="24"/>
      <w:szCs w:val="24"/>
    </w:rPr>
  </w:style>
  <w:style w:type="character" w:styleId="12">
    <w:name w:val="Strong"/>
    <w:basedOn w:val="11"/>
    <w:unhideWhenUsed/>
    <w:qFormat/>
    <w:uiPriority w:val="99"/>
    <w:rPr>
      <w:rFonts w:hint="default" w:eastAsia="Times New Roman" w:cs="Times New Roman"/>
      <w:b/>
      <w:sz w:val="24"/>
      <w:szCs w:val="24"/>
    </w:rPr>
  </w:style>
  <w:style w:type="character" w:customStyle="1" w:styleId="13">
    <w:name w:val="标题 1 Char"/>
    <w:basedOn w:val="11"/>
    <w:link w:val="3"/>
    <w:unhideWhenUsed/>
    <w:locked/>
    <w:uiPriority w:val="9"/>
    <w:rPr>
      <w:rFonts w:hint="default" w:eastAsia="Times New Roman" w:cs="Times New Roman"/>
      <w:b/>
      <w:kern w:val="44"/>
      <w:sz w:val="44"/>
      <w:szCs w:val="24"/>
    </w:rPr>
  </w:style>
  <w:style w:type="character" w:customStyle="1" w:styleId="14">
    <w:name w:val="标题 2 Char"/>
    <w:basedOn w:val="11"/>
    <w:link w:val="4"/>
    <w:unhideWhenUsed/>
    <w:locked/>
    <w:uiPriority w:val="9"/>
    <w:rPr>
      <w:rFonts w:hint="default" w:ascii="Cambria" w:cs="Cambria"/>
      <w:b/>
      <w:sz w:val="32"/>
      <w:szCs w:val="24"/>
    </w:rPr>
  </w:style>
  <w:style w:type="character" w:customStyle="1" w:styleId="15">
    <w:name w:val="正文文本 Char"/>
    <w:basedOn w:val="11"/>
    <w:link w:val="2"/>
    <w:unhideWhenUsed/>
    <w:locked/>
    <w:uiPriority w:val="99"/>
    <w:rPr>
      <w:rFonts w:hint="default" w:eastAsia="Times New Roman" w:cs="Times New Roman"/>
      <w:sz w:val="24"/>
      <w:szCs w:val="24"/>
    </w:rPr>
  </w:style>
  <w:style w:type="character" w:customStyle="1" w:styleId="16">
    <w:name w:val="页眉 Char"/>
    <w:basedOn w:val="11"/>
    <w:link w:val="7"/>
    <w:unhideWhenUsed/>
    <w:locked/>
    <w:uiPriority w:val="99"/>
    <w:rPr>
      <w:rFonts w:hint="default" w:eastAsia="Times New Roman" w:cs="Times New Roman"/>
      <w:sz w:val="18"/>
      <w:szCs w:val="24"/>
    </w:rPr>
  </w:style>
  <w:style w:type="character" w:customStyle="1" w:styleId="17">
    <w:name w:val="页脚 Char"/>
    <w:basedOn w:val="11"/>
    <w:link w:val="6"/>
    <w:unhideWhenUsed/>
    <w:locked/>
    <w:uiPriority w:val="99"/>
    <w:rPr>
      <w:rFonts w:hint="default" w:eastAsia="Times New Roman" w:cs="Times New Roman"/>
      <w:sz w:val="18"/>
      <w:szCs w:val="24"/>
    </w:rPr>
  </w:style>
  <w:style w:type="character" w:customStyle="1" w:styleId="18">
    <w:name w:val="页眉 Char1"/>
    <w:basedOn w:val="11"/>
    <w:link w:val="7"/>
    <w:unhideWhenUsed/>
    <w:locked/>
    <w:uiPriority w:val="99"/>
    <w:rPr>
      <w:rFonts w:hint="default" w:cs="Times New Roman"/>
      <w:sz w:val="18"/>
      <w:szCs w:val="18"/>
    </w:rPr>
  </w:style>
  <w:style w:type="character" w:customStyle="1" w:styleId="19">
    <w:name w:val="页脚 Char1"/>
    <w:basedOn w:val="11"/>
    <w:link w:val="6"/>
    <w:unhideWhenUsed/>
    <w:locked/>
    <w:uiPriority w:val="99"/>
    <w:rPr>
      <w:rFonts w:hint="default" w:cs="Times New Roman"/>
      <w:sz w:val="18"/>
      <w:szCs w:val="18"/>
    </w:rPr>
  </w:style>
  <w:style w:type="character" w:customStyle="1" w:styleId="20">
    <w:name w:val="纯文本 Char"/>
    <w:basedOn w:val="11"/>
    <w:link w:val="5"/>
    <w:unhideWhenUsed/>
    <w:locked/>
    <w:uiPriority w:val="99"/>
    <w:rPr>
      <w:rFonts w:hint="eastAsia" w:ascii="宋体" w:hAnsi="Courier New" w:eastAsia="宋体" w:cs="Courier New"/>
      <w:sz w:val="21"/>
      <w:szCs w:val="21"/>
    </w:rPr>
  </w:style>
  <w:style w:type="character" w:customStyle="1" w:styleId="21">
    <w:name w:val="正文文本 Char1"/>
    <w:basedOn w:val="11"/>
    <w:link w:val="2"/>
    <w:unhideWhenUsed/>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2023-10-19T02:43:26Z</dcterms:created>
  <dc:creator>Administrator</dc:creator>
  <cp:lastModifiedBy>Administrator</cp:lastModifiedBy>
  <dcterms:modified xsi:type="dcterms:W3CDTF">2023-10-19T02:43:45Z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06A2183FF5D74C44BD4D5860D614A651_13</vt:lpwstr>
  </property>
</Properties>
</file>