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78441"/>
      <w:bookmarkStart w:id="1" w:name="_Toc15396475"/>
      <w:bookmarkStart w:id="2" w:name="_Toc15377425"/>
      <w:bookmarkStart w:id="3" w:name="_Toc15377193"/>
      <w:bookmarkStart w:id="4" w:name="_Toc15396597"/>
      <w:bookmarkStart w:id="5"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2022年度</w:t>
      </w:r>
      <w:bookmarkEnd w:id="0"/>
      <w:bookmarkEnd w:id="1"/>
      <w:bookmarkEnd w:id="2"/>
      <w:bookmarkEnd w:id="3"/>
      <w:bookmarkEnd w:id="4"/>
    </w:p>
    <w:bookmarkEnd w:id="5"/>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96598"/>
      <w:bookmarkStart w:id="7" w:name="_Toc15396476"/>
      <w:bookmarkStart w:id="8" w:name="_Toc15306268"/>
      <w:bookmarkStart w:id="9" w:name="_Toc15377194"/>
      <w:bookmarkStart w:id="10" w:name="_Toc15378442"/>
      <w:bookmarkStart w:id="11" w:name="_Toc15377426"/>
      <w:r>
        <w:rPr>
          <w:rFonts w:hint="eastAsia" w:ascii="方正小标宋简体" w:hAnsi="方正小标宋简体" w:eastAsia="方正小标宋简体" w:cs="方正小标宋简体"/>
          <w:sz w:val="72"/>
          <w:szCs w:val="72"/>
          <w:lang w:eastAsia="zh-CN"/>
        </w:rPr>
        <w:t>中共乐山市市中区纪律检查委员会</w:t>
      </w:r>
      <w:r>
        <w:rPr>
          <w:rFonts w:hint="eastAsia" w:ascii="方正小标宋简体" w:hAnsi="方正小标宋简体" w:eastAsia="方正小标宋简体" w:cs="方正小标宋简体"/>
          <w:sz w:val="72"/>
          <w:szCs w:val="72"/>
        </w:rPr>
        <w:t>部门决算</w:t>
      </w:r>
      <w:bookmarkEnd w:id="6"/>
      <w:bookmarkEnd w:id="7"/>
      <w:bookmarkEnd w:id="8"/>
      <w:bookmarkEnd w:id="9"/>
      <w:bookmarkEnd w:id="10"/>
      <w:bookmarkEnd w:id="11"/>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1"/>
        <w:jc w:val="center"/>
      </w:pPr>
      <w:r>
        <w:rPr>
          <w:rFonts w:hint="eastAsia"/>
        </w:rPr>
        <w:t>公开时间：2023年</w:t>
      </w:r>
      <w:r>
        <w:rPr>
          <w:rFonts w:hint="eastAsia"/>
          <w:lang w:val="en-US" w:eastAsia="zh-CN"/>
        </w:rPr>
        <w:t>10</w:t>
      </w:r>
      <w:r>
        <w:rPr>
          <w:rFonts w:hint="eastAsia"/>
        </w:rPr>
        <w:t>月</w:t>
      </w:r>
      <w:r>
        <w:rPr>
          <w:rFonts w:hint="eastAsia"/>
          <w:lang w:val="en-US" w:eastAsia="zh-CN"/>
        </w:rPr>
        <w:t>16</w:t>
      </w:r>
      <w:r>
        <w:rPr>
          <w:rFonts w:hint="eastAsia"/>
        </w:rPr>
        <w:t>日</w:t>
      </w:r>
    </w:p>
    <w:p/>
    <w:p>
      <w:pPr>
        <w:pStyle w:val="11"/>
        <w:adjustRightInd w:val="0"/>
        <w:snapToGrid w:val="0"/>
        <w:spacing w:before="0" w:line="440" w:lineRule="exact"/>
        <w:jc w:val="left"/>
        <w:rPr>
          <w:rFonts w:hint="eastAsia" w:eastAsia="仿宋" w:cstheme="minorBidi"/>
          <w:sz w:val="24"/>
          <w:szCs w:val="24"/>
          <w:lang w:eastAsia="zh-CN"/>
        </w:rPr>
      </w:pPr>
      <w:r>
        <w:rPr>
          <w:rFonts w:hint="eastAsia"/>
          <w:sz w:val="24"/>
        </w:rPr>
        <w:t>第一部分</w:t>
      </w:r>
      <w:r>
        <w:rPr>
          <w:sz w:val="24"/>
        </w:rPr>
        <w:t xml:space="preserve"> </w:t>
      </w:r>
      <w:r>
        <w:rPr>
          <w:rFonts w:hint="eastAsia"/>
          <w:sz w:val="24"/>
        </w:rPr>
        <w:t xml:space="preserve">部门概况 </w:t>
      </w:r>
      <w:r>
        <w:rPr>
          <w:rFonts w:hint="eastAsia" w:ascii="宋体" w:hAnsi="宋体" w:cs="宋体"/>
          <w:sz w:val="24"/>
        </w:rPr>
        <w:t>…………………………………………………………………</w:t>
      </w:r>
      <w:r>
        <w:rPr>
          <w:rFonts w:hint="eastAsia" w:ascii="宋体" w:hAnsi="宋体" w:cs="宋体"/>
          <w:sz w:val="24"/>
          <w:lang w:val="en-US" w:eastAsia="zh-CN"/>
        </w:rPr>
        <w:t>4</w:t>
      </w:r>
    </w:p>
    <w:p>
      <w:pPr>
        <w:pStyle w:val="12"/>
        <w:adjustRightInd w:val="0"/>
        <w:snapToGrid w:val="0"/>
        <w:spacing w:line="440" w:lineRule="exact"/>
        <w:jc w:val="left"/>
        <w:rPr>
          <w:rFonts w:hint="eastAsia" w:ascii="仿宋" w:hAnsi="仿宋" w:eastAsia="宋体"/>
          <w:sz w:val="24"/>
          <w:lang w:eastAsia="zh-CN"/>
        </w:rPr>
      </w:pPr>
      <w:r>
        <w:rPr>
          <w:rFonts w:hint="eastAsia"/>
          <w:sz w:val="24"/>
        </w:rPr>
        <w:t>一、部门职责</w:t>
      </w:r>
      <w:r>
        <w:rPr>
          <w:rFonts w:hint="eastAsia" w:ascii="宋体" w:hAnsi="宋体" w:cs="宋体"/>
          <w:sz w:val="24"/>
        </w:rPr>
        <w:t>……………………………………………………………………</w:t>
      </w:r>
      <w:r>
        <w:rPr>
          <w:rFonts w:hint="eastAsia" w:ascii="宋体" w:hAnsi="宋体" w:cs="宋体"/>
          <w:sz w:val="24"/>
          <w:lang w:val="en-US" w:eastAsia="zh-CN"/>
        </w:rPr>
        <w:t>4</w:t>
      </w:r>
    </w:p>
    <w:p>
      <w:pPr>
        <w:pStyle w:val="12"/>
        <w:adjustRightInd w:val="0"/>
        <w:snapToGrid w:val="0"/>
        <w:spacing w:line="440" w:lineRule="exact"/>
        <w:jc w:val="left"/>
        <w:rPr>
          <w:rFonts w:hint="eastAsia" w:ascii="仿宋" w:hAnsi="仿宋" w:eastAsia="宋体" w:cstheme="minorBidi"/>
          <w:sz w:val="24"/>
          <w:lang w:val="en-US" w:eastAsia="zh-CN"/>
        </w:rPr>
      </w:pPr>
      <w:r>
        <w:rPr>
          <w:rFonts w:hint="eastAsia"/>
          <w:sz w:val="24"/>
        </w:rPr>
        <w:t>二、机构设置</w:t>
      </w:r>
      <w:r>
        <w:rPr>
          <w:rFonts w:hint="eastAsia" w:ascii="宋体" w:hAnsi="宋体" w:cs="宋体"/>
          <w:sz w:val="24"/>
        </w:rPr>
        <w:t>……………………………………………………………………</w:t>
      </w:r>
      <w:r>
        <w:rPr>
          <w:rFonts w:hint="eastAsia" w:ascii="宋体" w:hAnsi="宋体" w:cs="宋体"/>
          <w:sz w:val="24"/>
          <w:lang w:val="en-US" w:eastAsia="zh-CN"/>
        </w:rPr>
        <w:t>4</w:t>
      </w:r>
    </w:p>
    <w:p>
      <w:pPr>
        <w:pStyle w:val="11"/>
        <w:adjustRightInd w:val="0"/>
        <w:snapToGrid w:val="0"/>
        <w:spacing w:before="0" w:line="440" w:lineRule="exact"/>
        <w:jc w:val="left"/>
        <w:rPr>
          <w:rFonts w:hint="eastAsia" w:eastAsia="仿宋"/>
          <w:sz w:val="24"/>
          <w:szCs w:val="24"/>
          <w:lang w:val="en-US" w:eastAsia="zh-CN"/>
        </w:rPr>
      </w:pPr>
      <w:r>
        <w:rPr>
          <w:rFonts w:hint="eastAsia"/>
          <w:sz w:val="24"/>
        </w:rPr>
        <w:t>第二部分 2022年度部门决算情况说明</w:t>
      </w:r>
      <w:r>
        <w:rPr>
          <w:rFonts w:hint="eastAsia" w:ascii="宋体" w:hAnsi="宋体" w:cs="宋体"/>
          <w:sz w:val="24"/>
        </w:rPr>
        <w:t>……………………………………………</w:t>
      </w:r>
      <w:r>
        <w:rPr>
          <w:rFonts w:hint="eastAsia" w:ascii="宋体" w:hAnsi="宋体" w:cs="宋体"/>
          <w:sz w:val="24"/>
          <w:lang w:val="en-US" w:eastAsia="zh-CN"/>
        </w:rPr>
        <w:t>5</w:t>
      </w:r>
    </w:p>
    <w:p>
      <w:pPr>
        <w:pStyle w:val="12"/>
        <w:adjustRightInd w:val="0"/>
        <w:snapToGrid w:val="0"/>
        <w:spacing w:line="440" w:lineRule="exact"/>
        <w:jc w:val="left"/>
        <w:rPr>
          <w:rFonts w:hint="eastAsia" w:ascii="宋体" w:hAnsi="宋体" w:cs="宋体"/>
          <w:sz w:val="24"/>
          <w:lang w:val="en-US" w:eastAsia="zh-CN"/>
        </w:rPr>
      </w:pPr>
      <w:r>
        <w:rPr>
          <w:rFonts w:hint="eastAsia"/>
          <w:sz w:val="24"/>
        </w:rPr>
        <w:t>一、收入支出决算总体情况说明</w:t>
      </w:r>
      <w:r>
        <w:rPr>
          <w:rFonts w:hint="eastAsia" w:ascii="宋体" w:hAnsi="宋体" w:cs="宋体"/>
          <w:sz w:val="24"/>
        </w:rPr>
        <w:t>………………………………………………</w:t>
      </w:r>
      <w:r>
        <w:rPr>
          <w:rFonts w:hint="eastAsia" w:ascii="宋体" w:hAnsi="宋体" w:cs="宋体"/>
          <w:sz w:val="24"/>
          <w:lang w:val="en-US" w:eastAsia="zh-CN"/>
        </w:rPr>
        <w:t>5</w:t>
      </w:r>
    </w:p>
    <w:p>
      <w:pPr>
        <w:pStyle w:val="12"/>
        <w:adjustRightInd w:val="0"/>
        <w:snapToGrid w:val="0"/>
        <w:spacing w:line="440" w:lineRule="exact"/>
        <w:jc w:val="left"/>
        <w:rPr>
          <w:rFonts w:hint="eastAsia" w:ascii="仿宋" w:hAnsi="仿宋" w:eastAsia="宋体" w:cstheme="minorBidi"/>
          <w:sz w:val="24"/>
          <w:lang w:eastAsia="zh-CN"/>
        </w:rPr>
      </w:pPr>
      <w:r>
        <w:rPr>
          <w:rFonts w:hint="eastAsia"/>
          <w:sz w:val="24"/>
        </w:rPr>
        <w:t>二、收入决算情况说明</w:t>
      </w:r>
      <w:r>
        <w:rPr>
          <w:rFonts w:hint="eastAsia" w:ascii="宋体" w:hAnsi="宋体" w:cs="宋体"/>
          <w:sz w:val="24"/>
        </w:rPr>
        <w:t>…………………………………………………………</w:t>
      </w:r>
      <w:r>
        <w:rPr>
          <w:rFonts w:hint="eastAsia" w:ascii="宋体" w:hAnsi="宋体" w:cs="宋体"/>
          <w:sz w:val="24"/>
          <w:lang w:val="en-US" w:eastAsia="zh-CN"/>
        </w:rPr>
        <w:t>5</w:t>
      </w:r>
    </w:p>
    <w:p>
      <w:pPr>
        <w:pStyle w:val="12"/>
        <w:adjustRightInd w:val="0"/>
        <w:snapToGrid w:val="0"/>
        <w:spacing w:line="440" w:lineRule="exact"/>
        <w:jc w:val="left"/>
        <w:rPr>
          <w:rFonts w:hint="eastAsia" w:ascii="宋体" w:hAnsi="宋体" w:cs="宋体"/>
          <w:sz w:val="24"/>
          <w:lang w:val="en-US" w:eastAsia="zh-CN"/>
        </w:rPr>
      </w:pPr>
      <w:r>
        <w:rPr>
          <w:rFonts w:hint="eastAsia"/>
          <w:sz w:val="24"/>
        </w:rPr>
        <w:t>三、支出决算情况说明</w:t>
      </w:r>
      <w:r>
        <w:rPr>
          <w:rFonts w:hint="eastAsia" w:ascii="宋体" w:hAnsi="宋体" w:cs="宋体"/>
          <w:sz w:val="24"/>
        </w:rPr>
        <w:t>…………………………………………………………</w:t>
      </w:r>
      <w:r>
        <w:rPr>
          <w:rFonts w:hint="eastAsia" w:ascii="宋体" w:hAnsi="宋体" w:cs="宋体"/>
          <w:sz w:val="24"/>
          <w:lang w:val="en-US" w:eastAsia="zh-CN"/>
        </w:rPr>
        <w:t>6</w:t>
      </w:r>
    </w:p>
    <w:p>
      <w:pPr>
        <w:pStyle w:val="12"/>
        <w:adjustRightInd w:val="0"/>
        <w:snapToGrid w:val="0"/>
        <w:spacing w:line="440" w:lineRule="exact"/>
        <w:jc w:val="left"/>
        <w:rPr>
          <w:rFonts w:hint="eastAsia" w:ascii="仿宋" w:hAnsi="仿宋" w:eastAsia="宋体" w:cstheme="minorBidi"/>
          <w:sz w:val="24"/>
          <w:lang w:eastAsia="zh-CN"/>
        </w:rPr>
      </w:pPr>
      <w:r>
        <w:rPr>
          <w:rFonts w:hint="eastAsia"/>
          <w:sz w:val="24"/>
        </w:rPr>
        <w:t>四、财政拨款收入支出决算总体情况说明</w:t>
      </w:r>
      <w:r>
        <w:rPr>
          <w:rFonts w:hint="eastAsia" w:ascii="宋体" w:hAnsi="宋体" w:cs="宋体"/>
          <w:sz w:val="24"/>
        </w:rPr>
        <w:t>……………………………………</w:t>
      </w:r>
      <w:r>
        <w:rPr>
          <w:rFonts w:hint="eastAsia" w:ascii="宋体" w:hAnsi="宋体" w:cs="宋体"/>
          <w:sz w:val="24"/>
          <w:lang w:val="en-US" w:eastAsia="zh-CN"/>
        </w:rPr>
        <w:t>7</w:t>
      </w:r>
    </w:p>
    <w:p>
      <w:pPr>
        <w:pStyle w:val="12"/>
        <w:adjustRightInd w:val="0"/>
        <w:snapToGrid w:val="0"/>
        <w:spacing w:line="440" w:lineRule="exact"/>
        <w:jc w:val="left"/>
        <w:rPr>
          <w:rFonts w:hint="eastAsia" w:ascii="仿宋" w:hAnsi="仿宋" w:eastAsia="宋体" w:cstheme="minorBidi"/>
          <w:sz w:val="24"/>
          <w:lang w:eastAsia="zh-CN"/>
        </w:rPr>
      </w:pPr>
      <w:r>
        <w:rPr>
          <w:rFonts w:hint="eastAsia"/>
          <w:sz w:val="24"/>
        </w:rPr>
        <w:t>五、一般公共预算财政拨款支出决算情况说明</w:t>
      </w:r>
      <w:r>
        <w:rPr>
          <w:rFonts w:hint="eastAsia" w:ascii="宋体" w:hAnsi="宋体" w:cs="宋体"/>
          <w:sz w:val="24"/>
        </w:rPr>
        <w:t>………………………………</w:t>
      </w:r>
      <w:r>
        <w:rPr>
          <w:rFonts w:hint="eastAsia" w:ascii="宋体" w:hAnsi="宋体" w:cs="宋体"/>
          <w:sz w:val="24"/>
          <w:lang w:val="en-US" w:eastAsia="zh-CN"/>
        </w:rPr>
        <w:t>8</w:t>
      </w:r>
    </w:p>
    <w:p>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六、一般公共预算财政拨款基本支出决算情况说明</w:t>
      </w:r>
      <w:r>
        <w:rPr>
          <w:rFonts w:hint="eastAsia" w:ascii="宋体" w:hAnsi="宋体" w:cs="宋体"/>
          <w:sz w:val="24"/>
        </w:rPr>
        <w:t>…………………………</w:t>
      </w:r>
      <w:r>
        <w:rPr>
          <w:rFonts w:hint="eastAsia" w:ascii="宋体" w:hAnsi="宋体" w:cs="宋体"/>
          <w:sz w:val="24"/>
          <w:lang w:val="en-US" w:eastAsia="zh-CN"/>
        </w:rPr>
        <w:t>10</w:t>
      </w:r>
    </w:p>
    <w:p>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七、财政拨款“三公”经费支出决算情况说明</w:t>
      </w:r>
      <w:r>
        <w:rPr>
          <w:rFonts w:hint="eastAsia" w:ascii="宋体" w:hAnsi="宋体" w:cs="宋体"/>
          <w:sz w:val="24"/>
        </w:rPr>
        <w:t>………………………………</w:t>
      </w:r>
      <w:r>
        <w:rPr>
          <w:rFonts w:hint="eastAsia" w:ascii="宋体" w:hAnsi="宋体" w:cs="宋体"/>
          <w:sz w:val="24"/>
          <w:lang w:val="en-US" w:eastAsia="zh-CN"/>
        </w:rPr>
        <w:t>11</w:t>
      </w:r>
    </w:p>
    <w:p>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八、政府性基金预算支出决算情况说明</w:t>
      </w:r>
      <w:r>
        <w:rPr>
          <w:rFonts w:hint="eastAsia" w:ascii="宋体" w:hAnsi="宋体" w:cs="宋体"/>
          <w:sz w:val="24"/>
        </w:rPr>
        <w:t>………………………………………</w:t>
      </w:r>
      <w:r>
        <w:rPr>
          <w:rFonts w:hint="eastAsia" w:ascii="宋体" w:hAnsi="宋体" w:cs="宋体"/>
          <w:sz w:val="24"/>
          <w:lang w:val="en-US" w:eastAsia="zh-CN"/>
        </w:rPr>
        <w:t>13</w:t>
      </w:r>
    </w:p>
    <w:p>
      <w:pPr>
        <w:pStyle w:val="12"/>
        <w:adjustRightInd w:val="0"/>
        <w:snapToGrid w:val="0"/>
        <w:spacing w:line="440" w:lineRule="exact"/>
        <w:ind w:leftChars="0"/>
        <w:jc w:val="left"/>
        <w:rPr>
          <w:rFonts w:hint="default" w:eastAsia="宋体" w:asciiTheme="minorEastAsia" w:hAnsiTheme="minorEastAsia" w:cstheme="minorEastAsia"/>
          <w:sz w:val="24"/>
          <w:lang w:val="en-US" w:eastAsia="zh-CN"/>
        </w:rPr>
      </w:pPr>
      <w:r>
        <w:rPr>
          <w:rFonts w:hint="eastAsia" w:asciiTheme="minorEastAsia" w:hAnsiTheme="minorEastAsia" w:eastAsiaTheme="minorEastAsia" w:cstheme="minorEastAsia"/>
          <w:sz w:val="24"/>
        </w:rPr>
        <w:t>九、国有资本经营预算支出决算情况说明</w:t>
      </w:r>
      <w:r>
        <w:rPr>
          <w:rFonts w:hint="eastAsia" w:ascii="宋体" w:hAnsi="宋体" w:cs="宋体"/>
          <w:sz w:val="24"/>
        </w:rPr>
        <w:t>……………………………………</w:t>
      </w:r>
      <w:r>
        <w:rPr>
          <w:rFonts w:hint="eastAsia" w:ascii="宋体" w:hAnsi="宋体" w:cs="宋体"/>
          <w:sz w:val="24"/>
          <w:lang w:val="en-US" w:eastAsia="zh-CN"/>
        </w:rPr>
        <w:t>13</w:t>
      </w:r>
    </w:p>
    <w:p>
      <w:pPr>
        <w:adjustRightInd w:val="0"/>
        <w:snapToGrid w:val="0"/>
        <w:spacing w:line="440" w:lineRule="exact"/>
        <w:ind w:firstLine="420" w:firstLineChars="175"/>
        <w:jc w:val="left"/>
        <w:rPr>
          <w:rFonts w:hint="default" w:eastAsia="宋体" w:asciiTheme="minorEastAsia" w:hAnsiTheme="minorEastAsia" w:cstheme="minorEastAsia"/>
          <w:sz w:val="24"/>
          <w:lang w:val="en-US" w:eastAsia="zh-CN"/>
        </w:rPr>
      </w:pPr>
      <w:r>
        <w:rPr>
          <w:rStyle w:val="18"/>
          <w:rFonts w:hint="eastAsia" w:asciiTheme="minorEastAsia" w:hAnsiTheme="minorEastAsia" w:eastAsiaTheme="minorEastAsia" w:cstheme="minorEastAsia"/>
          <w:color w:val="auto"/>
          <w:sz w:val="24"/>
          <w:u w:val="none"/>
        </w:rPr>
        <w:t>十、</w:t>
      </w:r>
      <w:r>
        <w:rPr>
          <w:rFonts w:hint="eastAsia" w:asciiTheme="minorEastAsia" w:hAnsiTheme="minorEastAsia" w:eastAsiaTheme="minorEastAsia" w:cstheme="minorEastAsia"/>
          <w:sz w:val="24"/>
        </w:rPr>
        <w:t>其他重要事项的情况说明</w:t>
      </w:r>
      <w:r>
        <w:rPr>
          <w:rFonts w:hint="eastAsia" w:ascii="宋体" w:hAnsi="宋体" w:cs="宋体"/>
          <w:sz w:val="24"/>
        </w:rPr>
        <w:t>…………………………………………………</w:t>
      </w:r>
      <w:r>
        <w:rPr>
          <w:rFonts w:hint="eastAsia" w:ascii="宋体" w:hAnsi="宋体" w:cs="宋体"/>
          <w:sz w:val="24"/>
          <w:lang w:val="en-US" w:eastAsia="zh-CN"/>
        </w:rPr>
        <w:t>13</w:t>
      </w:r>
    </w:p>
    <w:p>
      <w:pPr>
        <w:pStyle w:val="11"/>
        <w:adjustRightInd w:val="0"/>
        <w:snapToGrid w:val="0"/>
        <w:spacing w:before="0" w:line="440" w:lineRule="exact"/>
        <w:jc w:val="left"/>
        <w:rPr>
          <w:rFonts w:hint="default" w:eastAsia="仿宋" w:cstheme="minorBidi"/>
          <w:sz w:val="24"/>
          <w:szCs w:val="24"/>
          <w:lang w:val="en-US" w:eastAsia="zh-CN"/>
        </w:rPr>
      </w:pPr>
      <w:r>
        <w:rPr>
          <w:rFonts w:hint="eastAsia"/>
          <w:sz w:val="24"/>
        </w:rPr>
        <w:t>第三部分</w:t>
      </w:r>
      <w:r>
        <w:rPr>
          <w:sz w:val="24"/>
        </w:rPr>
        <w:t xml:space="preserve"> </w:t>
      </w:r>
      <w:r>
        <w:rPr>
          <w:rFonts w:hint="eastAsia"/>
          <w:sz w:val="24"/>
        </w:rPr>
        <w:t xml:space="preserve">名词解释 </w:t>
      </w:r>
      <w:r>
        <w:rPr>
          <w:rFonts w:hint="eastAsia" w:ascii="宋体" w:hAnsi="宋体" w:cs="宋体"/>
          <w:sz w:val="24"/>
        </w:rPr>
        <w:t>…………………………………………………………………</w:t>
      </w:r>
      <w:r>
        <w:rPr>
          <w:rFonts w:hint="eastAsia" w:ascii="宋体" w:hAnsi="宋体" w:cs="宋体"/>
          <w:sz w:val="24"/>
          <w:lang w:val="en-US" w:eastAsia="zh-CN"/>
        </w:rPr>
        <w:t>15</w:t>
      </w:r>
    </w:p>
    <w:p>
      <w:pPr>
        <w:pStyle w:val="11"/>
        <w:adjustRightInd w:val="0"/>
        <w:snapToGrid w:val="0"/>
        <w:spacing w:before="0" w:line="440" w:lineRule="exact"/>
        <w:jc w:val="left"/>
        <w:rPr>
          <w:rFonts w:hint="default" w:eastAsia="仿宋" w:cstheme="minorBidi"/>
          <w:sz w:val="24"/>
          <w:szCs w:val="24"/>
          <w:lang w:val="en-US" w:eastAsia="zh-CN"/>
        </w:rPr>
      </w:pPr>
      <w:r>
        <w:rPr>
          <w:rFonts w:hint="eastAsia"/>
          <w:sz w:val="24"/>
        </w:rPr>
        <w:t>第四部分</w:t>
      </w:r>
      <w:r>
        <w:rPr>
          <w:sz w:val="24"/>
        </w:rPr>
        <w:t xml:space="preserve"> </w:t>
      </w:r>
      <w:r>
        <w:rPr>
          <w:rFonts w:hint="eastAsia"/>
          <w:sz w:val="24"/>
        </w:rPr>
        <w:t xml:space="preserve">附件 </w:t>
      </w:r>
      <w:r>
        <w:rPr>
          <w:rFonts w:hint="eastAsia" w:ascii="宋体" w:hAnsi="宋体" w:cs="宋体"/>
          <w:sz w:val="24"/>
        </w:rPr>
        <w:t>………………………………………………………………………</w:t>
      </w:r>
      <w:r>
        <w:rPr>
          <w:rFonts w:hint="eastAsia" w:ascii="宋体" w:hAnsi="宋体" w:cs="宋体"/>
          <w:sz w:val="24"/>
          <w:lang w:val="en-US" w:eastAsia="zh-CN"/>
        </w:rPr>
        <w:t>18</w:t>
      </w:r>
    </w:p>
    <w:p>
      <w:pPr>
        <w:pStyle w:val="11"/>
        <w:adjustRightInd w:val="0"/>
        <w:snapToGrid w:val="0"/>
        <w:spacing w:before="0" w:line="440" w:lineRule="exact"/>
        <w:jc w:val="left"/>
        <w:rPr>
          <w:rFonts w:hint="default" w:eastAsia="仿宋" w:cstheme="minorBidi"/>
          <w:sz w:val="24"/>
          <w:szCs w:val="24"/>
          <w:lang w:val="en-US" w:eastAsia="zh-CN"/>
        </w:rPr>
      </w:pPr>
      <w:r>
        <w:rPr>
          <w:rFonts w:hint="eastAsia"/>
          <w:sz w:val="24"/>
        </w:rPr>
        <w:t>第五部分</w:t>
      </w:r>
      <w:r>
        <w:rPr>
          <w:sz w:val="24"/>
        </w:rPr>
        <w:t xml:space="preserve"> </w:t>
      </w:r>
      <w:r>
        <w:rPr>
          <w:rFonts w:hint="eastAsia"/>
          <w:sz w:val="24"/>
        </w:rPr>
        <w:t xml:space="preserve">附表 </w:t>
      </w:r>
      <w:r>
        <w:rPr>
          <w:rFonts w:hint="eastAsia" w:ascii="宋体" w:hAnsi="宋体" w:cs="宋体"/>
          <w:sz w:val="24"/>
        </w:rPr>
        <w:t>………………………………………………………………………</w:t>
      </w:r>
      <w:r>
        <w:rPr>
          <w:rFonts w:hint="eastAsia" w:ascii="宋体" w:hAnsi="宋体" w:cs="宋体"/>
          <w:sz w:val="24"/>
          <w:lang w:val="en-US" w:eastAsia="zh-CN"/>
        </w:rPr>
        <w:t>30</w:t>
      </w:r>
    </w:p>
    <w:p>
      <w:pPr>
        <w:pStyle w:val="12"/>
        <w:adjustRightInd w:val="0"/>
        <w:snapToGrid w:val="0"/>
        <w:spacing w:line="440" w:lineRule="exact"/>
        <w:jc w:val="left"/>
        <w:rPr>
          <w:rFonts w:hint="eastAsia" w:eastAsia="宋体"/>
          <w:sz w:val="24"/>
          <w:lang w:eastAsia="zh-CN"/>
        </w:rPr>
      </w:pPr>
      <w:r>
        <w:rPr>
          <w:rFonts w:hint="eastAsia"/>
          <w:sz w:val="24"/>
        </w:rPr>
        <w:t>一、收入支出决算总表</w:t>
      </w:r>
      <w:r>
        <w:rPr>
          <w:rFonts w:hint="eastAsia" w:ascii="宋体" w:hAnsi="宋体" w:cs="宋体"/>
          <w:sz w:val="24"/>
        </w:rPr>
        <w:t>…………………………………………………………</w:t>
      </w:r>
      <w:r>
        <w:rPr>
          <w:rFonts w:hint="eastAsia" w:ascii="宋体" w:hAnsi="宋体" w:cs="宋体"/>
          <w:sz w:val="24"/>
          <w:lang w:val="en-US" w:eastAsia="zh-CN"/>
        </w:rPr>
        <w:t>30</w:t>
      </w:r>
      <w:r>
        <w:rPr>
          <w:rFonts w:hint="eastAsia" w:ascii="宋体" w:hAnsi="宋体" w:cs="宋体"/>
          <w:color w:val="FF0000"/>
          <w:sz w:val="24"/>
          <w:lang w:val="en-US" w:eastAsia="zh-CN"/>
        </w:rPr>
        <w:t xml:space="preserve"> </w:t>
      </w:r>
    </w:p>
    <w:p>
      <w:pPr>
        <w:pStyle w:val="12"/>
        <w:adjustRightInd w:val="0"/>
        <w:snapToGrid w:val="0"/>
        <w:spacing w:line="440" w:lineRule="exact"/>
        <w:jc w:val="left"/>
        <w:rPr>
          <w:rFonts w:hint="eastAsia" w:eastAsia="宋体"/>
          <w:sz w:val="24"/>
          <w:lang w:eastAsia="zh-CN"/>
        </w:rPr>
      </w:pPr>
      <w:r>
        <w:rPr>
          <w:rFonts w:hint="eastAsia"/>
          <w:sz w:val="24"/>
        </w:rPr>
        <w:t>二、收入决算表</w:t>
      </w:r>
      <w:r>
        <w:rPr>
          <w:rFonts w:hint="eastAsia" w:ascii="宋体" w:hAnsi="宋体" w:cs="宋体"/>
          <w:sz w:val="24"/>
        </w:rPr>
        <w:t>…………………………………………………………………</w:t>
      </w:r>
      <w:r>
        <w:rPr>
          <w:rFonts w:hint="eastAsia" w:ascii="宋体" w:hAnsi="宋体" w:cs="宋体"/>
          <w:sz w:val="24"/>
          <w:lang w:val="en-US" w:eastAsia="zh-CN"/>
        </w:rPr>
        <w:t>30</w:t>
      </w:r>
    </w:p>
    <w:p>
      <w:pPr>
        <w:pStyle w:val="12"/>
        <w:adjustRightInd w:val="0"/>
        <w:snapToGrid w:val="0"/>
        <w:spacing w:line="440" w:lineRule="exact"/>
        <w:jc w:val="left"/>
        <w:rPr>
          <w:rFonts w:hint="eastAsia" w:ascii="宋体" w:hAnsi="宋体" w:cs="宋体"/>
          <w:sz w:val="24"/>
          <w:lang w:val="en-US" w:eastAsia="zh-CN"/>
        </w:rPr>
      </w:pPr>
      <w:r>
        <w:rPr>
          <w:rFonts w:hint="eastAsia"/>
          <w:sz w:val="24"/>
        </w:rPr>
        <w:t>三、支出决算表</w:t>
      </w:r>
      <w:r>
        <w:rPr>
          <w:rFonts w:hint="eastAsia" w:ascii="宋体" w:hAnsi="宋体" w:cs="宋体"/>
          <w:sz w:val="24"/>
        </w:rPr>
        <w:t>…………………………………………………………………</w:t>
      </w:r>
      <w:r>
        <w:rPr>
          <w:rFonts w:hint="eastAsia" w:ascii="宋体" w:hAnsi="宋体" w:cs="宋体"/>
          <w:sz w:val="24"/>
          <w:lang w:val="en-US" w:eastAsia="zh-CN"/>
        </w:rPr>
        <w:t xml:space="preserve">30 </w:t>
      </w:r>
    </w:p>
    <w:p>
      <w:pPr>
        <w:pStyle w:val="12"/>
        <w:adjustRightInd w:val="0"/>
        <w:snapToGrid w:val="0"/>
        <w:spacing w:line="440" w:lineRule="exact"/>
        <w:jc w:val="left"/>
        <w:rPr>
          <w:sz w:val="24"/>
        </w:rPr>
      </w:pPr>
      <w:r>
        <w:rPr>
          <w:rFonts w:hint="eastAsia"/>
          <w:sz w:val="24"/>
        </w:rPr>
        <w:t>四、财政拨款收入支出决算总表</w:t>
      </w:r>
      <w:r>
        <w:rPr>
          <w:rFonts w:hint="eastAsia" w:ascii="宋体" w:hAnsi="宋体" w:cs="宋体"/>
          <w:sz w:val="24"/>
        </w:rPr>
        <w:t>………………………………………………</w:t>
      </w:r>
      <w:r>
        <w:rPr>
          <w:rFonts w:hint="eastAsia" w:ascii="宋体" w:hAnsi="宋体" w:cs="宋体"/>
          <w:sz w:val="24"/>
          <w:lang w:val="en-US" w:eastAsia="zh-CN"/>
        </w:rPr>
        <w:t>30</w:t>
      </w:r>
    </w:p>
    <w:p>
      <w:pPr>
        <w:pStyle w:val="12"/>
        <w:adjustRightInd w:val="0"/>
        <w:snapToGrid w:val="0"/>
        <w:spacing w:line="440" w:lineRule="exact"/>
        <w:jc w:val="left"/>
        <w:rPr>
          <w:sz w:val="24"/>
        </w:rPr>
      </w:pPr>
      <w:r>
        <w:rPr>
          <w:rFonts w:hint="eastAsia"/>
          <w:sz w:val="24"/>
        </w:rPr>
        <w:t>五、财政拨款支出决算明细表</w:t>
      </w:r>
      <w:r>
        <w:rPr>
          <w:rFonts w:hint="eastAsia" w:ascii="宋体" w:hAnsi="宋体" w:cs="宋体"/>
          <w:sz w:val="24"/>
        </w:rPr>
        <w:t>…………………………………………………</w:t>
      </w:r>
      <w:r>
        <w:rPr>
          <w:rFonts w:hint="eastAsia" w:ascii="宋体" w:hAnsi="宋体" w:cs="宋体"/>
          <w:sz w:val="24"/>
          <w:lang w:val="en-US" w:eastAsia="zh-CN"/>
        </w:rPr>
        <w:t>30</w:t>
      </w:r>
    </w:p>
    <w:p>
      <w:pPr>
        <w:pStyle w:val="12"/>
        <w:adjustRightInd w:val="0"/>
        <w:snapToGrid w:val="0"/>
        <w:spacing w:line="440" w:lineRule="exact"/>
        <w:jc w:val="left"/>
        <w:rPr>
          <w:sz w:val="24"/>
        </w:rPr>
      </w:pPr>
      <w:r>
        <w:rPr>
          <w:rFonts w:hint="eastAsia"/>
          <w:sz w:val="24"/>
        </w:rPr>
        <w:t>六、一般公共预算财政拨款支出决算表</w:t>
      </w:r>
      <w:r>
        <w:rPr>
          <w:rFonts w:hint="eastAsia" w:ascii="宋体" w:hAnsi="宋体" w:cs="宋体"/>
          <w:sz w:val="24"/>
        </w:rPr>
        <w:t>………………………………………</w:t>
      </w:r>
      <w:r>
        <w:rPr>
          <w:rFonts w:hint="eastAsia" w:ascii="宋体" w:hAnsi="宋体" w:cs="宋体"/>
          <w:sz w:val="24"/>
          <w:lang w:val="en-US" w:eastAsia="zh-CN"/>
        </w:rPr>
        <w:t>30</w:t>
      </w:r>
    </w:p>
    <w:p>
      <w:pPr>
        <w:pStyle w:val="12"/>
        <w:adjustRightInd w:val="0"/>
        <w:snapToGrid w:val="0"/>
        <w:spacing w:line="440" w:lineRule="exact"/>
        <w:jc w:val="left"/>
        <w:rPr>
          <w:sz w:val="24"/>
        </w:rPr>
      </w:pPr>
      <w:r>
        <w:rPr>
          <w:rFonts w:hint="eastAsia"/>
          <w:sz w:val="24"/>
        </w:rPr>
        <w:t>七、一般公共预算财政拨款支出决算明细表</w:t>
      </w:r>
      <w:r>
        <w:rPr>
          <w:rFonts w:hint="eastAsia" w:ascii="宋体" w:hAnsi="宋体" w:cs="宋体"/>
          <w:sz w:val="24"/>
        </w:rPr>
        <w:t>…………………………………</w:t>
      </w:r>
      <w:r>
        <w:rPr>
          <w:rFonts w:hint="eastAsia" w:ascii="宋体" w:hAnsi="宋体" w:cs="宋体"/>
          <w:sz w:val="24"/>
          <w:lang w:val="en-US" w:eastAsia="zh-CN"/>
        </w:rPr>
        <w:t>30</w:t>
      </w:r>
    </w:p>
    <w:p>
      <w:pPr>
        <w:pStyle w:val="12"/>
        <w:adjustRightInd w:val="0"/>
        <w:snapToGrid w:val="0"/>
        <w:spacing w:line="440" w:lineRule="exact"/>
        <w:jc w:val="left"/>
        <w:rPr>
          <w:sz w:val="24"/>
        </w:rPr>
      </w:pPr>
      <w:r>
        <w:rPr>
          <w:rFonts w:hint="eastAsia"/>
          <w:sz w:val="24"/>
        </w:rPr>
        <w:t>八、一般公共预算财政拨款基本支出决算明细表</w:t>
      </w:r>
      <w:r>
        <w:rPr>
          <w:rFonts w:hint="eastAsia" w:ascii="宋体" w:hAnsi="宋体" w:cs="宋体"/>
          <w:sz w:val="24"/>
        </w:rPr>
        <w:t>……………………………</w:t>
      </w:r>
      <w:r>
        <w:rPr>
          <w:rFonts w:hint="eastAsia" w:ascii="宋体" w:hAnsi="宋体" w:cs="宋体"/>
          <w:sz w:val="24"/>
          <w:lang w:val="en-US" w:eastAsia="zh-CN"/>
        </w:rPr>
        <w:t>30</w:t>
      </w:r>
    </w:p>
    <w:p>
      <w:pPr>
        <w:pStyle w:val="12"/>
        <w:adjustRightInd w:val="0"/>
        <w:snapToGrid w:val="0"/>
        <w:spacing w:line="440" w:lineRule="exact"/>
        <w:jc w:val="left"/>
        <w:rPr>
          <w:sz w:val="24"/>
        </w:rPr>
      </w:pPr>
      <w:r>
        <w:rPr>
          <w:rFonts w:hint="eastAsia"/>
          <w:sz w:val="24"/>
        </w:rPr>
        <w:t>九、一般公共预算财政拨款项目支出决算表</w:t>
      </w:r>
      <w:r>
        <w:rPr>
          <w:rFonts w:hint="eastAsia" w:ascii="宋体" w:hAnsi="宋体" w:cs="宋体"/>
          <w:sz w:val="24"/>
        </w:rPr>
        <w:t>…………………………………</w:t>
      </w:r>
      <w:r>
        <w:rPr>
          <w:rFonts w:hint="eastAsia" w:ascii="宋体" w:hAnsi="宋体" w:cs="宋体"/>
          <w:sz w:val="24"/>
          <w:lang w:val="en-US" w:eastAsia="zh-CN"/>
        </w:rPr>
        <w:t>30</w:t>
      </w:r>
    </w:p>
    <w:p>
      <w:pPr>
        <w:pStyle w:val="12"/>
        <w:adjustRightInd w:val="0"/>
        <w:snapToGrid w:val="0"/>
        <w:spacing w:line="440" w:lineRule="exact"/>
        <w:jc w:val="left"/>
        <w:rPr>
          <w:sz w:val="24"/>
        </w:rPr>
      </w:pPr>
      <w:r>
        <w:rPr>
          <w:rFonts w:hint="eastAsia"/>
          <w:sz w:val="24"/>
        </w:rPr>
        <w:t>十、政府性基金预算财政拨款收入支出决算表</w:t>
      </w:r>
      <w:r>
        <w:rPr>
          <w:rFonts w:hint="eastAsia" w:ascii="宋体" w:hAnsi="宋体" w:cs="宋体"/>
          <w:sz w:val="24"/>
        </w:rPr>
        <w:t>………………………………</w:t>
      </w:r>
      <w:r>
        <w:rPr>
          <w:rFonts w:hint="eastAsia" w:ascii="宋体" w:hAnsi="宋体" w:cs="宋体"/>
          <w:sz w:val="24"/>
          <w:lang w:val="en-US" w:eastAsia="zh-CN"/>
        </w:rPr>
        <w:t>30</w:t>
      </w:r>
    </w:p>
    <w:p>
      <w:pPr>
        <w:pStyle w:val="12"/>
        <w:adjustRightInd w:val="0"/>
        <w:snapToGrid w:val="0"/>
        <w:spacing w:line="440" w:lineRule="exact"/>
        <w:jc w:val="left"/>
        <w:rPr>
          <w:sz w:val="24"/>
        </w:rPr>
      </w:pPr>
      <w:r>
        <w:rPr>
          <w:rFonts w:hint="eastAsia"/>
          <w:sz w:val="24"/>
        </w:rPr>
        <w:t>十一、国有资本经营预算财政拨款收入支出决算表</w:t>
      </w:r>
      <w:r>
        <w:rPr>
          <w:rFonts w:hint="eastAsia" w:ascii="宋体" w:hAnsi="宋体" w:cs="宋体"/>
          <w:sz w:val="24"/>
        </w:rPr>
        <w:t>…………………………</w:t>
      </w:r>
      <w:r>
        <w:rPr>
          <w:rFonts w:hint="eastAsia" w:ascii="宋体" w:hAnsi="宋体" w:cs="宋体"/>
          <w:sz w:val="24"/>
          <w:lang w:val="en-US" w:eastAsia="zh-CN"/>
        </w:rPr>
        <w:t>30</w:t>
      </w:r>
    </w:p>
    <w:p>
      <w:pPr>
        <w:pStyle w:val="12"/>
        <w:adjustRightInd w:val="0"/>
        <w:snapToGrid w:val="0"/>
        <w:spacing w:line="440" w:lineRule="exact"/>
        <w:jc w:val="left"/>
        <w:rPr>
          <w:sz w:val="24"/>
        </w:rPr>
      </w:pPr>
      <w:r>
        <w:rPr>
          <w:rFonts w:hint="eastAsia"/>
          <w:sz w:val="24"/>
        </w:rPr>
        <w:t>十二、国有资本经营预算财政拨款支出决算表</w:t>
      </w:r>
      <w:r>
        <w:rPr>
          <w:rFonts w:hint="eastAsia" w:ascii="宋体" w:hAnsi="宋体" w:cs="宋体"/>
          <w:sz w:val="24"/>
        </w:rPr>
        <w:t>………………………………</w:t>
      </w:r>
      <w:r>
        <w:rPr>
          <w:rFonts w:hint="eastAsia" w:ascii="宋体" w:hAnsi="宋体" w:cs="宋体"/>
          <w:sz w:val="24"/>
          <w:lang w:val="en-US" w:eastAsia="zh-CN"/>
        </w:rPr>
        <w:t>30</w:t>
      </w:r>
    </w:p>
    <w:p>
      <w:pPr>
        <w:pStyle w:val="12"/>
        <w:adjustRightInd w:val="0"/>
        <w:snapToGrid w:val="0"/>
        <w:spacing w:line="440" w:lineRule="exact"/>
        <w:jc w:val="left"/>
        <w:rPr>
          <w:rFonts w:asciiTheme="minorEastAsia" w:hAnsiTheme="minorEastAsia" w:eastAsiaTheme="minorEastAsia" w:cstheme="minorEastAsia"/>
          <w:sz w:val="24"/>
        </w:rPr>
      </w:pPr>
      <w:r>
        <w:rPr>
          <w:rFonts w:hint="eastAsia"/>
          <w:sz w:val="24"/>
        </w:rPr>
        <w:t>十三、财政拨款“三公”经费支出决算表</w:t>
      </w:r>
      <w:r>
        <w:rPr>
          <w:rFonts w:hint="eastAsia" w:ascii="宋体" w:hAnsi="宋体" w:cs="宋体"/>
          <w:sz w:val="24"/>
        </w:rPr>
        <w:t>……………………………………</w:t>
      </w:r>
      <w:r>
        <w:rPr>
          <w:rFonts w:hint="eastAsia" w:ascii="宋体" w:hAnsi="宋体" w:cs="宋体"/>
          <w:sz w:val="24"/>
          <w:lang w:val="en-US" w:eastAsia="zh-CN"/>
        </w:rPr>
        <w:t>30</w:t>
      </w:r>
    </w:p>
    <w:p>
      <w:pPr>
        <w:widowControl/>
        <w:adjustRightInd w:val="0"/>
        <w:snapToGrid w:val="0"/>
        <w:spacing w:line="440" w:lineRule="exact"/>
        <w:ind w:firstLine="1320" w:firstLineChars="550"/>
        <w:jc w:val="left"/>
        <w:rPr>
          <w:rFonts w:ascii="仿宋" w:hAnsi="仿宋" w:eastAsia="仿宋"/>
          <w:sz w:val="24"/>
        </w:rPr>
      </w:pPr>
    </w:p>
    <w:p>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pPr>
        <w:pStyle w:val="4"/>
        <w:jc w:val="center"/>
        <w:rPr>
          <w:rStyle w:val="28"/>
          <w:rFonts w:ascii="黑体" w:hAnsi="黑体" w:eastAsia="黑体"/>
          <w:b/>
          <w:bCs w:val="0"/>
        </w:rPr>
      </w:pPr>
      <w:r>
        <w:rPr>
          <w:rFonts w:hint="eastAsia" w:ascii="黑体" w:hAnsi="黑体" w:eastAsia="黑体"/>
          <w:b w:val="0"/>
        </w:rPr>
        <w:t xml:space="preserve">第一部分 </w:t>
      </w:r>
      <w:r>
        <w:rPr>
          <w:rStyle w:val="28"/>
          <w:rFonts w:hint="eastAsia" w:ascii="黑体" w:hAnsi="黑体" w:eastAsia="黑体"/>
          <w:b w:val="0"/>
          <w:bCs w:val="0"/>
        </w:rPr>
        <w:t>部门概况</w:t>
      </w:r>
      <w:bookmarkEnd w:id="12"/>
      <w:bookmarkEnd w:id="13"/>
    </w:p>
    <w:p>
      <w:pPr>
        <w:widowControl/>
        <w:jc w:val="left"/>
        <w:rPr>
          <w:rFonts w:ascii="黑体" w:eastAsia="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部门职责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中共乐山市市中区纪律检查委员会的主要职责：</w:t>
      </w:r>
      <w:r>
        <w:rPr>
          <w:rFonts w:hint="eastAsia" w:ascii="仿宋" w:hAnsi="仿宋" w:eastAsia="仿宋" w:cs="仿宋"/>
          <w:sz w:val="32"/>
          <w:szCs w:val="32"/>
        </w:rPr>
        <w:t>一是负责党的纪律检查工作。二是依照党的章程和其他党内法规履行监督、执纪、问责职责。三是负责全区监察工作。四是依照法律规定履行监督、调查、处置职责。五是负责组织协调全面从严治党、党风廉政建设和反腐败宣传教育工作。六是负责综合分析全面从严治党、党风廉政建设和反腐败工作情况。七是在上级纪委监委的领导下，做好反腐败追逃追赃和防逃工作的组织协调，督促有关单位做好相关工作。八是根据干部管理权限，负责纪检监察系统领导班子建设、干部队伍建设和组织建设的综合规划、政策研究、制度建设和业务指导。九是负责职责范围内的安全生产、职业健康、生态环境保护和便民服务等工作。十是完成区委和上级纪委监委交办的其他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bookmarkStart w:id="14" w:name="_Toc15377200"/>
      <w:bookmarkStart w:id="15" w:name="_Toc15396601"/>
      <w:r>
        <w:rPr>
          <w:rFonts w:hint="eastAsia" w:ascii="黑体" w:hAnsi="黑体" w:eastAsia="黑体" w:cs="黑体"/>
          <w:sz w:val="32"/>
          <w:szCs w:val="32"/>
        </w:rPr>
        <w:t>二、机构设置</w:t>
      </w:r>
      <w:bookmarkEnd w:id="14"/>
      <w:bookmarkEnd w:id="15"/>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中共乐山市市中区委纪律检查委员会核定人员编制</w:t>
      </w:r>
      <w:r>
        <w:rPr>
          <w:rFonts w:hint="eastAsia" w:ascii="仿宋" w:hAnsi="仿宋" w:eastAsia="仿宋" w:cs="仿宋"/>
          <w:sz w:val="32"/>
          <w:szCs w:val="32"/>
          <w:lang w:val="en-US" w:eastAsia="zh-CN"/>
        </w:rPr>
        <w:t>87</w:t>
      </w:r>
      <w:r>
        <w:rPr>
          <w:rFonts w:hint="eastAsia" w:ascii="仿宋" w:hAnsi="仿宋" w:eastAsia="仿宋" w:cs="仿宋"/>
          <w:sz w:val="32"/>
          <w:szCs w:val="32"/>
        </w:rPr>
        <w:t>个，其中行政编制</w:t>
      </w:r>
      <w:r>
        <w:rPr>
          <w:rFonts w:hint="eastAsia" w:ascii="仿宋" w:hAnsi="仿宋" w:eastAsia="仿宋" w:cs="仿宋"/>
          <w:sz w:val="32"/>
          <w:szCs w:val="32"/>
          <w:lang w:val="en-US" w:eastAsia="zh-CN"/>
        </w:rPr>
        <w:t>80</w:t>
      </w:r>
      <w:r>
        <w:rPr>
          <w:rFonts w:hint="eastAsia" w:ascii="仿宋" w:hAnsi="仿宋" w:eastAsia="仿宋" w:cs="仿宋"/>
          <w:sz w:val="32"/>
          <w:szCs w:val="32"/>
        </w:rPr>
        <w:t>个，行政工勤</w:t>
      </w:r>
      <w:r>
        <w:rPr>
          <w:rFonts w:hint="eastAsia" w:ascii="仿宋" w:hAnsi="仿宋" w:eastAsia="仿宋" w:cs="仿宋"/>
          <w:sz w:val="32"/>
          <w:szCs w:val="32"/>
          <w:lang w:val="en-US" w:eastAsia="zh-CN"/>
        </w:rPr>
        <w:t>7</w:t>
      </w:r>
      <w:r>
        <w:rPr>
          <w:rFonts w:hint="eastAsia" w:ascii="仿宋" w:hAnsi="仿宋" w:eastAsia="仿宋" w:cs="仿宋"/>
          <w:sz w:val="32"/>
          <w:szCs w:val="32"/>
        </w:rPr>
        <w:t>个</w:t>
      </w:r>
      <w:r>
        <w:rPr>
          <w:rFonts w:hint="eastAsia" w:ascii="仿宋" w:hAnsi="仿宋" w:eastAsia="仿宋" w:cs="仿宋"/>
          <w:sz w:val="32"/>
          <w:szCs w:val="32"/>
          <w:lang w:eastAsia="zh-CN"/>
        </w:rPr>
        <w:t>，</w:t>
      </w:r>
      <w:r>
        <w:rPr>
          <w:rFonts w:hint="eastAsia" w:ascii="仿宋" w:hAnsi="仿宋" w:eastAsia="仿宋" w:cs="仿宋"/>
          <w:sz w:val="32"/>
          <w:szCs w:val="32"/>
        </w:rPr>
        <w:t>无下属二级单位。设办公室、组织部、宣传部、党风政风监督室、信访室、案件监督管理室、第一至第六纪检监察室、案件审理室13个内设机构。派出农村片区纪工委（农村监察室）4个，派驻纪检监察组9个。区委巡察工作领导小组办公室列区委工作机关序列，设在区纪委。</w:t>
      </w:r>
    </w:p>
    <w:p>
      <w:pPr>
        <w:pStyle w:val="4"/>
        <w:pageBreakBefore w:val="0"/>
        <w:widowControl w:val="0"/>
        <w:kinsoku/>
        <w:wordWrap/>
        <w:overflowPunct/>
        <w:topLinePunct w:val="0"/>
        <w:autoSpaceDE/>
        <w:autoSpaceDN/>
        <w:bidi w:val="0"/>
        <w:adjustRightInd/>
        <w:snapToGrid/>
        <w:spacing w:line="600" w:lineRule="exact"/>
        <w:ind w:right="440"/>
        <w:jc w:val="center"/>
        <w:textAlignment w:val="auto"/>
        <w:rPr>
          <w:rStyle w:val="28"/>
          <w:rFonts w:ascii="黑体" w:hAnsi="黑体" w:eastAsia="黑体"/>
          <w:b w:val="0"/>
          <w:bCs/>
        </w:rPr>
      </w:pPr>
      <w:bookmarkStart w:id="16" w:name="_Toc15377204"/>
      <w:bookmarkStart w:id="17" w:name="_Toc15396602"/>
      <w:r>
        <w:drawing>
          <wp:anchor distT="0" distB="0" distL="114300" distR="114300" simplePos="0" relativeHeight="251659264" behindDoc="0" locked="0" layoutInCell="1" allowOverlap="1">
            <wp:simplePos x="0" y="0"/>
            <wp:positionH relativeFrom="column">
              <wp:posOffset>95885</wp:posOffset>
            </wp:positionH>
            <wp:positionV relativeFrom="paragraph">
              <wp:posOffset>2931795</wp:posOffset>
            </wp:positionV>
            <wp:extent cx="5271135" cy="3213100"/>
            <wp:effectExtent l="38735" t="18415" r="43180" b="64135"/>
            <wp:wrapTopAndBottom/>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eastAsia" w:ascii="黑体" w:hAnsi="黑体" w:eastAsia="黑体"/>
          <w:b w:val="0"/>
        </w:rPr>
        <w:t>第二部分 2022年度</w:t>
      </w:r>
      <w:r>
        <w:rPr>
          <w:rStyle w:val="28"/>
          <w:rFonts w:hint="eastAsia" w:ascii="黑体" w:hAnsi="黑体" w:eastAsia="黑体"/>
          <w:b w:val="0"/>
          <w:bCs/>
        </w:rPr>
        <w:t>部门决算情况说明</w:t>
      </w:r>
      <w:bookmarkEnd w:id="16"/>
      <w:bookmarkEnd w:id="17"/>
    </w:p>
    <w:p>
      <w:pPr>
        <w:pageBreakBefore w:val="0"/>
        <w:widowControl w:val="0"/>
        <w:kinsoku/>
        <w:wordWrap/>
        <w:overflowPunct/>
        <w:topLinePunct w:val="0"/>
        <w:autoSpaceDE/>
        <w:autoSpaceDN/>
        <w:bidi w:val="0"/>
        <w:adjustRightInd/>
        <w:snapToGrid/>
        <w:spacing w:line="600" w:lineRule="exact"/>
        <w:textAlignment w:val="auto"/>
        <w:rPr>
          <w:sz w:val="18"/>
          <w:szCs w:val="18"/>
        </w:rPr>
      </w:pPr>
    </w:p>
    <w:p>
      <w:pPr>
        <w:pStyle w:val="27"/>
        <w:pageBreakBefore w:val="0"/>
        <w:widowControl w:val="0"/>
        <w:numPr>
          <w:ilvl w:val="0"/>
          <w:numId w:val="1"/>
        </w:numPr>
        <w:kinsoku/>
        <w:wordWrap/>
        <w:overflowPunct/>
        <w:topLinePunct w:val="0"/>
        <w:autoSpaceDE/>
        <w:autoSpaceDN/>
        <w:bidi w:val="0"/>
        <w:adjustRightInd/>
        <w:snapToGrid/>
        <w:spacing w:line="600" w:lineRule="exact"/>
        <w:ind w:firstLineChars="0"/>
        <w:textAlignment w:val="auto"/>
        <w:outlineLvl w:val="1"/>
        <w:rPr>
          <w:rStyle w:val="29"/>
          <w:rFonts w:ascii="黑体" w:hAnsi="黑体" w:eastAsia="黑体"/>
          <w:b w:val="0"/>
        </w:rPr>
      </w:pPr>
      <w:bookmarkStart w:id="18" w:name="_Toc15377205"/>
      <w:bookmarkStart w:id="19" w:name="_Toc15396603"/>
      <w:r>
        <w:rPr>
          <w:rFonts w:hint="eastAsia" w:ascii="黑体" w:hAnsi="黑体" w:eastAsia="黑体"/>
          <w:sz w:val="32"/>
          <w:szCs w:val="32"/>
        </w:rPr>
        <w:t>收</w:t>
      </w:r>
      <w:r>
        <w:rPr>
          <w:rStyle w:val="29"/>
          <w:rFonts w:hint="eastAsia" w:ascii="黑体" w:hAnsi="黑体" w:eastAsia="黑体"/>
          <w:b w:val="0"/>
        </w:rPr>
        <w:t>入支出决算总体情况说明</w:t>
      </w:r>
      <w:bookmarkEnd w:id="18"/>
      <w:bookmarkEnd w:id="19"/>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2022年度收、支总计</w:t>
      </w:r>
      <w:r>
        <w:rPr>
          <w:rFonts w:hint="eastAsia" w:ascii="仿宋" w:hAnsi="仿宋" w:eastAsia="仿宋"/>
          <w:sz w:val="32"/>
          <w:szCs w:val="32"/>
          <w:lang w:val="en-US" w:eastAsia="zh-CN"/>
        </w:rPr>
        <w:t>1697.84</w:t>
      </w:r>
      <w:r>
        <w:rPr>
          <w:rFonts w:hint="eastAsia" w:ascii="仿宋" w:hAnsi="仿宋" w:eastAsia="仿宋"/>
          <w:sz w:val="32"/>
          <w:szCs w:val="32"/>
        </w:rPr>
        <w:t>万元。与2021年</w:t>
      </w:r>
      <w:r>
        <w:rPr>
          <w:rFonts w:hint="eastAsia" w:ascii="仿宋" w:hAnsi="仿宋" w:eastAsia="仿宋"/>
          <w:sz w:val="32"/>
          <w:szCs w:val="32"/>
          <w:lang w:val="en-US" w:eastAsia="zh-CN"/>
        </w:rPr>
        <w:t>1639.36万元</w:t>
      </w:r>
      <w:r>
        <w:rPr>
          <w:rFonts w:hint="eastAsia" w:ascii="仿宋" w:hAnsi="仿宋" w:eastAsia="仿宋"/>
          <w:sz w:val="32"/>
          <w:szCs w:val="32"/>
        </w:rPr>
        <w:t>相比，收、支总计各增加</w:t>
      </w:r>
      <w:r>
        <w:rPr>
          <w:rFonts w:hint="eastAsia" w:ascii="仿宋" w:hAnsi="仿宋" w:eastAsia="仿宋"/>
          <w:sz w:val="32"/>
          <w:szCs w:val="32"/>
          <w:lang w:val="en-US" w:eastAsia="zh-CN"/>
        </w:rPr>
        <w:t>58.48</w:t>
      </w:r>
      <w:r>
        <w:rPr>
          <w:rFonts w:hint="eastAsia" w:ascii="仿宋" w:hAnsi="仿宋" w:eastAsia="仿宋"/>
          <w:sz w:val="32"/>
          <w:szCs w:val="32"/>
        </w:rPr>
        <w:t>万元，增长</w:t>
      </w:r>
      <w:r>
        <w:rPr>
          <w:rFonts w:hint="eastAsia" w:ascii="仿宋" w:hAnsi="仿宋" w:eastAsia="仿宋"/>
          <w:sz w:val="32"/>
          <w:szCs w:val="32"/>
          <w:lang w:val="en-US" w:eastAsia="zh-CN"/>
        </w:rPr>
        <w:t>3.57</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2022年增加基础绩效工资</w:t>
      </w:r>
      <w:r>
        <w:rPr>
          <w:rFonts w:hint="eastAsia" w:ascii="仿宋" w:hAnsi="仿宋" w:eastAsia="仿宋"/>
          <w:sz w:val="32"/>
          <w:szCs w:val="32"/>
        </w:rPr>
        <w:t>。</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仿宋_GB2312" w:eastAsia="仿宋_GB2312"/>
          <w:sz w:val="32"/>
          <w:szCs w:val="32"/>
        </w:rPr>
      </w:pPr>
    </w:p>
    <w:p>
      <w:pPr>
        <w:pStyle w:val="27"/>
        <w:pageBreakBefore w:val="0"/>
        <w:widowControl w:val="0"/>
        <w:numPr>
          <w:ilvl w:val="0"/>
          <w:numId w:val="1"/>
        </w:numPr>
        <w:kinsoku/>
        <w:wordWrap/>
        <w:overflowPunct/>
        <w:topLinePunct w:val="0"/>
        <w:autoSpaceDE/>
        <w:autoSpaceDN/>
        <w:bidi w:val="0"/>
        <w:adjustRightInd/>
        <w:snapToGrid/>
        <w:spacing w:line="600" w:lineRule="exact"/>
        <w:ind w:firstLineChars="0"/>
        <w:textAlignment w:val="auto"/>
        <w:outlineLvl w:val="1"/>
        <w:rPr>
          <w:rStyle w:val="29"/>
          <w:rFonts w:ascii="黑体" w:hAnsi="黑体" w:eastAsia="黑体"/>
          <w:b w:val="0"/>
        </w:rPr>
      </w:pPr>
      <w:bookmarkStart w:id="20" w:name="_Toc15396604"/>
      <w:bookmarkStart w:id="21" w:name="_Toc15377206"/>
      <w:r>
        <w:rPr>
          <w:rFonts w:hint="eastAsia" w:ascii="黑体" w:hAnsi="黑体" w:eastAsia="黑体"/>
          <w:sz w:val="32"/>
          <w:szCs w:val="32"/>
        </w:rPr>
        <w:t>收</w:t>
      </w:r>
      <w:r>
        <w:rPr>
          <w:rStyle w:val="29"/>
          <w:rFonts w:hint="eastAsia" w:ascii="黑体" w:hAnsi="黑体" w:eastAsia="黑体"/>
          <w:b w:val="0"/>
        </w:rPr>
        <w:t>入决算情况说明</w:t>
      </w:r>
      <w:bookmarkEnd w:id="20"/>
      <w:bookmarkEnd w:id="21"/>
    </w:p>
    <w:p>
      <w:pPr>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22年本年收入合计</w:t>
      </w:r>
      <w:r>
        <w:rPr>
          <w:rFonts w:hint="eastAsia" w:ascii="仿宋" w:hAnsi="仿宋" w:eastAsia="仿宋"/>
          <w:sz w:val="32"/>
          <w:szCs w:val="32"/>
          <w:lang w:val="en-US" w:eastAsia="zh-CN"/>
        </w:rPr>
        <w:t>1627.84</w:t>
      </w:r>
      <w:r>
        <w:rPr>
          <w:rFonts w:hint="eastAsia" w:ascii="仿宋" w:hAnsi="仿宋" w:eastAsia="仿宋"/>
          <w:sz w:val="32"/>
          <w:szCs w:val="32"/>
        </w:rPr>
        <w:t>万元，其中：一般公共预算财政拨款收入</w:t>
      </w:r>
      <w:r>
        <w:rPr>
          <w:rFonts w:hint="eastAsia" w:ascii="仿宋" w:hAnsi="仿宋" w:eastAsia="仿宋"/>
          <w:sz w:val="32"/>
          <w:szCs w:val="32"/>
          <w:lang w:val="en-US" w:eastAsia="zh-CN"/>
        </w:rPr>
        <w:t>1627.84</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；政府性基金预算财政拨款收入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；国有资本经营预算财政拨款收入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；上级补助收入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；事业收入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；附属单位上缴收入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；其他收入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pPr>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01表</w:t>
      </w:r>
      <w:r>
        <w:rPr>
          <w:rFonts w:hint="eastAsia" w:ascii="仿宋" w:hAnsi="仿宋" w:eastAsia="仿宋"/>
          <w:b/>
          <w:sz w:val="32"/>
          <w:szCs w:val="32"/>
        </w:rPr>
        <w:t>，仅罗列本部门涉及的收入。</w:t>
      </w:r>
      <w:r>
        <w:rPr>
          <w:rFonts w:ascii="仿宋" w:hAnsi="仿宋" w:eastAsia="仿宋"/>
          <w:b/>
          <w:sz w:val="32"/>
          <w:szCs w:val="32"/>
        </w:rPr>
        <w:t>）</w:t>
      </w:r>
    </w:p>
    <w:p>
      <w:pPr>
        <w:pageBreakBefore w:val="0"/>
        <w:widowControl w:val="0"/>
        <w:kinsoku/>
        <w:wordWrap/>
        <w:overflowPunct/>
        <w:topLinePunct w:val="0"/>
        <w:autoSpaceDE/>
        <w:autoSpaceDN/>
        <w:bidi w:val="0"/>
        <w:adjustRightInd/>
        <w:snapToGrid/>
        <w:spacing w:line="600" w:lineRule="exact"/>
        <w:ind w:firstLine="420" w:firstLineChars="200"/>
        <w:textAlignment w:val="auto"/>
        <w:rPr>
          <w:rFonts w:ascii="仿宋" w:hAnsi="仿宋" w:eastAsia="仿宋"/>
          <w:sz w:val="32"/>
          <w:szCs w:val="32"/>
        </w:rPr>
      </w:pPr>
      <w:r>
        <w:drawing>
          <wp:anchor distT="0" distB="0" distL="114300" distR="114300" simplePos="0" relativeHeight="251660288" behindDoc="0" locked="0" layoutInCell="1" allowOverlap="1">
            <wp:simplePos x="0" y="0"/>
            <wp:positionH relativeFrom="column">
              <wp:posOffset>76835</wp:posOffset>
            </wp:positionH>
            <wp:positionV relativeFrom="paragraph">
              <wp:posOffset>532765</wp:posOffset>
            </wp:positionV>
            <wp:extent cx="5151755" cy="2708275"/>
            <wp:effectExtent l="38735" t="18415" r="48260" b="73660"/>
            <wp:wrapTopAndBottom/>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仿宋" w:hAnsi="仿宋" w:eastAsia="仿宋"/>
          <w:sz w:val="32"/>
          <w:szCs w:val="32"/>
        </w:rPr>
        <w:t>（图2：收入决算结构图）（饼状图）</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p>
    <w:p>
      <w:pPr>
        <w:pStyle w:val="27"/>
        <w:pageBreakBefore w:val="0"/>
        <w:widowControl w:val="0"/>
        <w:numPr>
          <w:ilvl w:val="0"/>
          <w:numId w:val="1"/>
        </w:numPr>
        <w:kinsoku/>
        <w:wordWrap/>
        <w:overflowPunct/>
        <w:topLinePunct w:val="0"/>
        <w:autoSpaceDE/>
        <w:autoSpaceDN/>
        <w:bidi w:val="0"/>
        <w:adjustRightInd/>
        <w:snapToGrid/>
        <w:spacing w:line="600" w:lineRule="exact"/>
        <w:ind w:firstLineChars="0"/>
        <w:textAlignment w:val="auto"/>
        <w:outlineLvl w:val="1"/>
        <w:rPr>
          <w:rStyle w:val="29"/>
          <w:rFonts w:ascii="黑体" w:hAnsi="黑体" w:eastAsia="黑体"/>
          <w:b w:val="0"/>
        </w:rPr>
      </w:pPr>
      <w:bookmarkStart w:id="22" w:name="_Toc15396605"/>
      <w:bookmarkStart w:id="23" w:name="_Toc15377207"/>
      <w:r>
        <w:rPr>
          <w:rFonts w:hint="eastAsia" w:ascii="黑体" w:hAnsi="黑体" w:eastAsia="黑体"/>
          <w:sz w:val="32"/>
          <w:szCs w:val="32"/>
        </w:rPr>
        <w:t>支</w:t>
      </w:r>
      <w:r>
        <w:rPr>
          <w:rStyle w:val="29"/>
          <w:rFonts w:hint="eastAsia" w:ascii="黑体" w:hAnsi="黑体" w:eastAsia="黑体"/>
          <w:b w:val="0"/>
        </w:rPr>
        <w:t>出决算情况说明</w:t>
      </w:r>
      <w:bookmarkEnd w:id="22"/>
      <w:bookmarkEnd w:id="23"/>
    </w:p>
    <w:p>
      <w:pPr>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22年本年支出合计</w:t>
      </w:r>
      <w:r>
        <w:rPr>
          <w:rFonts w:hint="eastAsia" w:ascii="仿宋" w:hAnsi="仿宋" w:eastAsia="仿宋"/>
          <w:sz w:val="32"/>
          <w:szCs w:val="32"/>
          <w:lang w:val="en-US" w:eastAsia="zh-CN"/>
        </w:rPr>
        <w:t>1697.84</w:t>
      </w:r>
      <w:r>
        <w:rPr>
          <w:rFonts w:hint="eastAsia" w:ascii="仿宋" w:hAnsi="仿宋" w:eastAsia="仿宋"/>
          <w:sz w:val="32"/>
          <w:szCs w:val="32"/>
        </w:rPr>
        <w:t>万元，其中：基本支出</w:t>
      </w:r>
      <w:r>
        <w:rPr>
          <w:rFonts w:hint="eastAsia" w:ascii="仿宋" w:hAnsi="仿宋" w:eastAsia="仿宋"/>
          <w:sz w:val="32"/>
          <w:szCs w:val="32"/>
          <w:lang w:val="en-US" w:eastAsia="zh-CN"/>
        </w:rPr>
        <w:t>1355.1</w:t>
      </w:r>
      <w:r>
        <w:rPr>
          <w:rFonts w:hint="eastAsia" w:ascii="仿宋" w:hAnsi="仿宋" w:eastAsia="仿宋"/>
          <w:sz w:val="32"/>
          <w:szCs w:val="32"/>
        </w:rPr>
        <w:t>万元，占</w:t>
      </w:r>
      <w:r>
        <w:rPr>
          <w:rFonts w:hint="eastAsia" w:ascii="仿宋" w:hAnsi="仿宋" w:eastAsia="仿宋"/>
          <w:sz w:val="32"/>
          <w:szCs w:val="32"/>
          <w:lang w:val="en-US" w:eastAsia="zh-CN"/>
        </w:rPr>
        <w:t>79.81</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342.74</w:t>
      </w:r>
      <w:r>
        <w:rPr>
          <w:rFonts w:hint="eastAsia" w:ascii="仿宋" w:hAnsi="仿宋" w:eastAsia="仿宋"/>
          <w:sz w:val="32"/>
          <w:szCs w:val="32"/>
        </w:rPr>
        <w:t>万元，占</w:t>
      </w:r>
      <w:r>
        <w:rPr>
          <w:rFonts w:hint="eastAsia" w:ascii="仿宋" w:hAnsi="仿宋" w:eastAsia="仿宋"/>
          <w:sz w:val="32"/>
          <w:szCs w:val="32"/>
          <w:lang w:val="en-US" w:eastAsia="zh-CN"/>
        </w:rPr>
        <w:t>20.19</w:t>
      </w:r>
      <w:r>
        <w:rPr>
          <w:rFonts w:ascii="仿宋" w:hAnsi="仿宋" w:eastAsia="仿宋"/>
          <w:sz w:val="32"/>
          <w:szCs w:val="32"/>
        </w:rPr>
        <w:t>%</w:t>
      </w:r>
      <w:r>
        <w:rPr>
          <w:rFonts w:hint="eastAsia" w:ascii="仿宋" w:hAnsi="仿宋" w:eastAsia="仿宋"/>
          <w:sz w:val="32"/>
          <w:szCs w:val="32"/>
        </w:rPr>
        <w:t>；上缴上级支出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；对附属单位补助支出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pPr>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04</w:t>
      </w:r>
      <w:r>
        <w:rPr>
          <w:rFonts w:hint="eastAsia" w:ascii="仿宋" w:hAnsi="仿宋" w:eastAsia="仿宋"/>
          <w:b/>
          <w:sz w:val="32"/>
          <w:szCs w:val="32"/>
        </w:rPr>
        <w:t>表，仅罗列本部门涉及的支出。）</w:t>
      </w:r>
    </w:p>
    <w:p>
      <w:pPr>
        <w:pageBreakBefore w:val="0"/>
        <w:widowControl w:val="0"/>
        <w:kinsoku/>
        <w:wordWrap/>
        <w:overflowPunct/>
        <w:topLinePunct w:val="0"/>
        <w:autoSpaceDE/>
        <w:autoSpaceDN/>
        <w:bidi w:val="0"/>
        <w:adjustRightInd/>
        <w:snapToGrid/>
        <w:spacing w:line="600" w:lineRule="exact"/>
        <w:ind w:firstLine="640"/>
        <w:textAlignment w:val="auto"/>
        <w:rPr>
          <w:rFonts w:ascii="仿宋" w:hAnsi="仿宋" w:eastAsia="仿宋"/>
          <w:sz w:val="32"/>
          <w:szCs w:val="32"/>
          <w:shd w:val="pct10" w:color="auto" w:fill="FFFFFF"/>
        </w:rPr>
      </w:pPr>
    </w:p>
    <w:p>
      <w:pPr>
        <w:pageBreakBefore w:val="0"/>
        <w:widowControl w:val="0"/>
        <w:kinsoku/>
        <w:wordWrap/>
        <w:overflowPunct/>
        <w:topLinePunct w:val="0"/>
        <w:autoSpaceDE/>
        <w:autoSpaceDN/>
        <w:bidi w:val="0"/>
        <w:adjustRightInd/>
        <w:snapToGrid/>
        <w:spacing w:line="600" w:lineRule="exact"/>
        <w:ind w:firstLine="420" w:firstLineChars="200"/>
        <w:textAlignment w:val="auto"/>
        <w:rPr>
          <w:rFonts w:ascii="仿宋_GB2312" w:eastAsia="仿宋_GB2312"/>
          <w:sz w:val="32"/>
          <w:szCs w:val="32"/>
        </w:rPr>
      </w:pPr>
      <w:r>
        <w:drawing>
          <wp:anchor distT="0" distB="0" distL="114300" distR="114300" simplePos="0" relativeHeight="251661312" behindDoc="0" locked="0" layoutInCell="1" allowOverlap="1">
            <wp:simplePos x="0" y="0"/>
            <wp:positionH relativeFrom="column">
              <wp:posOffset>172085</wp:posOffset>
            </wp:positionH>
            <wp:positionV relativeFrom="paragraph">
              <wp:posOffset>427990</wp:posOffset>
            </wp:positionV>
            <wp:extent cx="5203190" cy="2717165"/>
            <wp:effectExtent l="38735" t="18415" r="53975" b="64770"/>
            <wp:wrapTopAndBottom/>
            <wp:docPr id="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hint="eastAsia" w:ascii="仿宋" w:hAnsi="仿宋" w:eastAsia="仿宋"/>
          <w:sz w:val="32"/>
          <w:szCs w:val="32"/>
        </w:rPr>
        <w:t>（图3：支出决算结构图）（饼状图）</w:t>
      </w:r>
    </w:p>
    <w:p>
      <w:pPr>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sz w:val="32"/>
          <w:szCs w:val="32"/>
        </w:rPr>
      </w:pPr>
      <w:bookmarkStart w:id="24" w:name="_Toc15377208"/>
      <w:bookmarkStart w:id="25" w:name="_Toc15396606"/>
    </w:p>
    <w:p>
      <w:pPr>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Style w:val="29"/>
          <w:rFonts w:ascii="黑体" w:hAnsi="黑体" w:eastAsia="黑体"/>
          <w:b w:val="0"/>
        </w:rPr>
      </w:pPr>
      <w:r>
        <w:rPr>
          <w:rFonts w:hint="eastAsia" w:ascii="黑体" w:hAnsi="黑体" w:eastAsia="黑体"/>
          <w:sz w:val="32"/>
          <w:szCs w:val="32"/>
        </w:rPr>
        <w:t>四、财</w:t>
      </w:r>
      <w:r>
        <w:rPr>
          <w:rStyle w:val="29"/>
          <w:rFonts w:hint="eastAsia" w:ascii="黑体" w:hAnsi="黑体" w:eastAsia="黑体"/>
          <w:b w:val="0"/>
        </w:rPr>
        <w:t>政拨款收入支出决算总体情况说明</w:t>
      </w:r>
      <w:bookmarkEnd w:id="24"/>
      <w:bookmarkEnd w:id="25"/>
    </w:p>
    <w:p>
      <w:pPr>
        <w:pageBreakBefore w:val="0"/>
        <w:widowControl w:val="0"/>
        <w:kinsoku/>
        <w:wordWrap/>
        <w:overflowPunct/>
        <w:topLinePunct w:val="0"/>
        <w:autoSpaceDE/>
        <w:autoSpaceDN/>
        <w:bidi w:val="0"/>
        <w:adjustRightInd/>
        <w:snapToGrid/>
        <w:spacing w:line="600" w:lineRule="exact"/>
        <w:ind w:firstLine="640"/>
        <w:textAlignment w:val="auto"/>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22年财政拨款收、支总计</w:t>
      </w:r>
      <w:r>
        <w:rPr>
          <w:rFonts w:hint="eastAsia" w:ascii="仿宋" w:hAnsi="仿宋" w:eastAsia="仿宋"/>
          <w:sz w:val="32"/>
          <w:szCs w:val="32"/>
          <w:lang w:val="en-US" w:eastAsia="zh-CN"/>
        </w:rPr>
        <w:t>1697.84</w:t>
      </w:r>
      <w:r>
        <w:rPr>
          <w:rFonts w:hint="eastAsia" w:ascii="仿宋" w:hAnsi="仿宋" w:eastAsia="仿宋"/>
          <w:sz w:val="32"/>
          <w:szCs w:val="32"/>
        </w:rPr>
        <w:t>万元。与</w:t>
      </w:r>
      <w:r>
        <w:rPr>
          <w:rFonts w:ascii="仿宋" w:hAnsi="仿宋" w:eastAsia="仿宋"/>
          <w:sz w:val="32"/>
          <w:szCs w:val="32"/>
        </w:rPr>
        <w:t>20</w:t>
      </w:r>
      <w:r>
        <w:rPr>
          <w:rFonts w:hint="eastAsia" w:ascii="仿宋" w:hAnsi="仿宋" w:eastAsia="仿宋"/>
          <w:sz w:val="32"/>
          <w:szCs w:val="32"/>
        </w:rPr>
        <w:t>21年</w:t>
      </w:r>
      <w:r>
        <w:rPr>
          <w:rFonts w:hint="eastAsia" w:ascii="仿宋" w:hAnsi="仿宋" w:eastAsia="仿宋"/>
          <w:sz w:val="32"/>
          <w:szCs w:val="32"/>
          <w:lang w:val="en-US" w:eastAsia="zh-CN"/>
        </w:rPr>
        <w:t>1639.36万元</w:t>
      </w:r>
      <w:r>
        <w:rPr>
          <w:rFonts w:hint="eastAsia" w:ascii="仿宋" w:hAnsi="仿宋" w:eastAsia="仿宋"/>
          <w:sz w:val="32"/>
          <w:szCs w:val="32"/>
        </w:rPr>
        <w:t>相比，财政拨款收、支总计各增加</w:t>
      </w:r>
      <w:r>
        <w:rPr>
          <w:rFonts w:hint="eastAsia" w:ascii="仿宋" w:hAnsi="仿宋" w:eastAsia="仿宋"/>
          <w:sz w:val="32"/>
          <w:szCs w:val="32"/>
          <w:lang w:val="en-US" w:eastAsia="zh-CN"/>
        </w:rPr>
        <w:t>58.48</w:t>
      </w:r>
      <w:r>
        <w:rPr>
          <w:rFonts w:hint="eastAsia" w:ascii="仿宋" w:hAnsi="仿宋" w:eastAsia="仿宋"/>
          <w:sz w:val="32"/>
          <w:szCs w:val="32"/>
        </w:rPr>
        <w:t>万元，增长</w:t>
      </w:r>
      <w:r>
        <w:rPr>
          <w:rFonts w:hint="eastAsia" w:ascii="仿宋" w:hAnsi="仿宋" w:eastAsia="仿宋"/>
          <w:sz w:val="32"/>
          <w:szCs w:val="32"/>
          <w:lang w:val="en-US" w:eastAsia="zh-CN"/>
        </w:rPr>
        <w:t>3.57</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2022年增加基础绩效工资</w:t>
      </w:r>
      <w:r>
        <w:rPr>
          <w:rFonts w:hint="eastAsia" w:ascii="仿宋" w:hAnsi="仿宋" w:eastAsia="仿宋"/>
          <w:sz w:val="32"/>
          <w:szCs w:val="32"/>
        </w:rPr>
        <w:t>。</w:t>
      </w:r>
    </w:p>
    <w:p>
      <w:pPr>
        <w:pageBreakBefore w:val="0"/>
        <w:widowControl w:val="0"/>
        <w:kinsoku/>
        <w:wordWrap/>
        <w:overflowPunct/>
        <w:topLinePunct w:val="0"/>
        <w:autoSpaceDE/>
        <w:autoSpaceDN/>
        <w:bidi w:val="0"/>
        <w:adjustRightInd/>
        <w:snapToGrid/>
        <w:spacing w:line="600" w:lineRule="exact"/>
        <w:ind w:firstLine="640"/>
        <w:textAlignment w:val="auto"/>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01-1</w:t>
      </w:r>
      <w:r>
        <w:rPr>
          <w:rFonts w:hint="eastAsia" w:ascii="仿宋" w:hAnsi="仿宋" w:eastAsia="仿宋"/>
          <w:b/>
          <w:sz w:val="32"/>
          <w:szCs w:val="32"/>
        </w:rPr>
        <w:t>表</w:t>
      </w:r>
      <w:r>
        <w:rPr>
          <w:rFonts w:ascii="仿宋" w:hAnsi="仿宋" w:eastAsia="仿宋"/>
          <w:b/>
          <w:sz w:val="32"/>
          <w:szCs w:val="32"/>
        </w:rPr>
        <w:t>）</w:t>
      </w:r>
    </w:p>
    <w:p>
      <w:pPr>
        <w:pageBreakBefore w:val="0"/>
        <w:widowControl w:val="0"/>
        <w:kinsoku/>
        <w:wordWrap/>
        <w:overflowPunct/>
        <w:topLinePunct w:val="0"/>
        <w:autoSpaceDE/>
        <w:autoSpaceDN/>
        <w:bidi w:val="0"/>
        <w:adjustRightInd/>
        <w:snapToGrid/>
        <w:spacing w:line="600" w:lineRule="exact"/>
        <w:ind w:firstLine="420" w:firstLineChars="200"/>
        <w:textAlignment w:val="auto"/>
        <w:rPr>
          <w:rFonts w:ascii="仿宋" w:hAnsi="仿宋" w:eastAsia="仿宋"/>
          <w:sz w:val="32"/>
          <w:szCs w:val="32"/>
        </w:rPr>
      </w:pPr>
      <w:r>
        <w:drawing>
          <wp:anchor distT="0" distB="0" distL="114300" distR="114300" simplePos="0" relativeHeight="251662336" behindDoc="0" locked="0" layoutInCell="1" allowOverlap="1">
            <wp:simplePos x="0" y="0"/>
            <wp:positionH relativeFrom="column">
              <wp:posOffset>92710</wp:posOffset>
            </wp:positionH>
            <wp:positionV relativeFrom="paragraph">
              <wp:posOffset>570865</wp:posOffset>
            </wp:positionV>
            <wp:extent cx="5339715" cy="2789555"/>
            <wp:effectExtent l="38735" t="18415" r="50800" b="68580"/>
            <wp:wrapTopAndBottom/>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仿宋" w:hAnsi="仿宋" w:eastAsia="仿宋"/>
          <w:sz w:val="32"/>
          <w:szCs w:val="32"/>
        </w:rPr>
        <w:t>（图4：财政拨款收、支决算总计变动情况）（柱状图）</w:t>
      </w:r>
    </w:p>
    <w:p>
      <w:pPr>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Style w:val="29"/>
          <w:rFonts w:ascii="黑体" w:hAnsi="黑体" w:eastAsia="黑体"/>
          <w:b w:val="0"/>
        </w:rPr>
      </w:pPr>
      <w:bookmarkStart w:id="26" w:name="_Toc15377209"/>
      <w:bookmarkStart w:id="27" w:name="_Toc15396607"/>
      <w:r>
        <w:rPr>
          <w:rFonts w:hint="eastAsia" w:ascii="黑体" w:hAnsi="黑体" w:eastAsia="黑体"/>
          <w:sz w:val="32"/>
          <w:szCs w:val="32"/>
        </w:rPr>
        <w:t>五、</w:t>
      </w:r>
      <w:r>
        <w:rPr>
          <w:rFonts w:hint="eastAsia" w:ascii="黑体" w:hAnsi="黑体" w:eastAsia="黑体"/>
          <w:b/>
          <w:sz w:val="32"/>
          <w:szCs w:val="32"/>
        </w:rPr>
        <w:t>一</w:t>
      </w:r>
      <w:r>
        <w:rPr>
          <w:rStyle w:val="29"/>
          <w:rFonts w:hint="eastAsia" w:ascii="黑体" w:hAnsi="黑体" w:eastAsia="黑体"/>
          <w:b w:val="0"/>
        </w:rPr>
        <w:t>般公共预算财政拨款支出决算情况说明</w:t>
      </w:r>
      <w:bookmarkEnd w:id="26"/>
      <w:bookmarkEnd w:id="27"/>
    </w:p>
    <w:p>
      <w:pPr>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1697.84</w:t>
      </w:r>
      <w:r>
        <w:rPr>
          <w:rFonts w:hint="eastAsia" w:ascii="仿宋" w:hAnsi="仿宋" w:eastAsia="仿宋"/>
          <w:sz w:val="32"/>
          <w:szCs w:val="32"/>
        </w:rPr>
        <w:t>万元，占本年支出合计的</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w:t>
      </w:r>
      <w:r>
        <w:rPr>
          <w:rFonts w:hint="eastAsia" w:ascii="仿宋" w:hAnsi="仿宋" w:eastAsia="仿宋"/>
          <w:sz w:val="32"/>
          <w:szCs w:val="32"/>
          <w:lang w:val="en-US" w:eastAsia="zh-CN"/>
        </w:rPr>
        <w:t>1618.61万元</w:t>
      </w:r>
      <w:r>
        <w:rPr>
          <w:rFonts w:hint="eastAsia" w:ascii="仿宋" w:hAnsi="仿宋" w:eastAsia="仿宋"/>
          <w:sz w:val="32"/>
          <w:szCs w:val="32"/>
        </w:rPr>
        <w:t>相比，一般公共预算财政拨款支出增加</w:t>
      </w:r>
      <w:r>
        <w:rPr>
          <w:rFonts w:hint="eastAsia" w:ascii="仿宋" w:hAnsi="仿宋" w:eastAsia="仿宋"/>
          <w:sz w:val="32"/>
          <w:szCs w:val="32"/>
          <w:lang w:val="en-US" w:eastAsia="zh-CN"/>
        </w:rPr>
        <w:t>79.23</w:t>
      </w:r>
      <w:r>
        <w:rPr>
          <w:rFonts w:hint="eastAsia" w:ascii="仿宋" w:hAnsi="仿宋" w:eastAsia="仿宋"/>
          <w:sz w:val="32"/>
          <w:szCs w:val="32"/>
        </w:rPr>
        <w:t>万元，增长</w:t>
      </w:r>
      <w:r>
        <w:rPr>
          <w:rFonts w:hint="eastAsia" w:ascii="仿宋" w:hAnsi="仿宋" w:eastAsia="仿宋"/>
          <w:sz w:val="32"/>
          <w:szCs w:val="32"/>
          <w:lang w:val="en-US" w:eastAsia="zh-CN"/>
        </w:rPr>
        <w:t>4.89</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2022年增加基础绩效工资</w:t>
      </w:r>
      <w:r>
        <w:rPr>
          <w:rFonts w:hint="eastAsia" w:ascii="仿宋" w:hAnsi="仿宋" w:eastAsia="仿宋"/>
          <w:sz w:val="32"/>
          <w:szCs w:val="32"/>
        </w:rPr>
        <w:t>。</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（图5：一般公共预算财政拨款支出决算变动情况）（柱状图）</w:t>
      </w:r>
    </w:p>
    <w:p>
      <w:pPr>
        <w:spacing w:line="600" w:lineRule="exact"/>
        <w:ind w:firstLine="420" w:firstLineChars="200"/>
        <w:rPr>
          <w:rFonts w:ascii="仿宋" w:hAnsi="仿宋" w:eastAsia="仿宋"/>
          <w:sz w:val="32"/>
          <w:szCs w:val="32"/>
        </w:rPr>
      </w:pPr>
      <w:r>
        <w:drawing>
          <wp:anchor distT="0" distB="0" distL="114300" distR="114300" simplePos="0" relativeHeight="251663360" behindDoc="0" locked="0" layoutInCell="1" allowOverlap="1">
            <wp:simplePos x="0" y="0"/>
            <wp:positionH relativeFrom="column">
              <wp:posOffset>374015</wp:posOffset>
            </wp:positionH>
            <wp:positionV relativeFrom="paragraph">
              <wp:posOffset>97155</wp:posOffset>
            </wp:positionV>
            <wp:extent cx="5271135" cy="3213100"/>
            <wp:effectExtent l="38735" t="18415" r="43180" b="64135"/>
            <wp:wrapNone/>
            <wp:docPr id="6"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600" w:lineRule="exact"/>
        <w:ind w:firstLine="643" w:firstLineChars="200"/>
        <w:outlineLvl w:val="2"/>
        <w:rPr>
          <w:rFonts w:hint="eastAsia" w:ascii="仿宋" w:hAnsi="仿宋" w:eastAsia="仿宋"/>
          <w:b/>
          <w:sz w:val="32"/>
          <w:szCs w:val="32"/>
        </w:rPr>
      </w:pPr>
      <w:bookmarkStart w:id="29" w:name="_Toc15377211"/>
    </w:p>
    <w:p>
      <w:pPr>
        <w:spacing w:line="600" w:lineRule="exact"/>
        <w:ind w:firstLine="643" w:firstLineChars="200"/>
        <w:outlineLvl w:val="2"/>
        <w:rPr>
          <w:rFonts w:hint="eastAsia" w:ascii="仿宋" w:hAnsi="仿宋" w:eastAsia="仿宋"/>
          <w:b/>
          <w:sz w:val="32"/>
          <w:szCs w:val="32"/>
        </w:rPr>
      </w:pPr>
    </w:p>
    <w:p>
      <w:pPr>
        <w:spacing w:line="600" w:lineRule="exact"/>
        <w:ind w:firstLine="643" w:firstLineChars="200"/>
        <w:outlineLvl w:val="2"/>
        <w:rPr>
          <w:rFonts w:hint="eastAsia" w:ascii="仿宋" w:hAnsi="仿宋" w:eastAsia="仿宋"/>
          <w:b/>
          <w:sz w:val="32"/>
          <w:szCs w:val="32"/>
        </w:rPr>
      </w:pPr>
    </w:p>
    <w:p>
      <w:pPr>
        <w:spacing w:line="600" w:lineRule="exact"/>
        <w:ind w:firstLine="643" w:firstLineChars="200"/>
        <w:outlineLvl w:val="2"/>
        <w:rPr>
          <w:rFonts w:hint="eastAsia" w:ascii="仿宋" w:hAnsi="仿宋" w:eastAsia="仿宋"/>
          <w:b/>
          <w:sz w:val="32"/>
          <w:szCs w:val="32"/>
        </w:rPr>
      </w:pPr>
    </w:p>
    <w:p>
      <w:pPr>
        <w:spacing w:line="600" w:lineRule="exact"/>
        <w:ind w:firstLine="643" w:firstLineChars="200"/>
        <w:outlineLvl w:val="2"/>
        <w:rPr>
          <w:rFonts w:hint="eastAsia" w:ascii="仿宋" w:hAnsi="仿宋" w:eastAsia="仿宋"/>
          <w:b/>
          <w:sz w:val="32"/>
          <w:szCs w:val="32"/>
        </w:rPr>
      </w:pPr>
    </w:p>
    <w:p>
      <w:pPr>
        <w:spacing w:line="600" w:lineRule="exact"/>
        <w:ind w:firstLine="643" w:firstLineChars="200"/>
        <w:outlineLvl w:val="2"/>
        <w:rPr>
          <w:rFonts w:hint="eastAsia" w:ascii="仿宋" w:hAnsi="仿宋" w:eastAsia="仿宋"/>
          <w:b/>
          <w:sz w:val="32"/>
          <w:szCs w:val="32"/>
        </w:rPr>
      </w:pPr>
    </w:p>
    <w:p>
      <w:pPr>
        <w:spacing w:line="600" w:lineRule="exact"/>
        <w:ind w:firstLine="643" w:firstLineChars="200"/>
        <w:outlineLvl w:val="2"/>
        <w:rPr>
          <w:rFonts w:hint="eastAsia" w:ascii="仿宋" w:hAnsi="仿宋" w:eastAsia="仿宋"/>
          <w:b/>
          <w:sz w:val="32"/>
          <w:szCs w:val="32"/>
        </w:rPr>
      </w:pPr>
    </w:p>
    <w:p>
      <w:pPr>
        <w:spacing w:line="600" w:lineRule="exact"/>
        <w:ind w:firstLine="643" w:firstLineChars="200"/>
        <w:outlineLvl w:val="2"/>
        <w:rPr>
          <w:rFonts w:hint="eastAsia" w:ascii="仿宋" w:hAnsi="仿宋" w:eastAsia="仿宋"/>
          <w:b/>
          <w:sz w:val="32"/>
          <w:szCs w:val="32"/>
        </w:rPr>
      </w:pPr>
    </w:p>
    <w:p>
      <w:pPr>
        <w:keepNext w:val="0"/>
        <w:keepLines w:val="0"/>
        <w:pageBreakBefore w:val="0"/>
        <w:kinsoku/>
        <w:wordWrap/>
        <w:overflowPunct/>
        <w:topLinePunct w:val="0"/>
        <w:bidi w:val="0"/>
        <w:spacing w:line="600" w:lineRule="exact"/>
        <w:ind w:firstLine="643" w:firstLineChars="200"/>
        <w:textAlignment w:val="auto"/>
        <w:outlineLvl w:val="2"/>
        <w:rPr>
          <w:rFonts w:ascii="仿宋" w:hAnsi="仿宋" w:eastAsia="仿宋"/>
          <w:b/>
          <w:sz w:val="32"/>
          <w:szCs w:val="32"/>
        </w:rPr>
      </w:pPr>
      <w:r>
        <w:rPr>
          <w:rFonts w:hint="eastAsia" w:ascii="仿宋" w:hAnsi="仿宋" w:eastAsia="仿宋"/>
          <w:b/>
          <w:sz w:val="32"/>
          <w:szCs w:val="32"/>
        </w:rPr>
        <w:t>（二）一般公共预算财政拨款支出决算结构情况</w:t>
      </w:r>
      <w:bookmarkEnd w:id="29"/>
    </w:p>
    <w:p>
      <w:pPr>
        <w:keepNext w:val="0"/>
        <w:keepLines w:val="0"/>
        <w:pageBreakBefore w:val="0"/>
        <w:kinsoku/>
        <w:wordWrap/>
        <w:overflowPunct/>
        <w:topLinePunct w:val="0"/>
        <w:bidi w:val="0"/>
        <w:spacing w:line="600" w:lineRule="exact"/>
        <w:ind w:firstLine="640"/>
        <w:textAlignment w:val="auto"/>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1697.84</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lang w:val="en-US" w:eastAsia="zh-CN"/>
        </w:rPr>
        <w:t>1384.2</w:t>
      </w:r>
      <w:r>
        <w:rPr>
          <w:rFonts w:hint="eastAsia" w:ascii="仿宋" w:hAnsi="仿宋" w:eastAsia="仿宋"/>
          <w:sz w:val="32"/>
          <w:szCs w:val="32"/>
        </w:rPr>
        <w:t>万元，占</w:t>
      </w:r>
      <w:r>
        <w:rPr>
          <w:rFonts w:hint="eastAsia" w:ascii="仿宋" w:hAnsi="仿宋" w:eastAsia="仿宋"/>
          <w:sz w:val="32"/>
          <w:szCs w:val="32"/>
          <w:lang w:val="en-US" w:eastAsia="zh-CN"/>
        </w:rPr>
        <w:t>81.53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教育支出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科学技术</w:t>
      </w:r>
      <w:r>
        <w:rPr>
          <w:rFonts w:hint="eastAsia" w:ascii="仿宋" w:hAnsi="仿宋" w:eastAsia="仿宋"/>
          <w:b/>
          <w:bCs/>
          <w:sz w:val="32"/>
          <w:szCs w:val="32"/>
        </w:rPr>
        <w:t>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文化旅游体育与传媒支出</w:t>
      </w:r>
      <w:r>
        <w:rPr>
          <w:rFonts w:hint="eastAsia" w:ascii="仿宋" w:hAnsi="仿宋" w:eastAsia="仿宋"/>
          <w:b/>
          <w:bCs/>
          <w:sz w:val="32"/>
          <w:szCs w:val="32"/>
          <w:lang w:val="en-US" w:eastAsia="zh-CN"/>
        </w:rPr>
        <w:t>0</w:t>
      </w:r>
      <w:r>
        <w:rPr>
          <w:rFonts w:hint="eastAsia" w:ascii="仿宋" w:hAnsi="仿宋" w:eastAsia="仿宋"/>
          <w:b/>
          <w:bCs/>
          <w:sz w:val="32"/>
          <w:szCs w:val="32"/>
        </w:rPr>
        <w:t>万元，占</w:t>
      </w:r>
      <w:r>
        <w:rPr>
          <w:rFonts w:hint="eastAsia" w:ascii="仿宋" w:hAnsi="仿宋" w:eastAsia="仿宋"/>
          <w:b/>
          <w:bCs/>
          <w:sz w:val="32"/>
          <w:szCs w:val="32"/>
          <w:lang w:val="en-US" w:eastAsia="zh-CN"/>
        </w:rPr>
        <w:t>0</w:t>
      </w:r>
      <w:r>
        <w:rPr>
          <w:rFonts w:ascii="仿宋" w:hAnsi="仿宋" w:eastAsia="仿宋"/>
          <w:b/>
          <w:bCs/>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161.15</w:t>
      </w:r>
      <w:r>
        <w:rPr>
          <w:rFonts w:hint="eastAsia" w:ascii="仿宋" w:hAnsi="仿宋" w:eastAsia="仿宋"/>
          <w:sz w:val="32"/>
          <w:szCs w:val="32"/>
        </w:rPr>
        <w:t>万元，占</w:t>
      </w:r>
      <w:r>
        <w:rPr>
          <w:rFonts w:hint="eastAsia" w:ascii="仿宋" w:hAnsi="仿宋" w:eastAsia="仿宋"/>
          <w:sz w:val="32"/>
          <w:szCs w:val="32"/>
          <w:lang w:val="en-US" w:eastAsia="zh-CN"/>
        </w:rPr>
        <w:t>9.49</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45.68</w:t>
      </w:r>
      <w:r>
        <w:rPr>
          <w:rFonts w:hint="eastAsia" w:ascii="仿宋" w:hAnsi="仿宋" w:eastAsia="仿宋"/>
          <w:sz w:val="32"/>
          <w:szCs w:val="32"/>
        </w:rPr>
        <w:t>万元，占</w:t>
      </w:r>
      <w:r>
        <w:rPr>
          <w:rFonts w:hint="eastAsia" w:ascii="仿宋" w:hAnsi="仿宋" w:eastAsia="仿宋"/>
          <w:sz w:val="32"/>
          <w:szCs w:val="32"/>
          <w:lang w:val="en-US" w:eastAsia="zh-CN"/>
        </w:rPr>
        <w:t>2.69</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106.81</w:t>
      </w:r>
      <w:r>
        <w:rPr>
          <w:rFonts w:hint="eastAsia" w:ascii="仿宋" w:hAnsi="仿宋" w:eastAsia="仿宋"/>
          <w:sz w:val="32"/>
          <w:szCs w:val="32"/>
        </w:rPr>
        <w:t>万元，占</w:t>
      </w:r>
      <w:r>
        <w:rPr>
          <w:rFonts w:hint="eastAsia" w:ascii="仿宋" w:hAnsi="仿宋" w:eastAsia="仿宋"/>
          <w:sz w:val="32"/>
          <w:szCs w:val="32"/>
          <w:lang w:val="en-US" w:eastAsia="zh-CN"/>
        </w:rPr>
        <w:t>6.29</w:t>
      </w:r>
      <w:r>
        <w:rPr>
          <w:rFonts w:ascii="仿宋" w:hAnsi="仿宋" w:eastAsia="仿宋"/>
          <w:sz w:val="32"/>
          <w:szCs w:val="32"/>
        </w:rPr>
        <w:t>%</w:t>
      </w:r>
      <w:r>
        <w:rPr>
          <w:rFonts w:hint="eastAsia" w:ascii="仿宋" w:hAnsi="仿宋" w:eastAsia="仿宋"/>
          <w:sz w:val="32"/>
          <w:szCs w:val="32"/>
        </w:rPr>
        <w:t>。</w:t>
      </w:r>
    </w:p>
    <w:p>
      <w:pPr>
        <w:keepNext w:val="0"/>
        <w:keepLines w:val="0"/>
        <w:pageBreakBefore w:val="0"/>
        <w:kinsoku/>
        <w:wordWrap/>
        <w:overflowPunct/>
        <w:topLinePunct w:val="0"/>
        <w:bidi w:val="0"/>
        <w:spacing w:line="600" w:lineRule="exact"/>
        <w:ind w:firstLine="640"/>
        <w:textAlignment w:val="auto"/>
        <w:rPr>
          <w:rFonts w:ascii="仿宋" w:hAnsi="仿宋" w:eastAsia="仿宋"/>
          <w:sz w:val="32"/>
          <w:szCs w:val="32"/>
        </w:rPr>
      </w:pPr>
      <w:r>
        <w:rPr>
          <w:rFonts w:hint="eastAsia" w:ascii="仿宋" w:hAnsi="仿宋" w:eastAsia="仿宋"/>
          <w:b/>
          <w:sz w:val="32"/>
          <w:szCs w:val="32"/>
        </w:rPr>
        <w:t>（注：数据来源于财决01-1表，仅罗列本部门涉及的全部功能分类科目，至类级。）</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（图6：一般公共预算财政拨款支出决算结构）（饼状图）</w:t>
      </w:r>
      <w:r>
        <w:drawing>
          <wp:anchor distT="0" distB="0" distL="114300" distR="114300" simplePos="0" relativeHeight="251664384" behindDoc="0" locked="0" layoutInCell="1" allowOverlap="1">
            <wp:simplePos x="0" y="0"/>
            <wp:positionH relativeFrom="column">
              <wp:posOffset>143510</wp:posOffset>
            </wp:positionH>
            <wp:positionV relativeFrom="paragraph">
              <wp:posOffset>199390</wp:posOffset>
            </wp:positionV>
            <wp:extent cx="5269230" cy="3599815"/>
            <wp:effectExtent l="38735" t="18415" r="45085" b="58420"/>
            <wp:wrapTopAndBottom/>
            <wp:docPr id="7"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keepNext w:val="0"/>
        <w:keepLines w:val="0"/>
        <w:pageBreakBefore w:val="0"/>
        <w:kinsoku/>
        <w:wordWrap/>
        <w:overflowPunct/>
        <w:topLinePunct w:val="0"/>
        <w:bidi w:val="0"/>
        <w:spacing w:line="600" w:lineRule="exact"/>
        <w:ind w:firstLine="643" w:firstLineChars="200"/>
        <w:textAlignment w:val="auto"/>
        <w:outlineLvl w:val="2"/>
        <w:rPr>
          <w:rFonts w:hint="eastAsia" w:ascii="仿宋" w:hAnsi="仿宋" w:eastAsia="仿宋"/>
          <w:b/>
          <w:sz w:val="32"/>
          <w:szCs w:val="32"/>
        </w:rPr>
      </w:pPr>
      <w:bookmarkStart w:id="30" w:name="_Toc15377212"/>
    </w:p>
    <w:p>
      <w:pPr>
        <w:keepNext w:val="0"/>
        <w:keepLines w:val="0"/>
        <w:pageBreakBefore w:val="0"/>
        <w:kinsoku/>
        <w:wordWrap/>
        <w:overflowPunct/>
        <w:topLinePunct w:val="0"/>
        <w:bidi w:val="0"/>
        <w:spacing w:line="600" w:lineRule="exact"/>
        <w:ind w:firstLine="643" w:firstLineChars="200"/>
        <w:textAlignment w:val="auto"/>
        <w:outlineLvl w:val="2"/>
        <w:rPr>
          <w:rFonts w:ascii="仿宋" w:hAnsi="仿宋" w:eastAsia="仿宋"/>
          <w:b/>
          <w:sz w:val="32"/>
          <w:szCs w:val="32"/>
        </w:rPr>
      </w:pPr>
      <w:r>
        <w:rPr>
          <w:rFonts w:hint="eastAsia" w:ascii="仿宋" w:hAnsi="仿宋" w:eastAsia="仿宋"/>
          <w:b/>
          <w:sz w:val="32"/>
          <w:szCs w:val="32"/>
        </w:rPr>
        <w:t>（三）一般公共预算财政拨款支出决算具体情况</w:t>
      </w:r>
      <w:bookmarkEnd w:id="30"/>
    </w:p>
    <w:p>
      <w:pPr>
        <w:keepNext w:val="0"/>
        <w:keepLines w:val="0"/>
        <w:pageBreakBefore w:val="0"/>
        <w:kinsoku/>
        <w:wordWrap/>
        <w:overflowPunct/>
        <w:topLinePunct w:val="0"/>
        <w:bidi w:val="0"/>
        <w:spacing w:line="600" w:lineRule="exact"/>
        <w:ind w:firstLine="643" w:firstLineChars="200"/>
        <w:textAlignment w:val="auto"/>
        <w:outlineLvl w:val="2"/>
        <w:rPr>
          <w:rFonts w:ascii="仿宋" w:hAnsi="仿宋" w:eastAsia="仿宋"/>
          <w:sz w:val="32"/>
          <w:szCs w:val="32"/>
        </w:rPr>
      </w:pPr>
      <w:bookmarkStart w:id="31" w:name="_Toc15377213"/>
      <w:bookmarkStart w:id="32" w:name="_Toc15378460"/>
      <w:bookmarkStart w:id="33" w:name="_Toc15377444"/>
      <w:r>
        <w:rPr>
          <w:rFonts w:hint="eastAsia" w:ascii="仿宋" w:hAnsi="仿宋" w:eastAsia="仿宋"/>
          <w:b/>
          <w:sz w:val="32"/>
          <w:szCs w:val="32"/>
        </w:rPr>
        <w:t>2022年一般公共预算支出决算数为</w:t>
      </w:r>
      <w:r>
        <w:rPr>
          <w:rFonts w:hint="eastAsia" w:ascii="仿宋" w:hAnsi="仿宋" w:eastAsia="仿宋"/>
          <w:b/>
          <w:sz w:val="32"/>
          <w:szCs w:val="32"/>
          <w:lang w:val="en-US" w:eastAsia="zh-CN"/>
        </w:rPr>
        <w:t>1069.87</w:t>
      </w:r>
      <w:r>
        <w:rPr>
          <w:rFonts w:hint="eastAsia" w:ascii="仿宋" w:hAnsi="仿宋" w:eastAsia="仿宋"/>
          <w:sz w:val="32"/>
          <w:szCs w:val="32"/>
        </w:rPr>
        <w:t>，</w:t>
      </w:r>
      <w:r>
        <w:rPr>
          <w:rStyle w:val="17"/>
          <w:rFonts w:hint="eastAsia" w:ascii="仿宋" w:hAnsi="仿宋" w:eastAsia="仿宋"/>
          <w:bCs/>
          <w:sz w:val="32"/>
          <w:szCs w:val="32"/>
        </w:rPr>
        <w:t>完成预算</w:t>
      </w:r>
      <w:r>
        <w:rPr>
          <w:rStyle w:val="17"/>
          <w:rFonts w:hint="eastAsia" w:ascii="仿宋" w:hAnsi="仿宋" w:eastAsia="仿宋"/>
          <w:bCs/>
          <w:sz w:val="32"/>
          <w:szCs w:val="32"/>
          <w:lang w:val="en-US" w:eastAsia="zh-CN"/>
        </w:rPr>
        <w:t>100</w:t>
      </w:r>
      <w:r>
        <w:rPr>
          <w:rStyle w:val="17"/>
          <w:rFonts w:ascii="仿宋" w:hAnsi="仿宋" w:eastAsia="仿宋"/>
          <w:bCs/>
          <w:sz w:val="32"/>
          <w:szCs w:val="32"/>
        </w:rPr>
        <w:t>%</w:t>
      </w:r>
      <w:r>
        <w:rPr>
          <w:rStyle w:val="17"/>
          <w:rFonts w:hint="eastAsia" w:ascii="仿宋" w:hAnsi="仿宋" w:eastAsia="仿宋"/>
          <w:bCs/>
          <w:sz w:val="32"/>
          <w:szCs w:val="32"/>
        </w:rPr>
        <w:t>。其中：</w:t>
      </w:r>
      <w:bookmarkEnd w:id="31"/>
      <w:bookmarkEnd w:id="32"/>
      <w:bookmarkEnd w:id="33"/>
    </w:p>
    <w:p>
      <w:pPr>
        <w:keepNext w:val="0"/>
        <w:keepLines w:val="0"/>
        <w:pageBreakBefore w:val="0"/>
        <w:kinsoku/>
        <w:wordWrap/>
        <w:overflowPunct/>
        <w:topLinePunct w:val="0"/>
        <w:bidi w:val="0"/>
        <w:spacing w:line="600" w:lineRule="exact"/>
        <w:ind w:firstLine="643" w:firstLineChars="200"/>
        <w:textAlignment w:val="auto"/>
        <w:rPr>
          <w:rFonts w:ascii="仿宋" w:hAnsi="仿宋" w:eastAsia="仿宋"/>
          <w:b/>
          <w:sz w:val="32"/>
          <w:szCs w:val="32"/>
        </w:rPr>
      </w:pPr>
      <w:r>
        <w:rPr>
          <w:rStyle w:val="17"/>
          <w:rFonts w:ascii="仿宋" w:hAnsi="仿宋" w:eastAsia="仿宋"/>
          <w:bCs/>
          <w:sz w:val="32"/>
          <w:szCs w:val="32"/>
        </w:rPr>
        <w:t>1.</w:t>
      </w:r>
      <w:r>
        <w:rPr>
          <w:rStyle w:val="17"/>
          <w:rFonts w:hint="eastAsia" w:ascii="仿宋" w:hAnsi="仿宋" w:eastAsia="仿宋"/>
          <w:bCs/>
          <w:sz w:val="32"/>
          <w:szCs w:val="32"/>
        </w:rPr>
        <w:t>一般公共服务（类）纪检监察事务（款）行政运行（项）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1041.46</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keepNext w:val="0"/>
        <w:keepLines w:val="0"/>
        <w:pageBreakBefore w:val="0"/>
        <w:kinsoku/>
        <w:wordWrap/>
        <w:overflowPunct/>
        <w:topLinePunct w:val="0"/>
        <w:bidi w:val="0"/>
        <w:spacing w:line="600" w:lineRule="exact"/>
        <w:ind w:firstLine="643" w:firstLineChars="200"/>
        <w:textAlignment w:val="auto"/>
        <w:rPr>
          <w:rFonts w:ascii="仿宋" w:hAnsi="仿宋" w:eastAsia="仿宋"/>
          <w:b/>
          <w:sz w:val="32"/>
          <w:szCs w:val="32"/>
        </w:rPr>
      </w:pPr>
      <w:r>
        <w:rPr>
          <w:rStyle w:val="17"/>
          <w:rFonts w:ascii="仿宋" w:hAnsi="仿宋" w:eastAsia="仿宋"/>
          <w:bCs/>
          <w:sz w:val="32"/>
          <w:szCs w:val="32"/>
        </w:rPr>
        <w:t>2.</w:t>
      </w:r>
      <w:r>
        <w:rPr>
          <w:rStyle w:val="17"/>
          <w:rFonts w:hint="eastAsia" w:ascii="仿宋" w:hAnsi="仿宋" w:eastAsia="仿宋"/>
          <w:bCs/>
          <w:sz w:val="32"/>
          <w:szCs w:val="32"/>
        </w:rPr>
        <w:t>一般公共服务（类）纪检监察事务（款）一般行政管理事务（项）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342.74</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keepNext w:val="0"/>
        <w:keepLines w:val="0"/>
        <w:pageBreakBefore w:val="0"/>
        <w:kinsoku/>
        <w:wordWrap/>
        <w:overflowPunct/>
        <w:topLinePunct w:val="0"/>
        <w:bidi w:val="0"/>
        <w:spacing w:line="600" w:lineRule="exact"/>
        <w:ind w:firstLine="643" w:firstLineChars="200"/>
        <w:textAlignment w:val="auto"/>
        <w:rPr>
          <w:rFonts w:ascii="仿宋" w:hAnsi="仿宋" w:eastAsia="仿宋"/>
          <w:b/>
          <w:sz w:val="32"/>
          <w:szCs w:val="32"/>
        </w:rPr>
      </w:pPr>
      <w:r>
        <w:rPr>
          <w:rStyle w:val="17"/>
          <w:rFonts w:ascii="仿宋" w:hAnsi="仿宋" w:eastAsia="仿宋"/>
          <w:bCs/>
          <w:sz w:val="32"/>
          <w:szCs w:val="32"/>
        </w:rPr>
        <w:t>3.</w:t>
      </w:r>
      <w:r>
        <w:rPr>
          <w:rStyle w:val="17"/>
          <w:rFonts w:hint="eastAsia" w:ascii="仿宋" w:hAnsi="仿宋" w:eastAsia="仿宋"/>
          <w:bCs/>
          <w:sz w:val="32"/>
          <w:szCs w:val="32"/>
        </w:rPr>
        <w:t>社会保障和就业支出（类）行政事业单位养老支出（款）机关事业单位基本养老保险缴费支出（项）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80.86</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keepNext w:val="0"/>
        <w:keepLines w:val="0"/>
        <w:pageBreakBefore w:val="0"/>
        <w:kinsoku/>
        <w:wordWrap/>
        <w:overflowPunct/>
        <w:topLinePunct w:val="0"/>
        <w:bidi w:val="0"/>
        <w:spacing w:line="600" w:lineRule="exact"/>
        <w:ind w:firstLine="643" w:firstLineChars="200"/>
        <w:textAlignment w:val="auto"/>
        <w:rPr>
          <w:rFonts w:ascii="仿宋" w:hAnsi="仿宋" w:eastAsia="仿宋"/>
          <w:b/>
          <w:sz w:val="32"/>
          <w:szCs w:val="32"/>
        </w:rPr>
      </w:pPr>
      <w:r>
        <w:rPr>
          <w:rStyle w:val="17"/>
          <w:rFonts w:ascii="仿宋" w:hAnsi="仿宋" w:eastAsia="仿宋"/>
          <w:bCs/>
          <w:sz w:val="32"/>
          <w:szCs w:val="32"/>
        </w:rPr>
        <w:t>4.</w:t>
      </w:r>
      <w:r>
        <w:rPr>
          <w:rStyle w:val="17"/>
          <w:rFonts w:hint="eastAsia" w:ascii="仿宋" w:hAnsi="仿宋" w:eastAsia="仿宋"/>
          <w:bCs/>
          <w:sz w:val="32"/>
          <w:szCs w:val="32"/>
        </w:rPr>
        <w:t>社会保障和就业支出（类）行政事业单位养老支出（款）机关事业单位职业年金缴费支出（项）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50.49</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keepNext w:val="0"/>
        <w:keepLines w:val="0"/>
        <w:pageBreakBefore w:val="0"/>
        <w:kinsoku/>
        <w:wordWrap/>
        <w:overflowPunct/>
        <w:topLinePunct w:val="0"/>
        <w:bidi w:val="0"/>
        <w:spacing w:line="600" w:lineRule="exact"/>
        <w:ind w:firstLine="643" w:firstLineChars="200"/>
        <w:textAlignment w:val="auto"/>
        <w:rPr>
          <w:rFonts w:ascii="仿宋" w:hAnsi="仿宋" w:eastAsia="仿宋"/>
          <w:b/>
          <w:sz w:val="32"/>
          <w:szCs w:val="32"/>
        </w:rPr>
      </w:pPr>
      <w:r>
        <w:rPr>
          <w:rStyle w:val="17"/>
          <w:rFonts w:ascii="仿宋" w:hAnsi="仿宋" w:eastAsia="仿宋"/>
          <w:bCs/>
          <w:sz w:val="32"/>
          <w:szCs w:val="32"/>
        </w:rPr>
        <w:t>5.</w:t>
      </w:r>
      <w:r>
        <w:rPr>
          <w:rStyle w:val="17"/>
          <w:rFonts w:hint="eastAsia" w:ascii="仿宋" w:hAnsi="仿宋" w:eastAsia="仿宋"/>
          <w:bCs/>
          <w:sz w:val="32"/>
          <w:szCs w:val="32"/>
        </w:rPr>
        <w:t>社会保障和就业（类）抚恤（款）死亡抚恤（项）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20.35</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keepNext w:val="0"/>
        <w:keepLines w:val="0"/>
        <w:pageBreakBefore w:val="0"/>
        <w:kinsoku/>
        <w:wordWrap/>
        <w:overflowPunct/>
        <w:topLinePunct w:val="0"/>
        <w:bidi w:val="0"/>
        <w:spacing w:line="600" w:lineRule="exact"/>
        <w:ind w:firstLine="643" w:firstLineChars="200"/>
        <w:textAlignment w:val="auto"/>
        <w:rPr>
          <w:rStyle w:val="17"/>
          <w:rFonts w:hint="eastAsia" w:ascii="仿宋" w:hAnsi="仿宋" w:eastAsia="仿宋"/>
          <w:bCs/>
          <w:sz w:val="32"/>
          <w:szCs w:val="32"/>
          <w:lang w:val="en-US" w:eastAsia="zh-CN"/>
        </w:rPr>
      </w:pPr>
      <w:r>
        <w:rPr>
          <w:rStyle w:val="17"/>
          <w:rFonts w:hint="eastAsia" w:ascii="仿宋" w:hAnsi="仿宋" w:eastAsia="仿宋"/>
          <w:bCs/>
          <w:sz w:val="32"/>
          <w:szCs w:val="32"/>
          <w:lang w:val="en-US" w:eastAsia="zh-CN"/>
        </w:rPr>
        <w:t>6.</w:t>
      </w:r>
      <w:r>
        <w:rPr>
          <w:rStyle w:val="17"/>
          <w:rFonts w:hint="eastAsia" w:ascii="仿宋" w:hAnsi="仿宋" w:eastAsia="仿宋"/>
          <w:bCs/>
          <w:sz w:val="32"/>
          <w:szCs w:val="32"/>
        </w:rPr>
        <w:t>社会保障和就业（类）抚恤（款）其他优抚支出（项）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1.29</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keepNext w:val="0"/>
        <w:keepLines w:val="0"/>
        <w:pageBreakBefore w:val="0"/>
        <w:kinsoku/>
        <w:wordWrap/>
        <w:overflowPunct/>
        <w:topLinePunct w:val="0"/>
        <w:bidi w:val="0"/>
        <w:spacing w:line="600" w:lineRule="exact"/>
        <w:ind w:firstLine="643" w:firstLineChars="200"/>
        <w:textAlignment w:val="auto"/>
        <w:rPr>
          <w:rStyle w:val="17"/>
          <w:rFonts w:hint="eastAsia" w:ascii="仿宋" w:hAnsi="仿宋" w:eastAsia="仿宋"/>
          <w:bCs/>
          <w:sz w:val="32"/>
          <w:szCs w:val="32"/>
          <w:lang w:val="en-US" w:eastAsia="zh-CN"/>
        </w:rPr>
      </w:pPr>
      <w:r>
        <w:rPr>
          <w:rStyle w:val="17"/>
          <w:rFonts w:hint="eastAsia" w:ascii="仿宋" w:hAnsi="仿宋" w:eastAsia="仿宋"/>
          <w:bCs/>
          <w:sz w:val="32"/>
          <w:szCs w:val="32"/>
          <w:lang w:val="en-US" w:eastAsia="zh-CN"/>
        </w:rPr>
        <w:t>7.</w:t>
      </w:r>
      <w:r>
        <w:rPr>
          <w:rStyle w:val="17"/>
          <w:rFonts w:hint="eastAsia" w:ascii="仿宋" w:hAnsi="仿宋" w:eastAsia="仿宋"/>
          <w:bCs/>
          <w:sz w:val="32"/>
          <w:szCs w:val="32"/>
        </w:rPr>
        <w:t>社会保障和就业（类）残疾人事业（款）其他残疾人事业支出（项）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8.16</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keepNext w:val="0"/>
        <w:keepLines w:val="0"/>
        <w:pageBreakBefore w:val="0"/>
        <w:kinsoku/>
        <w:wordWrap/>
        <w:overflowPunct/>
        <w:topLinePunct w:val="0"/>
        <w:bidi w:val="0"/>
        <w:spacing w:line="600" w:lineRule="exact"/>
        <w:ind w:firstLine="643" w:firstLineChars="200"/>
        <w:textAlignment w:val="auto"/>
        <w:rPr>
          <w:rFonts w:ascii="仿宋" w:hAnsi="仿宋" w:eastAsia="仿宋"/>
          <w:b/>
          <w:sz w:val="32"/>
          <w:szCs w:val="32"/>
        </w:rPr>
      </w:pPr>
      <w:r>
        <w:rPr>
          <w:rStyle w:val="17"/>
          <w:rFonts w:hint="eastAsia" w:ascii="仿宋" w:hAnsi="仿宋" w:eastAsia="仿宋"/>
          <w:bCs/>
          <w:sz w:val="32"/>
          <w:szCs w:val="32"/>
          <w:lang w:val="en-US" w:eastAsia="zh-CN"/>
        </w:rPr>
        <w:t>8</w:t>
      </w:r>
      <w:r>
        <w:rPr>
          <w:rStyle w:val="17"/>
          <w:rFonts w:ascii="仿宋" w:hAnsi="仿宋" w:eastAsia="仿宋"/>
          <w:bCs/>
          <w:sz w:val="32"/>
          <w:szCs w:val="32"/>
        </w:rPr>
        <w:t>.</w:t>
      </w:r>
      <w:r>
        <w:rPr>
          <w:rFonts w:hint="eastAsia" w:ascii="仿宋" w:hAnsi="仿宋" w:eastAsia="仿宋"/>
          <w:b/>
          <w:bCs/>
          <w:sz w:val="32"/>
          <w:szCs w:val="32"/>
        </w:rPr>
        <w:t>卫生健康</w:t>
      </w:r>
      <w:r>
        <w:rPr>
          <w:rStyle w:val="17"/>
          <w:rFonts w:hint="eastAsia" w:ascii="仿宋" w:hAnsi="仿宋" w:eastAsia="仿宋"/>
          <w:bCs/>
          <w:sz w:val="32"/>
          <w:szCs w:val="32"/>
        </w:rPr>
        <w:t>（类）行政事业单位医疗（款）行政单位医疗（项）</w:t>
      </w:r>
      <w:r>
        <w:rPr>
          <w:rStyle w:val="17"/>
          <w:rFonts w:ascii="仿宋" w:hAnsi="仿宋" w:eastAsia="仿宋"/>
          <w:bCs/>
          <w:sz w:val="32"/>
          <w:szCs w:val="32"/>
        </w:rPr>
        <w:t>:</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32.58</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lang w:val="en-US" w:eastAsia="zh-CN"/>
        </w:rPr>
        <w:t>9.</w:t>
      </w:r>
      <w:r>
        <w:rPr>
          <w:rFonts w:hint="eastAsia" w:ascii="仿宋" w:hAnsi="仿宋" w:eastAsia="仿宋"/>
          <w:b/>
          <w:bCs/>
          <w:sz w:val="32"/>
          <w:szCs w:val="32"/>
        </w:rPr>
        <w:t>卫生健康</w:t>
      </w:r>
      <w:r>
        <w:rPr>
          <w:rStyle w:val="17"/>
          <w:rFonts w:hint="eastAsia" w:ascii="仿宋" w:hAnsi="仿宋" w:eastAsia="仿宋"/>
          <w:bCs/>
          <w:sz w:val="32"/>
          <w:szCs w:val="32"/>
        </w:rPr>
        <w:t>（类）行政事业单位医疗（款）公务员医疗补助（项）</w:t>
      </w:r>
      <w:r>
        <w:rPr>
          <w:rStyle w:val="17"/>
          <w:rFonts w:ascii="仿宋" w:hAnsi="仿宋" w:eastAsia="仿宋"/>
          <w:bCs/>
          <w:sz w:val="32"/>
          <w:szCs w:val="32"/>
        </w:rPr>
        <w:t>:</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13.1</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keepNext w:val="0"/>
        <w:keepLines w:val="0"/>
        <w:pageBreakBefore w:val="0"/>
        <w:kinsoku/>
        <w:wordWrap/>
        <w:overflowPunct/>
        <w:topLinePunct w:val="0"/>
        <w:bidi w:val="0"/>
        <w:spacing w:line="600" w:lineRule="exact"/>
        <w:ind w:firstLine="643" w:firstLineChars="200"/>
        <w:textAlignment w:val="auto"/>
        <w:rPr>
          <w:rStyle w:val="17"/>
          <w:rFonts w:hint="eastAsia" w:ascii="仿宋" w:hAnsi="仿宋" w:eastAsia="仿宋"/>
          <w:b w:val="0"/>
          <w:bCs/>
          <w:sz w:val="32"/>
          <w:szCs w:val="32"/>
        </w:rPr>
      </w:pPr>
      <w:r>
        <w:rPr>
          <w:rFonts w:hint="eastAsia" w:ascii="仿宋" w:hAnsi="仿宋" w:eastAsia="仿宋"/>
          <w:b/>
          <w:sz w:val="32"/>
          <w:szCs w:val="32"/>
          <w:lang w:val="en-US" w:eastAsia="zh-CN"/>
        </w:rPr>
        <w:t>10.</w:t>
      </w:r>
      <w:r>
        <w:rPr>
          <w:rFonts w:hint="eastAsia" w:ascii="仿宋" w:hAnsi="仿宋" w:eastAsia="仿宋"/>
          <w:b/>
          <w:bCs/>
          <w:sz w:val="32"/>
          <w:szCs w:val="32"/>
        </w:rPr>
        <w:t>住房保障支出</w:t>
      </w:r>
      <w:r>
        <w:rPr>
          <w:rStyle w:val="17"/>
          <w:rFonts w:hint="eastAsia" w:ascii="仿宋" w:hAnsi="仿宋" w:eastAsia="仿宋"/>
          <w:bCs/>
          <w:sz w:val="32"/>
          <w:szCs w:val="32"/>
        </w:rPr>
        <w:t>（类）住房改革支出（款）住房公积金（项）</w:t>
      </w:r>
      <w:r>
        <w:rPr>
          <w:rStyle w:val="17"/>
          <w:rFonts w:ascii="仿宋" w:hAnsi="仿宋" w:eastAsia="仿宋"/>
          <w:bCs/>
          <w:sz w:val="32"/>
          <w:szCs w:val="32"/>
        </w:rPr>
        <w:t>:</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106.81</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keepNext w:val="0"/>
        <w:keepLines w:val="0"/>
        <w:pageBreakBefore w:val="0"/>
        <w:kinsoku/>
        <w:wordWrap/>
        <w:overflowPunct/>
        <w:topLinePunct w:val="0"/>
        <w:bidi w:val="0"/>
        <w:spacing w:line="600" w:lineRule="exact"/>
        <w:ind w:firstLine="643" w:firstLineChars="200"/>
        <w:textAlignment w:val="auto"/>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1-1表和财决08表，仅罗列本部门涉及的全部功能分类科目，至项级。上述“预算”口径为全年预算数。增减变动原因为决算数</w:t>
      </w:r>
      <w:r>
        <w:rPr>
          <w:rFonts w:ascii="仿宋" w:hAnsi="仿宋" w:eastAsia="仿宋"/>
          <w:b/>
          <w:sz w:val="32"/>
          <w:szCs w:val="32"/>
        </w:rPr>
        <w:t>&lt;</w:t>
      </w:r>
      <w:r>
        <w:rPr>
          <w:rFonts w:hint="eastAsia" w:ascii="仿宋" w:hAnsi="仿宋" w:eastAsia="仿宋"/>
          <w:b/>
          <w:sz w:val="32"/>
          <w:szCs w:val="32"/>
        </w:rPr>
        <w:t>项级</w:t>
      </w:r>
      <w:r>
        <w:rPr>
          <w:rFonts w:ascii="仿宋" w:hAnsi="仿宋" w:eastAsia="仿宋"/>
          <w:b/>
          <w:sz w:val="32"/>
          <w:szCs w:val="32"/>
        </w:rPr>
        <w:t>&gt;</w:t>
      </w:r>
      <w:r>
        <w:rPr>
          <w:rFonts w:hint="eastAsia" w:ascii="仿宋" w:hAnsi="仿宋" w:eastAsia="仿宋"/>
          <w:b/>
          <w:sz w:val="32"/>
          <w:szCs w:val="32"/>
        </w:rPr>
        <w:t>和全年预算数</w:t>
      </w:r>
      <w:r>
        <w:rPr>
          <w:rFonts w:ascii="仿宋" w:hAnsi="仿宋" w:eastAsia="仿宋"/>
          <w:b/>
          <w:sz w:val="32"/>
          <w:szCs w:val="32"/>
        </w:rPr>
        <w:t>&lt;</w:t>
      </w:r>
      <w:r>
        <w:rPr>
          <w:rFonts w:hint="eastAsia" w:ascii="仿宋" w:hAnsi="仿宋" w:eastAsia="仿宋"/>
          <w:b/>
          <w:sz w:val="32"/>
          <w:szCs w:val="32"/>
        </w:rPr>
        <w:t>项级</w:t>
      </w:r>
      <w:r>
        <w:rPr>
          <w:rFonts w:ascii="仿宋" w:hAnsi="仿宋" w:eastAsia="仿宋"/>
          <w:b/>
          <w:sz w:val="32"/>
          <w:szCs w:val="32"/>
        </w:rPr>
        <w:t>&gt;</w:t>
      </w:r>
      <w:r>
        <w:rPr>
          <w:rFonts w:hint="eastAsia" w:ascii="仿宋" w:hAnsi="仿宋" w:eastAsia="仿宋"/>
          <w:b/>
          <w:sz w:val="32"/>
          <w:szCs w:val="32"/>
        </w:rPr>
        <w:t>比较，与预算数持平可以不写原因。）</w:t>
      </w:r>
    </w:p>
    <w:p>
      <w:pPr>
        <w:keepNext w:val="0"/>
        <w:keepLines w:val="0"/>
        <w:pageBreakBefore w:val="0"/>
        <w:tabs>
          <w:tab w:val="right" w:pos="8306"/>
        </w:tabs>
        <w:kinsoku/>
        <w:wordWrap/>
        <w:overflowPunct/>
        <w:topLinePunct w:val="0"/>
        <w:bidi w:val="0"/>
        <w:spacing w:line="600" w:lineRule="exact"/>
        <w:ind w:firstLine="640"/>
        <w:textAlignment w:val="auto"/>
        <w:outlineLvl w:val="1"/>
        <w:rPr>
          <w:rFonts w:hint="eastAsia" w:ascii="黑体" w:eastAsia="黑体"/>
          <w:sz w:val="32"/>
          <w:szCs w:val="32"/>
        </w:rPr>
      </w:pPr>
      <w:bookmarkStart w:id="34" w:name="_Toc15396608"/>
      <w:bookmarkStart w:id="35" w:name="_Toc15377214"/>
    </w:p>
    <w:p>
      <w:pPr>
        <w:keepNext w:val="0"/>
        <w:keepLines w:val="0"/>
        <w:pageBreakBefore w:val="0"/>
        <w:tabs>
          <w:tab w:val="right" w:pos="8306"/>
        </w:tabs>
        <w:kinsoku/>
        <w:wordWrap/>
        <w:overflowPunct/>
        <w:topLinePunct w:val="0"/>
        <w:bidi w:val="0"/>
        <w:spacing w:line="600" w:lineRule="exact"/>
        <w:ind w:firstLine="640"/>
        <w:textAlignment w:val="auto"/>
        <w:outlineLvl w:val="1"/>
        <w:rPr>
          <w:rStyle w:val="29"/>
        </w:rPr>
      </w:pPr>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9"/>
          <w:rFonts w:hint="eastAsia" w:ascii="黑体" w:hAnsi="黑体" w:eastAsia="黑体"/>
          <w:b w:val="0"/>
        </w:rPr>
        <w:t>般公共预算财政拨款基本支出决算情况说明</w:t>
      </w:r>
      <w:bookmarkEnd w:id="34"/>
      <w:bookmarkEnd w:id="35"/>
      <w:r>
        <w:rPr>
          <w:rStyle w:val="29"/>
          <w:rFonts w:ascii="黑体" w:hAnsi="黑体" w:eastAsia="黑体"/>
          <w:b w:val="0"/>
        </w:rPr>
        <w:tab/>
      </w:r>
    </w:p>
    <w:p>
      <w:pPr>
        <w:keepNext w:val="0"/>
        <w:keepLines w:val="0"/>
        <w:pageBreakBefore w:val="0"/>
        <w:kinsoku/>
        <w:wordWrap/>
        <w:overflowPunct/>
        <w:topLinePunct w:val="0"/>
        <w:bidi w:val="0"/>
        <w:spacing w:line="600" w:lineRule="exact"/>
        <w:ind w:firstLine="645"/>
        <w:textAlignment w:val="auto"/>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w:t>
      </w:r>
      <w:r>
        <w:rPr>
          <w:rFonts w:hint="eastAsia" w:ascii="仿宋" w:hAnsi="仿宋" w:eastAsia="仿宋"/>
          <w:sz w:val="32"/>
          <w:szCs w:val="32"/>
          <w:lang w:val="en-US" w:eastAsia="zh-CN"/>
        </w:rPr>
        <w:t>1355.1</w:t>
      </w:r>
      <w:r>
        <w:rPr>
          <w:rFonts w:hint="eastAsia" w:ascii="仿宋" w:hAnsi="仿宋" w:eastAsia="仿宋"/>
          <w:sz w:val="32"/>
          <w:szCs w:val="32"/>
        </w:rPr>
        <w:t>万元，其中：</w:t>
      </w:r>
    </w:p>
    <w:p>
      <w:pPr>
        <w:keepNext w:val="0"/>
        <w:keepLines w:val="0"/>
        <w:pageBreakBefore w:val="0"/>
        <w:kinsoku/>
        <w:wordWrap/>
        <w:overflowPunct/>
        <w:topLinePunct w:val="0"/>
        <w:bidi w:val="0"/>
        <w:spacing w:line="600" w:lineRule="exact"/>
        <w:ind w:firstLine="645"/>
        <w:textAlignment w:val="auto"/>
        <w:rPr>
          <w:rFonts w:ascii="仿宋" w:hAnsi="仿宋" w:eastAsia="仿宋"/>
          <w:sz w:val="32"/>
          <w:szCs w:val="32"/>
        </w:rPr>
      </w:pPr>
      <w:r>
        <w:rPr>
          <w:rFonts w:hint="eastAsia" w:ascii="仿宋" w:hAnsi="仿宋" w:eastAsia="仿宋"/>
          <w:sz w:val="32"/>
          <w:szCs w:val="32"/>
        </w:rPr>
        <w:t>人员经费</w:t>
      </w:r>
      <w:r>
        <w:rPr>
          <w:rFonts w:hint="eastAsia" w:ascii="仿宋" w:hAnsi="仿宋" w:eastAsia="仿宋"/>
          <w:sz w:val="32"/>
          <w:szCs w:val="32"/>
          <w:lang w:val="en-US" w:eastAsia="zh-CN"/>
        </w:rPr>
        <w:t>1100.83</w:t>
      </w:r>
      <w:r>
        <w:rPr>
          <w:rFonts w:hint="eastAsia" w:ascii="仿宋" w:hAnsi="仿宋" w:eastAsia="仿宋"/>
          <w:sz w:val="32"/>
          <w:szCs w:val="32"/>
        </w:rPr>
        <w:t>万元，主要包括：基本工资、津贴补贴、奖金、伙食补助费、机关事业单位基本养老保险缴费、职业年金缴费、其他社会保障缴费、其他工资福利支出、抚恤金、生活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rFonts w:hint="eastAsia" w:ascii="仿宋" w:hAnsi="仿宋" w:eastAsia="仿宋"/>
          <w:sz w:val="32"/>
          <w:szCs w:val="32"/>
          <w:lang w:val="en-US" w:eastAsia="zh-CN"/>
        </w:rPr>
        <w:t>254.27</w:t>
      </w:r>
      <w:r>
        <w:rPr>
          <w:rFonts w:hint="eastAsia" w:ascii="仿宋" w:hAnsi="仿宋" w:eastAsia="仿宋"/>
          <w:sz w:val="32"/>
          <w:szCs w:val="32"/>
        </w:rPr>
        <w:t>万元，主要包括：办公费、水费、电费、邮电费、差旅费、维修（护）费、工会经费、福利费、公务用车运行维护费、其他交通费、其他商品和服务支出。</w:t>
      </w:r>
    </w:p>
    <w:p>
      <w:pPr>
        <w:keepNext w:val="0"/>
        <w:keepLines w:val="0"/>
        <w:pageBreakBefore w:val="0"/>
        <w:kinsoku/>
        <w:wordWrap/>
        <w:overflowPunct/>
        <w:topLinePunct w:val="0"/>
        <w:bidi w:val="0"/>
        <w:spacing w:line="600" w:lineRule="exact"/>
        <w:ind w:firstLine="645"/>
        <w:textAlignment w:val="auto"/>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7表和财决08-1表，仅罗列本部门实际支出涉及的经济分类科目。）</w:t>
      </w:r>
    </w:p>
    <w:p>
      <w:pPr>
        <w:keepNext w:val="0"/>
        <w:keepLines w:val="0"/>
        <w:pageBreakBefore w:val="0"/>
        <w:kinsoku/>
        <w:wordWrap/>
        <w:overflowPunct/>
        <w:topLinePunct w:val="0"/>
        <w:bidi w:val="0"/>
        <w:spacing w:line="600" w:lineRule="exact"/>
        <w:ind w:firstLine="640"/>
        <w:textAlignment w:val="auto"/>
        <w:outlineLvl w:val="1"/>
        <w:rPr>
          <w:rFonts w:hint="eastAsia" w:ascii="黑体" w:eastAsia="黑体"/>
          <w:sz w:val="32"/>
          <w:szCs w:val="32"/>
        </w:rPr>
      </w:pPr>
      <w:bookmarkStart w:id="36" w:name="_Toc15396609"/>
      <w:bookmarkStart w:id="37" w:name="_Toc15377215"/>
    </w:p>
    <w:p>
      <w:pPr>
        <w:keepNext w:val="0"/>
        <w:keepLines w:val="0"/>
        <w:pageBreakBefore w:val="0"/>
        <w:kinsoku/>
        <w:wordWrap/>
        <w:overflowPunct/>
        <w:topLinePunct w:val="0"/>
        <w:bidi w:val="0"/>
        <w:spacing w:line="600" w:lineRule="exact"/>
        <w:ind w:firstLine="640"/>
        <w:textAlignment w:val="auto"/>
        <w:outlineLvl w:val="1"/>
        <w:rPr>
          <w:rStyle w:val="29"/>
          <w:rFonts w:ascii="黑体" w:hAnsi="黑体" w:eastAsia="黑体"/>
          <w:b w:val="0"/>
        </w:rPr>
      </w:pPr>
      <w:r>
        <w:rPr>
          <w:rFonts w:hint="eastAsia" w:ascii="黑体" w:eastAsia="黑体"/>
          <w:sz w:val="32"/>
          <w:szCs w:val="32"/>
        </w:rPr>
        <w:t>七、</w:t>
      </w:r>
      <w:r>
        <w:rPr>
          <w:rStyle w:val="29"/>
          <w:rFonts w:hint="eastAsia" w:ascii="黑体" w:hAnsi="黑体" w:eastAsia="黑体"/>
          <w:b w:val="0"/>
        </w:rPr>
        <w:t>财政拨款</w:t>
      </w:r>
      <w:r>
        <w:rPr>
          <w:rStyle w:val="29"/>
          <w:rFonts w:hint="eastAsia" w:ascii="黑体" w:hAnsi="黑体" w:eastAsia="黑体"/>
        </w:rPr>
        <w:t>“</w:t>
      </w:r>
      <w:r>
        <w:rPr>
          <w:rStyle w:val="29"/>
          <w:rFonts w:hint="eastAsia" w:ascii="黑体" w:hAnsi="黑体" w:eastAsia="黑体"/>
          <w:b w:val="0"/>
        </w:rPr>
        <w:t>三公”经费支出决算情况说明</w:t>
      </w:r>
      <w:bookmarkEnd w:id="36"/>
      <w:bookmarkEnd w:id="37"/>
    </w:p>
    <w:p>
      <w:pPr>
        <w:keepNext w:val="0"/>
        <w:keepLines w:val="0"/>
        <w:pageBreakBefore w:val="0"/>
        <w:kinsoku/>
        <w:wordWrap/>
        <w:overflowPunct/>
        <w:topLinePunct w:val="0"/>
        <w:bidi w:val="0"/>
        <w:spacing w:line="600" w:lineRule="exact"/>
        <w:ind w:firstLine="640"/>
        <w:textAlignment w:val="auto"/>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pPr>
        <w:keepNext w:val="0"/>
        <w:keepLines w:val="0"/>
        <w:pageBreakBefore w:val="0"/>
        <w:kinsoku/>
        <w:wordWrap/>
        <w:overflowPunct/>
        <w:topLinePunct w:val="0"/>
        <w:bidi w:val="0"/>
        <w:spacing w:line="600" w:lineRule="exact"/>
        <w:ind w:firstLine="640"/>
        <w:textAlignment w:val="auto"/>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w:t>
      </w:r>
      <w:r>
        <w:rPr>
          <w:rFonts w:hint="eastAsia" w:ascii="仿宋" w:hAnsi="仿宋" w:eastAsia="仿宋"/>
          <w:sz w:val="32"/>
          <w:szCs w:val="32"/>
          <w:lang w:val="en-US" w:eastAsia="zh-CN"/>
        </w:rPr>
        <w:t>14.83</w:t>
      </w:r>
      <w:r>
        <w:rPr>
          <w:rFonts w:hint="eastAsia" w:ascii="仿宋" w:hAnsi="仿宋" w:eastAsia="仿宋"/>
          <w:sz w:val="32"/>
          <w:szCs w:val="32"/>
        </w:rPr>
        <w:t>万元，完成预算</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，较上年减少</w:t>
      </w:r>
      <w:r>
        <w:rPr>
          <w:rFonts w:hint="eastAsia" w:ascii="仿宋" w:hAnsi="仿宋" w:eastAsia="仿宋"/>
          <w:sz w:val="32"/>
          <w:szCs w:val="32"/>
          <w:lang w:val="en-US" w:eastAsia="zh-CN"/>
        </w:rPr>
        <w:t>19.72</w:t>
      </w:r>
      <w:r>
        <w:rPr>
          <w:rFonts w:hint="eastAsia" w:ascii="仿宋" w:hAnsi="仿宋" w:eastAsia="仿宋"/>
          <w:sz w:val="32"/>
          <w:szCs w:val="32"/>
        </w:rPr>
        <w:t>万元，</w:t>
      </w:r>
      <w:r>
        <w:rPr>
          <w:rFonts w:hint="eastAsia" w:ascii="仿宋" w:hAnsi="仿宋" w:eastAsia="仿宋"/>
          <w:sz w:val="32"/>
          <w:szCs w:val="32"/>
          <w:lang w:val="en-US" w:eastAsia="zh-CN"/>
        </w:rPr>
        <w:t>下降</w:t>
      </w:r>
      <w:r>
        <w:rPr>
          <w:rFonts w:hint="eastAsia" w:ascii="仿宋" w:hAnsi="仿宋" w:eastAsia="仿宋"/>
          <w:sz w:val="32"/>
          <w:szCs w:val="32"/>
          <w:lang w:val="en-US" w:eastAsia="zh-CN"/>
        </w:rPr>
        <w:t>24.8%。主要原因是2022年未收到接待函，未支出接待费;2022年机关例行节约，公车运行维护费支出减少。</w:t>
      </w:r>
    </w:p>
    <w:p>
      <w:pPr>
        <w:keepNext w:val="0"/>
        <w:keepLines w:val="0"/>
        <w:pageBreakBefore w:val="0"/>
        <w:kinsoku/>
        <w:wordWrap/>
        <w:overflowPunct/>
        <w:topLinePunct w:val="0"/>
        <w:bidi w:val="0"/>
        <w:spacing w:line="600" w:lineRule="exact"/>
        <w:ind w:firstLine="640"/>
        <w:textAlignment w:val="auto"/>
        <w:rPr>
          <w:rFonts w:ascii="仿宋" w:hAnsi="仿宋" w:eastAsia="仿宋"/>
          <w:b/>
          <w:sz w:val="32"/>
          <w:szCs w:val="32"/>
        </w:rPr>
      </w:pPr>
      <w:r>
        <w:rPr>
          <w:rFonts w:hint="eastAsia" w:ascii="仿宋" w:hAnsi="仿宋" w:eastAsia="仿宋"/>
          <w:b/>
          <w:sz w:val="32"/>
          <w:szCs w:val="32"/>
        </w:rPr>
        <w:t>（注：上述“预算”口径为全年预算数，包括一般公共预算和政府性基金预算财政拨款支出决算情况。）</w:t>
      </w:r>
    </w:p>
    <w:p>
      <w:pPr>
        <w:keepNext w:val="0"/>
        <w:keepLines w:val="0"/>
        <w:pageBreakBefore w:val="0"/>
        <w:kinsoku/>
        <w:wordWrap/>
        <w:overflowPunct/>
        <w:topLinePunct w:val="0"/>
        <w:bidi w:val="0"/>
        <w:spacing w:line="600" w:lineRule="exact"/>
        <w:ind w:firstLine="640"/>
        <w:textAlignment w:val="auto"/>
        <w:outlineLvl w:val="2"/>
        <w:rPr>
          <w:rFonts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p>
    <w:p>
      <w:pPr>
        <w:keepNext w:val="0"/>
        <w:keepLines w:val="0"/>
        <w:pageBreakBefore w:val="0"/>
        <w:kinsoku/>
        <w:wordWrap/>
        <w:overflowPunct/>
        <w:topLinePunct w:val="0"/>
        <w:bidi w:val="0"/>
        <w:spacing w:line="600" w:lineRule="exact"/>
        <w:ind w:firstLine="640"/>
        <w:textAlignment w:val="auto"/>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14.83</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。具体情况如下：</w:t>
      </w:r>
    </w:p>
    <w:p>
      <w:pPr>
        <w:keepNext w:val="0"/>
        <w:keepLines w:val="0"/>
        <w:pageBreakBefore w:val="0"/>
        <w:kinsoku/>
        <w:wordWrap/>
        <w:overflowPunct/>
        <w:topLinePunct w:val="0"/>
        <w:bidi w:val="0"/>
        <w:spacing w:line="600" w:lineRule="exact"/>
        <w:ind w:firstLine="640"/>
        <w:textAlignment w:val="auto"/>
        <w:rPr>
          <w:rFonts w:hint="eastAsia" w:ascii="仿宋" w:hAnsi="仿宋" w:eastAsia="仿宋"/>
          <w:sz w:val="32"/>
          <w:szCs w:val="32"/>
        </w:rPr>
      </w:pPr>
    </w:p>
    <w:p>
      <w:pPr>
        <w:keepNext w:val="0"/>
        <w:keepLines w:val="0"/>
        <w:pageBreakBefore w:val="0"/>
        <w:kinsoku/>
        <w:wordWrap/>
        <w:overflowPunct/>
        <w:topLinePunct w:val="0"/>
        <w:bidi w:val="0"/>
        <w:spacing w:line="600" w:lineRule="exact"/>
        <w:ind w:firstLine="640"/>
        <w:textAlignment w:val="auto"/>
        <w:rPr>
          <w:rFonts w:hint="eastAsia" w:ascii="仿宋" w:hAnsi="仿宋" w:eastAsia="仿宋"/>
          <w:sz w:val="32"/>
          <w:szCs w:val="32"/>
        </w:rPr>
      </w:pPr>
    </w:p>
    <w:p>
      <w:pPr>
        <w:keepNext w:val="0"/>
        <w:keepLines w:val="0"/>
        <w:pageBreakBefore w:val="0"/>
        <w:kinsoku/>
        <w:wordWrap/>
        <w:overflowPunct/>
        <w:topLinePunct w:val="0"/>
        <w:bidi w:val="0"/>
        <w:spacing w:line="600" w:lineRule="exact"/>
        <w:ind w:firstLine="640"/>
        <w:textAlignment w:val="auto"/>
        <w:rPr>
          <w:rFonts w:ascii="仿宋" w:hAnsi="仿宋" w:eastAsia="仿宋"/>
          <w:sz w:val="32"/>
          <w:szCs w:val="32"/>
        </w:rPr>
      </w:pPr>
      <w:r>
        <w:rPr>
          <w:rFonts w:hint="eastAsia" w:ascii="仿宋" w:hAnsi="仿宋" w:eastAsia="仿宋"/>
          <w:sz w:val="32"/>
          <w:szCs w:val="32"/>
        </w:rPr>
        <w:t>（图7：“三公”经费财政拨款支出结构）（饼状图）</w:t>
      </w:r>
    </w:p>
    <w:p>
      <w:pPr>
        <w:keepNext w:val="0"/>
        <w:keepLines w:val="0"/>
        <w:pageBreakBefore w:val="0"/>
        <w:kinsoku/>
        <w:wordWrap/>
        <w:overflowPunct/>
        <w:topLinePunct w:val="0"/>
        <w:bidi w:val="0"/>
        <w:spacing w:line="600" w:lineRule="exact"/>
        <w:ind w:firstLine="640"/>
        <w:textAlignment w:val="auto"/>
        <w:rPr>
          <w:rFonts w:ascii="仿宋_GB2312" w:eastAsia="仿宋_GB2312"/>
          <w:b/>
          <w:sz w:val="32"/>
          <w:szCs w:val="32"/>
        </w:rPr>
      </w:pPr>
      <w:r>
        <w:drawing>
          <wp:anchor distT="0" distB="0" distL="114300" distR="114300" simplePos="0" relativeHeight="251665408" behindDoc="0" locked="0" layoutInCell="1" allowOverlap="1">
            <wp:simplePos x="0" y="0"/>
            <wp:positionH relativeFrom="column">
              <wp:posOffset>102235</wp:posOffset>
            </wp:positionH>
            <wp:positionV relativeFrom="paragraph">
              <wp:posOffset>199390</wp:posOffset>
            </wp:positionV>
            <wp:extent cx="5269865" cy="2789555"/>
            <wp:effectExtent l="38735" t="18415" r="44450" b="68580"/>
            <wp:wrapTopAndBottom/>
            <wp:docPr id="8"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keepNext w:val="0"/>
        <w:keepLines w:val="0"/>
        <w:pageBreakBefore w:val="0"/>
        <w:kinsoku/>
        <w:wordWrap/>
        <w:overflowPunct/>
        <w:topLinePunct w:val="0"/>
        <w:bidi w:val="0"/>
        <w:spacing w:line="600" w:lineRule="exact"/>
        <w:ind w:firstLine="640"/>
        <w:textAlignment w:val="auto"/>
        <w:rPr>
          <w:rFonts w:ascii="仿宋_GB2312" w:eastAsia="仿宋_GB2312"/>
          <w:sz w:val="32"/>
          <w:szCs w:val="32"/>
          <w:lang w:val="en-US"/>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17"/>
          <w:rFonts w:hint="eastAsia" w:ascii="仿宋" w:hAnsi="仿宋" w:eastAsia="仿宋"/>
          <w:b w:val="0"/>
          <w:bCs/>
          <w:sz w:val="32"/>
          <w:szCs w:val="32"/>
        </w:rPr>
        <w:t>完成预算</w:t>
      </w:r>
      <w:r>
        <w:rPr>
          <w:rStyle w:val="17"/>
          <w:rFonts w:hint="eastAsia" w:ascii="仿宋" w:hAnsi="仿宋" w:eastAsia="仿宋"/>
          <w:b w:val="0"/>
          <w:bCs/>
          <w:sz w:val="32"/>
          <w:szCs w:val="32"/>
          <w:lang w:val="en-US" w:eastAsia="zh-CN"/>
        </w:rPr>
        <w:t>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lang w:val="en-US" w:eastAsia="zh-CN"/>
        </w:rPr>
        <w:t>0</w:t>
      </w:r>
    </w:p>
    <w:p>
      <w:pPr>
        <w:keepNext w:val="0"/>
        <w:keepLines w:val="0"/>
        <w:pageBreakBefore w:val="0"/>
        <w:kinsoku/>
        <w:wordWrap/>
        <w:overflowPunct/>
        <w:topLinePunct w:val="0"/>
        <w:bidi w:val="0"/>
        <w:spacing w:line="600" w:lineRule="exact"/>
        <w:ind w:firstLine="640"/>
        <w:textAlignment w:val="auto"/>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lang w:val="en-US" w:eastAsia="zh-CN"/>
        </w:rPr>
        <w:t>14.83</w:t>
      </w:r>
      <w:r>
        <w:rPr>
          <w:rFonts w:hint="eastAsia" w:ascii="仿宋_GB2312" w:eastAsia="仿宋_GB2312"/>
          <w:sz w:val="32"/>
          <w:szCs w:val="32"/>
        </w:rPr>
        <w:t>万元,</w:t>
      </w:r>
      <w:r>
        <w:rPr>
          <w:rStyle w:val="17"/>
          <w:rFonts w:hint="eastAsia" w:ascii="仿宋" w:hAnsi="仿宋" w:eastAsia="仿宋"/>
          <w:b w:val="0"/>
          <w:bCs/>
          <w:sz w:val="32"/>
          <w:szCs w:val="32"/>
        </w:rPr>
        <w:t>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21年减少</w:t>
      </w:r>
      <w:r>
        <w:rPr>
          <w:rFonts w:hint="eastAsia" w:ascii="仿宋_GB2312" w:eastAsia="仿宋_GB2312"/>
          <w:sz w:val="32"/>
          <w:szCs w:val="32"/>
          <w:lang w:val="en-US" w:eastAsia="zh-CN"/>
        </w:rPr>
        <w:t>19.72</w:t>
      </w:r>
      <w:r>
        <w:rPr>
          <w:rFonts w:hint="eastAsia" w:ascii="仿宋_GB2312" w:eastAsia="仿宋_GB2312"/>
          <w:sz w:val="32"/>
          <w:szCs w:val="32"/>
        </w:rPr>
        <w:t>万元，下降</w:t>
      </w:r>
      <w:r>
        <w:rPr>
          <w:rFonts w:hint="eastAsia" w:ascii="仿宋_GB2312" w:eastAsia="仿宋_GB2312"/>
          <w:sz w:val="32"/>
          <w:szCs w:val="32"/>
          <w:lang w:val="en-US" w:eastAsia="zh-CN"/>
        </w:rPr>
        <w:t>24.8</w:t>
      </w:r>
      <w:r>
        <w:rPr>
          <w:rFonts w:ascii="仿宋_GB2312" w:eastAsia="仿宋_GB2312"/>
          <w:sz w:val="32"/>
          <w:szCs w:val="32"/>
        </w:rPr>
        <w:t>%</w:t>
      </w:r>
      <w:r>
        <w:rPr>
          <w:rFonts w:hint="eastAsia" w:ascii="仿宋_GB2312" w:eastAsia="仿宋_GB2312"/>
          <w:sz w:val="32"/>
          <w:szCs w:val="32"/>
        </w:rPr>
        <w:t>。主要原因是2022年机关例行节约，支出减少。</w:t>
      </w:r>
    </w:p>
    <w:p>
      <w:pPr>
        <w:keepNext w:val="0"/>
        <w:keepLines w:val="0"/>
        <w:pageBreakBefore w:val="0"/>
        <w:kinsoku/>
        <w:wordWrap/>
        <w:overflowPunct/>
        <w:topLinePunct w:val="0"/>
        <w:bidi w:val="0"/>
        <w:spacing w:line="600" w:lineRule="exact"/>
        <w:ind w:firstLine="640" w:firstLineChars="200"/>
        <w:textAlignment w:val="auto"/>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lang w:val="en-US" w:eastAsia="zh-CN"/>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月底，单位共有公务用车</w:t>
      </w:r>
      <w:r>
        <w:rPr>
          <w:rFonts w:hint="eastAsia" w:ascii="仿宋_GB2312" w:eastAsia="仿宋_GB2312"/>
          <w:sz w:val="32"/>
          <w:szCs w:val="32"/>
          <w:lang w:val="en-US" w:eastAsia="zh-CN"/>
        </w:rPr>
        <w:t>4</w:t>
      </w:r>
      <w:r>
        <w:rPr>
          <w:rFonts w:hint="eastAsia" w:ascii="仿宋_GB2312" w:eastAsia="仿宋_GB2312"/>
          <w:sz w:val="32"/>
          <w:szCs w:val="32"/>
        </w:rPr>
        <w:t>辆，其中：轿车</w:t>
      </w:r>
      <w:r>
        <w:rPr>
          <w:rFonts w:hint="eastAsia" w:ascii="仿宋_GB2312" w:eastAsia="仿宋_GB2312"/>
          <w:sz w:val="32"/>
          <w:szCs w:val="32"/>
          <w:lang w:val="en-US" w:eastAsia="zh-CN"/>
        </w:rPr>
        <w:t>3</w:t>
      </w:r>
      <w:r>
        <w:rPr>
          <w:rFonts w:hint="eastAsia" w:ascii="仿宋_GB2312" w:eastAsia="仿宋_GB2312"/>
          <w:sz w:val="32"/>
          <w:szCs w:val="32"/>
        </w:rPr>
        <w:t>辆、越野车</w:t>
      </w:r>
      <w:r>
        <w:rPr>
          <w:rFonts w:hint="eastAsia" w:ascii="仿宋_GB2312" w:eastAsia="仿宋_GB2312"/>
          <w:sz w:val="32"/>
          <w:szCs w:val="32"/>
          <w:lang w:val="en-US" w:eastAsia="zh-CN"/>
        </w:rPr>
        <w:t>1</w:t>
      </w:r>
      <w:r>
        <w:rPr>
          <w:rFonts w:hint="eastAsia" w:ascii="仿宋_GB2312" w:eastAsia="仿宋_GB2312"/>
          <w:sz w:val="32"/>
          <w:szCs w:val="32"/>
        </w:rPr>
        <w:t>辆。</w:t>
      </w:r>
    </w:p>
    <w:p>
      <w:pPr>
        <w:keepNext w:val="0"/>
        <w:keepLines w:val="0"/>
        <w:pageBreakBefore w:val="0"/>
        <w:kinsoku/>
        <w:wordWrap/>
        <w:overflowPunct/>
        <w:topLinePunct w:val="0"/>
        <w:bidi w:val="0"/>
        <w:spacing w:line="600" w:lineRule="exact"/>
        <w:ind w:firstLine="640"/>
        <w:textAlignment w:val="auto"/>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lang w:val="en-US" w:eastAsia="zh-CN"/>
        </w:rPr>
        <w:t>14.83</w:t>
      </w:r>
      <w:r>
        <w:rPr>
          <w:rFonts w:hint="eastAsia" w:ascii="仿宋_GB2312" w:eastAsia="仿宋_GB2312"/>
          <w:sz w:val="32"/>
          <w:szCs w:val="32"/>
        </w:rPr>
        <w:t>万元。主要用于</w:t>
      </w:r>
      <w:r>
        <w:rPr>
          <w:rFonts w:hint="eastAsia" w:ascii="仿宋_GB2312" w:eastAsia="仿宋_GB2312"/>
          <w:sz w:val="32"/>
          <w:szCs w:val="32"/>
          <w:lang w:eastAsia="zh-CN"/>
        </w:rPr>
        <w:t>办案与日常办公</w:t>
      </w:r>
      <w:r>
        <w:rPr>
          <w:rFonts w:hint="eastAsia" w:ascii="仿宋_GB2312" w:eastAsia="仿宋_GB2312"/>
          <w:sz w:val="32"/>
          <w:szCs w:val="32"/>
        </w:rPr>
        <w:t>所需的公务用车燃料费、维修费、过路过桥费、保险费等支出。</w:t>
      </w:r>
    </w:p>
    <w:p>
      <w:pPr>
        <w:keepNext w:val="0"/>
        <w:keepLines w:val="0"/>
        <w:pageBreakBefore w:val="0"/>
        <w:kinsoku/>
        <w:wordWrap/>
        <w:overflowPunct/>
        <w:topLinePunct w:val="0"/>
        <w:bidi w:val="0"/>
        <w:spacing w:line="600" w:lineRule="exact"/>
        <w:ind w:firstLine="640"/>
        <w:textAlignment w:val="auto"/>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17"/>
          <w:rFonts w:hint="eastAsia" w:ascii="仿宋" w:hAnsi="仿宋" w:eastAsia="仿宋"/>
          <w:b w:val="0"/>
          <w:bCs/>
          <w:sz w:val="32"/>
          <w:szCs w:val="32"/>
        </w:rPr>
        <w:t>完成预算</w:t>
      </w:r>
      <w:r>
        <w:rPr>
          <w:rStyle w:val="17"/>
          <w:rFonts w:hint="eastAsia" w:ascii="仿宋" w:hAnsi="仿宋" w:eastAsia="仿宋"/>
          <w:b w:val="0"/>
          <w:bCs/>
          <w:sz w:val="32"/>
          <w:szCs w:val="32"/>
          <w:lang w:val="en-US" w:eastAsia="zh-CN"/>
        </w:rPr>
        <w:t>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21年减少</w:t>
      </w:r>
      <w:r>
        <w:rPr>
          <w:rFonts w:hint="eastAsia" w:ascii="仿宋_GB2312" w:eastAsia="仿宋_GB2312"/>
          <w:sz w:val="32"/>
          <w:szCs w:val="32"/>
          <w:lang w:val="en-US" w:eastAsia="zh-CN"/>
        </w:rPr>
        <w:t>0.46</w:t>
      </w:r>
      <w:r>
        <w:rPr>
          <w:rFonts w:hint="eastAsia" w:ascii="仿宋_GB2312" w:eastAsia="仿宋_GB2312"/>
          <w:sz w:val="32"/>
          <w:szCs w:val="32"/>
        </w:rPr>
        <w:t>万元，下降</w:t>
      </w:r>
      <w:r>
        <w:rPr>
          <w:rFonts w:hint="eastAsia" w:ascii="仿宋_GB2312" w:eastAsia="仿宋_GB2312"/>
          <w:sz w:val="32"/>
          <w:szCs w:val="32"/>
          <w:lang w:val="en-US" w:eastAsia="zh-CN"/>
        </w:rPr>
        <w:t>100</w:t>
      </w:r>
      <w:r>
        <w:rPr>
          <w:rFonts w:ascii="仿宋_GB2312" w:eastAsia="仿宋_GB2312"/>
          <w:sz w:val="32"/>
          <w:szCs w:val="32"/>
        </w:rPr>
        <w:t>%</w:t>
      </w:r>
      <w:r>
        <w:rPr>
          <w:rFonts w:hint="eastAsia" w:ascii="仿宋_GB2312" w:eastAsia="仿宋_GB2312"/>
          <w:sz w:val="32"/>
          <w:szCs w:val="32"/>
        </w:rPr>
        <w:t>。主要原因是2022年</w:t>
      </w:r>
      <w:r>
        <w:rPr>
          <w:rFonts w:hint="eastAsia" w:ascii="仿宋_GB2312" w:eastAsia="仿宋_GB2312"/>
          <w:sz w:val="32"/>
          <w:szCs w:val="32"/>
          <w:lang w:eastAsia="zh-CN"/>
        </w:rPr>
        <w:t>未收到</w:t>
      </w:r>
      <w:r>
        <w:rPr>
          <w:rFonts w:hint="eastAsia" w:ascii="仿宋_GB2312" w:eastAsia="仿宋_GB2312"/>
          <w:sz w:val="32"/>
          <w:szCs w:val="32"/>
        </w:rPr>
        <w:t>接待函，未支出接待费。</w:t>
      </w:r>
    </w:p>
    <w:p>
      <w:pPr>
        <w:keepNext w:val="0"/>
        <w:keepLines w:val="0"/>
        <w:pageBreakBefore w:val="0"/>
        <w:kinsoku/>
        <w:wordWrap/>
        <w:overflowPunct/>
        <w:topLinePunct w:val="0"/>
        <w:bidi w:val="0"/>
        <w:spacing w:line="600" w:lineRule="exact"/>
        <w:ind w:firstLine="640"/>
        <w:textAlignment w:val="auto"/>
        <w:outlineLvl w:val="1"/>
        <w:rPr>
          <w:rFonts w:ascii="黑体" w:eastAsia="黑体"/>
          <w:sz w:val="32"/>
          <w:szCs w:val="32"/>
        </w:rPr>
      </w:pPr>
      <w:bookmarkStart w:id="40" w:name="_Toc15396610"/>
      <w:bookmarkStart w:id="41" w:name="_Toc15377218"/>
    </w:p>
    <w:p>
      <w:pPr>
        <w:keepNext w:val="0"/>
        <w:keepLines w:val="0"/>
        <w:pageBreakBefore w:val="0"/>
        <w:kinsoku/>
        <w:wordWrap/>
        <w:overflowPunct/>
        <w:topLinePunct w:val="0"/>
        <w:bidi w:val="0"/>
        <w:spacing w:line="600" w:lineRule="exact"/>
        <w:ind w:firstLine="640"/>
        <w:textAlignment w:val="auto"/>
        <w:outlineLvl w:val="1"/>
        <w:rPr>
          <w:rStyle w:val="29"/>
          <w:rFonts w:ascii="黑体" w:hAnsi="黑体" w:eastAsia="黑体"/>
        </w:rPr>
      </w:pPr>
      <w:r>
        <w:rPr>
          <w:rFonts w:hint="eastAsia" w:ascii="黑体" w:eastAsia="黑体"/>
          <w:sz w:val="32"/>
          <w:szCs w:val="32"/>
        </w:rPr>
        <w:t>八、</w:t>
      </w:r>
      <w:r>
        <w:rPr>
          <w:rStyle w:val="29"/>
          <w:rFonts w:hint="eastAsia" w:ascii="黑体" w:hAnsi="黑体" w:eastAsia="黑体"/>
          <w:b w:val="0"/>
        </w:rPr>
        <w:t>政府性基金预算支出决算情况说明</w:t>
      </w:r>
      <w:bookmarkEnd w:id="40"/>
      <w:bookmarkEnd w:id="41"/>
    </w:p>
    <w:p>
      <w:pPr>
        <w:keepNext w:val="0"/>
        <w:keepLines w:val="0"/>
        <w:pageBreakBefore w:val="0"/>
        <w:kinsoku/>
        <w:wordWrap/>
        <w:overflowPunct/>
        <w:topLinePunct w:val="0"/>
        <w:bidi w:val="0"/>
        <w:spacing w:line="600" w:lineRule="exact"/>
        <w:ind w:firstLine="640"/>
        <w:textAlignment w:val="auto"/>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keepNext w:val="0"/>
        <w:keepLines w:val="0"/>
        <w:pageBreakBefore w:val="0"/>
        <w:kinsoku/>
        <w:wordWrap/>
        <w:overflowPunct/>
        <w:topLinePunct w:val="0"/>
        <w:bidi w:val="0"/>
        <w:spacing w:line="600" w:lineRule="exact"/>
        <w:ind w:firstLine="640"/>
        <w:textAlignment w:val="auto"/>
        <w:rPr>
          <w:rFonts w:ascii="仿宋_GB2312" w:eastAsia="仿宋_GB2312"/>
          <w:sz w:val="32"/>
          <w:szCs w:val="32"/>
        </w:rPr>
      </w:pPr>
    </w:p>
    <w:p>
      <w:pPr>
        <w:keepNext w:val="0"/>
        <w:keepLines w:val="0"/>
        <w:pageBreakBefore w:val="0"/>
        <w:numPr>
          <w:ilvl w:val="0"/>
          <w:numId w:val="2"/>
        </w:numPr>
        <w:kinsoku/>
        <w:wordWrap/>
        <w:overflowPunct/>
        <w:topLinePunct w:val="0"/>
        <w:bidi w:val="0"/>
        <w:spacing w:line="600" w:lineRule="exact"/>
        <w:ind w:firstLine="640"/>
        <w:textAlignment w:val="auto"/>
        <w:outlineLvl w:val="1"/>
        <w:rPr>
          <w:rStyle w:val="29"/>
          <w:rFonts w:ascii="黑体" w:hAnsi="黑体" w:eastAsia="黑体"/>
          <w:b w:val="0"/>
        </w:rPr>
      </w:pPr>
      <w:bookmarkStart w:id="42" w:name="_Toc15396611"/>
      <w:bookmarkStart w:id="43" w:name="_Toc15377219"/>
      <w:r>
        <w:rPr>
          <w:rStyle w:val="29"/>
          <w:rFonts w:hint="eastAsia" w:ascii="黑体" w:hAnsi="黑体" w:eastAsia="黑体"/>
          <w:b w:val="0"/>
        </w:rPr>
        <w:t>国有资本经营预算支出决算情况说明</w:t>
      </w:r>
      <w:bookmarkEnd w:id="42"/>
      <w:bookmarkEnd w:id="43"/>
    </w:p>
    <w:p>
      <w:pPr>
        <w:keepNext w:val="0"/>
        <w:keepLines w:val="0"/>
        <w:pageBreakBefore w:val="0"/>
        <w:kinsoku/>
        <w:wordWrap/>
        <w:overflowPunct/>
        <w:topLinePunct w:val="0"/>
        <w:bidi w:val="0"/>
        <w:spacing w:line="600" w:lineRule="exact"/>
        <w:ind w:firstLine="640"/>
        <w:textAlignment w:val="auto"/>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keepNext w:val="0"/>
        <w:keepLines w:val="0"/>
        <w:pageBreakBefore w:val="0"/>
        <w:kinsoku/>
        <w:wordWrap/>
        <w:overflowPunct/>
        <w:topLinePunct w:val="0"/>
        <w:bidi w:val="0"/>
        <w:spacing w:line="600" w:lineRule="exact"/>
        <w:jc w:val="center"/>
        <w:textAlignment w:val="auto"/>
        <w:rPr>
          <w:rFonts w:ascii="方正小标宋简体" w:hAnsi="方正小标宋简体" w:eastAsia="方正小标宋简体" w:cs="方正小标宋简体"/>
          <w:sz w:val="44"/>
          <w:szCs w:val="44"/>
        </w:rPr>
      </w:pPr>
    </w:p>
    <w:p>
      <w:pPr>
        <w:keepNext w:val="0"/>
        <w:keepLines w:val="0"/>
        <w:pageBreakBefore w:val="0"/>
        <w:numPr>
          <w:ilvl w:val="0"/>
          <w:numId w:val="2"/>
        </w:numPr>
        <w:kinsoku/>
        <w:wordWrap/>
        <w:overflowPunct/>
        <w:topLinePunct w:val="0"/>
        <w:bidi w:val="0"/>
        <w:spacing w:line="600" w:lineRule="exact"/>
        <w:ind w:firstLine="640"/>
        <w:textAlignment w:val="auto"/>
        <w:outlineLvl w:val="1"/>
        <w:rPr>
          <w:rStyle w:val="29"/>
          <w:rFonts w:ascii="黑体" w:hAnsi="黑体" w:eastAsia="黑体"/>
          <w:b w:val="0"/>
        </w:rPr>
      </w:pPr>
      <w:bookmarkStart w:id="44" w:name="_Toc15396612"/>
      <w:bookmarkStart w:id="45" w:name="_Toc15377221"/>
      <w:r>
        <w:rPr>
          <w:rStyle w:val="29"/>
          <w:rFonts w:hint="eastAsia" w:ascii="黑体" w:hAnsi="黑体" w:eastAsia="黑体"/>
          <w:b w:val="0"/>
        </w:rPr>
        <w:t>其他重要事项的情况说明</w:t>
      </w:r>
      <w:bookmarkEnd w:id="44"/>
      <w:bookmarkEnd w:id="45"/>
    </w:p>
    <w:p>
      <w:pPr>
        <w:keepNext w:val="0"/>
        <w:keepLines w:val="0"/>
        <w:pageBreakBefore w:val="0"/>
        <w:kinsoku/>
        <w:wordWrap/>
        <w:overflowPunct/>
        <w:topLinePunct w:val="0"/>
        <w:bidi w:val="0"/>
        <w:spacing w:line="600" w:lineRule="exact"/>
        <w:ind w:firstLine="643" w:firstLineChars="200"/>
        <w:textAlignment w:val="auto"/>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pPr>
        <w:keepNext w:val="0"/>
        <w:keepLines w:val="0"/>
        <w:pageBreakBefore w:val="0"/>
        <w:kinsoku/>
        <w:wordWrap/>
        <w:overflowPunct/>
        <w:topLinePunct w:val="0"/>
        <w:bidi w:val="0"/>
        <w:spacing w:line="600" w:lineRule="exact"/>
        <w:ind w:firstLine="640" w:firstLineChars="200"/>
        <w:textAlignment w:val="auto"/>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eastAsia="zh-CN"/>
        </w:rPr>
        <w:t>乐山市市中区纪委</w:t>
      </w:r>
      <w:r>
        <w:rPr>
          <w:rFonts w:hint="eastAsia" w:ascii="仿宋_GB2312" w:eastAsia="仿宋_GB2312"/>
          <w:sz w:val="32"/>
          <w:szCs w:val="32"/>
        </w:rPr>
        <w:t>机关运行经费支出</w:t>
      </w:r>
      <w:r>
        <w:rPr>
          <w:rFonts w:hint="eastAsia" w:ascii="仿宋_GB2312" w:eastAsia="仿宋_GB2312"/>
          <w:sz w:val="32"/>
          <w:szCs w:val="32"/>
          <w:lang w:val="en-US" w:eastAsia="zh-CN"/>
        </w:rPr>
        <w:t>254.27</w:t>
      </w:r>
      <w:r>
        <w:rPr>
          <w:rFonts w:hint="eastAsia" w:ascii="仿宋_GB2312" w:eastAsia="仿宋_GB2312"/>
          <w:sz w:val="32"/>
          <w:szCs w:val="32"/>
        </w:rPr>
        <w:t>万元，比</w:t>
      </w:r>
      <w:r>
        <w:rPr>
          <w:rFonts w:ascii="仿宋_GB2312" w:eastAsia="仿宋_GB2312"/>
          <w:sz w:val="32"/>
          <w:szCs w:val="32"/>
        </w:rPr>
        <w:t>20</w:t>
      </w:r>
      <w:r>
        <w:rPr>
          <w:rFonts w:hint="eastAsia" w:ascii="仿宋_GB2312" w:eastAsia="仿宋_GB2312"/>
          <w:sz w:val="32"/>
          <w:szCs w:val="32"/>
        </w:rPr>
        <w:t>21年减少</w:t>
      </w:r>
      <w:r>
        <w:rPr>
          <w:rFonts w:hint="eastAsia" w:ascii="仿宋_GB2312" w:eastAsia="仿宋_GB2312"/>
          <w:sz w:val="32"/>
          <w:szCs w:val="32"/>
          <w:lang w:val="en-US" w:eastAsia="zh-CN"/>
        </w:rPr>
        <w:t>13.67</w:t>
      </w:r>
      <w:r>
        <w:rPr>
          <w:rFonts w:hint="eastAsia" w:ascii="仿宋_GB2312" w:eastAsia="仿宋_GB2312"/>
          <w:sz w:val="32"/>
          <w:szCs w:val="32"/>
        </w:rPr>
        <w:t>万元，下降</w:t>
      </w:r>
      <w:r>
        <w:rPr>
          <w:rFonts w:hint="eastAsia" w:ascii="仿宋_GB2312" w:eastAsia="仿宋_GB2312"/>
          <w:sz w:val="32"/>
          <w:szCs w:val="32"/>
          <w:lang w:val="en-US" w:eastAsia="zh-CN"/>
        </w:rPr>
        <w:t>5.1</w:t>
      </w:r>
      <w:r>
        <w:rPr>
          <w:rFonts w:ascii="仿宋_GB2312" w:eastAsia="仿宋_GB2312"/>
          <w:sz w:val="32"/>
          <w:szCs w:val="32"/>
        </w:rPr>
        <w:t>%</w:t>
      </w:r>
      <w:r>
        <w:rPr>
          <w:rFonts w:hint="eastAsia" w:ascii="仿宋_GB2312" w:eastAsia="仿宋_GB2312"/>
          <w:sz w:val="32"/>
          <w:szCs w:val="32"/>
        </w:rPr>
        <w:t>。主要原因是2022年机关例行节约，支出减少。</w:t>
      </w:r>
    </w:p>
    <w:p>
      <w:pPr>
        <w:keepNext w:val="0"/>
        <w:keepLines w:val="0"/>
        <w:pageBreakBefore w:val="0"/>
        <w:kinsoku/>
        <w:wordWrap/>
        <w:overflowPunct/>
        <w:topLinePunct w:val="0"/>
        <w:bidi w:val="0"/>
        <w:spacing w:line="600" w:lineRule="exact"/>
        <w:ind w:firstLine="643" w:firstLineChars="200"/>
        <w:textAlignment w:val="auto"/>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pPr>
        <w:keepNext w:val="0"/>
        <w:keepLines w:val="0"/>
        <w:pageBreakBefore w:val="0"/>
        <w:kinsoku/>
        <w:wordWrap/>
        <w:overflowPunct/>
        <w:topLinePunct w:val="0"/>
        <w:autoSpaceDE w:val="0"/>
        <w:autoSpaceDN w:val="0"/>
        <w:bidi w:val="0"/>
        <w:adjustRightInd w:val="0"/>
        <w:spacing w:line="600" w:lineRule="exact"/>
        <w:ind w:firstLine="643" w:firstLineChars="200"/>
        <w:jc w:val="left"/>
        <w:textAlignment w:val="auto"/>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pPr>
        <w:keepNext w:val="0"/>
        <w:keepLines w:val="0"/>
        <w:pageBreakBefore w:val="0"/>
        <w:kinsoku/>
        <w:wordWrap/>
        <w:overflowPunct/>
        <w:topLinePunct w:val="0"/>
        <w:bidi w:val="0"/>
        <w:spacing w:line="600" w:lineRule="exact"/>
        <w:ind w:firstLine="640" w:firstLineChars="200"/>
        <w:textAlignment w:val="auto"/>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eastAsia="zh-CN"/>
        </w:rPr>
        <w:t>乐山市市中区纪委</w:t>
      </w:r>
      <w:r>
        <w:rPr>
          <w:rFonts w:hint="eastAsia" w:ascii="仿宋_GB2312" w:eastAsia="仿宋_GB2312"/>
          <w:sz w:val="32"/>
          <w:szCs w:val="32"/>
        </w:rPr>
        <w:t>政府采购支出总额</w:t>
      </w:r>
      <w:r>
        <w:rPr>
          <w:rFonts w:hint="eastAsia" w:ascii="仿宋_GB2312" w:eastAsia="仿宋_GB2312"/>
          <w:sz w:val="32"/>
          <w:szCs w:val="32"/>
          <w:lang w:val="en-US" w:eastAsia="zh-CN"/>
        </w:rPr>
        <w:t>0</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0</w:t>
      </w:r>
      <w:r>
        <w:rPr>
          <w:rFonts w:hint="eastAsia" w:ascii="仿宋_GB2312" w:eastAsia="仿宋_GB2312"/>
          <w:sz w:val="32"/>
          <w:szCs w:val="32"/>
        </w:rPr>
        <w:t>万元、政府采购工程支出</w:t>
      </w:r>
      <w:r>
        <w:rPr>
          <w:rFonts w:hint="eastAsia" w:ascii="仿宋_GB2312" w:eastAsia="仿宋_GB2312"/>
          <w:sz w:val="32"/>
          <w:szCs w:val="32"/>
          <w:lang w:val="en-US" w:eastAsia="zh-CN"/>
        </w:rPr>
        <w:t>0</w:t>
      </w:r>
      <w:r>
        <w:rPr>
          <w:rFonts w:hint="eastAsia" w:ascii="仿宋_GB2312" w:eastAsia="仿宋_GB2312"/>
          <w:sz w:val="32"/>
          <w:szCs w:val="32"/>
        </w:rPr>
        <w:t>万元、政府采购服务支出</w:t>
      </w:r>
      <w:r>
        <w:rPr>
          <w:rFonts w:hint="eastAsia" w:ascii="仿宋_GB2312" w:eastAsia="仿宋_GB2312"/>
          <w:sz w:val="32"/>
          <w:szCs w:val="32"/>
          <w:lang w:val="en-US" w:eastAsia="zh-CN"/>
        </w:rPr>
        <w:t>0</w:t>
      </w:r>
      <w:r>
        <w:rPr>
          <w:rFonts w:hint="eastAsia" w:ascii="仿宋_GB2312" w:eastAsia="仿宋_GB2312"/>
          <w:sz w:val="32"/>
          <w:szCs w:val="32"/>
        </w:rPr>
        <w:t>万元。授予中小企业合同金额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，其中：授予小微企业合同金额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keepNext w:val="0"/>
        <w:keepLines w:val="0"/>
        <w:pageBreakBefore w:val="0"/>
        <w:kinsoku/>
        <w:wordWrap/>
        <w:overflowPunct/>
        <w:topLinePunct w:val="0"/>
        <w:bidi w:val="0"/>
        <w:spacing w:line="600" w:lineRule="exact"/>
        <w:ind w:firstLine="643" w:firstLineChars="200"/>
        <w:textAlignment w:val="auto"/>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pPr>
        <w:keepNext w:val="0"/>
        <w:keepLines w:val="0"/>
        <w:pageBreakBefore w:val="0"/>
        <w:kinsoku/>
        <w:wordWrap/>
        <w:overflowPunct/>
        <w:topLinePunct w:val="0"/>
        <w:autoSpaceDE w:val="0"/>
        <w:autoSpaceDN w:val="0"/>
        <w:bidi w:val="0"/>
        <w:adjustRightInd w:val="0"/>
        <w:spacing w:line="600" w:lineRule="exact"/>
        <w:ind w:firstLine="643" w:firstLineChars="200"/>
        <w:jc w:val="left"/>
        <w:textAlignment w:val="auto"/>
        <w:outlineLvl w:val="2"/>
        <w:rPr>
          <w:rFonts w:ascii="仿宋" w:hAnsi="仿宋" w:eastAsia="仿宋"/>
          <w:b/>
          <w:sz w:val="32"/>
          <w:szCs w:val="32"/>
        </w:rPr>
      </w:pPr>
      <w:bookmarkStart w:id="48" w:name="_Toc15377224"/>
      <w:r>
        <w:rPr>
          <w:rFonts w:hint="eastAsia" w:ascii="仿宋" w:hAnsi="仿宋" w:eastAsia="仿宋"/>
          <w:b/>
          <w:sz w:val="32"/>
          <w:szCs w:val="32"/>
        </w:rPr>
        <w:t>（三）国有资产占有使用情况</w:t>
      </w:r>
      <w:bookmarkEnd w:id="48"/>
    </w:p>
    <w:p>
      <w:pPr>
        <w:keepNext w:val="0"/>
        <w:keepLines w:val="0"/>
        <w:pageBreakBefore w:val="0"/>
        <w:kinsoku/>
        <w:wordWrap/>
        <w:overflowPunct/>
        <w:topLinePunct w:val="0"/>
        <w:autoSpaceDE w:val="0"/>
        <w:autoSpaceDN w:val="0"/>
        <w:bidi w:val="0"/>
        <w:adjustRightInd w:val="0"/>
        <w:spacing w:line="600" w:lineRule="exact"/>
        <w:ind w:firstLine="640" w:firstLineChars="200"/>
        <w:jc w:val="left"/>
        <w:textAlignment w:val="auto"/>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sz w:val="32"/>
          <w:szCs w:val="32"/>
          <w:lang w:eastAsia="zh-CN"/>
        </w:rPr>
        <w:t>乐山市市中区纪委</w:t>
      </w:r>
      <w:r>
        <w:rPr>
          <w:rFonts w:hint="eastAsia" w:ascii="仿宋_GB2312" w:eastAsia="仿宋_GB2312"/>
          <w:sz w:val="32"/>
          <w:szCs w:val="32"/>
        </w:rPr>
        <w:t>共有车辆</w:t>
      </w:r>
      <w:r>
        <w:rPr>
          <w:rFonts w:hint="eastAsia" w:ascii="仿宋_GB2312" w:eastAsia="仿宋_GB2312"/>
          <w:sz w:val="32"/>
          <w:szCs w:val="32"/>
          <w:lang w:val="en-US" w:eastAsia="zh-CN"/>
        </w:rPr>
        <w:t>4</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2</w:t>
      </w:r>
      <w:r>
        <w:rPr>
          <w:rFonts w:hint="eastAsia" w:ascii="仿宋_GB2312" w:eastAsia="仿宋_GB2312"/>
          <w:sz w:val="32"/>
          <w:szCs w:val="32"/>
        </w:rPr>
        <w:t>辆、</w:t>
      </w:r>
      <w:r>
        <w:rPr>
          <w:rFonts w:hint="eastAsia" w:ascii="仿宋_GB2312" w:eastAsia="仿宋_GB2312"/>
          <w:sz w:val="32"/>
          <w:szCs w:val="32"/>
          <w:lang w:eastAsia="zh-CN"/>
        </w:rPr>
        <w:t>执法执勤</w:t>
      </w:r>
      <w:r>
        <w:rPr>
          <w:rFonts w:hint="eastAsia" w:ascii="仿宋_GB2312" w:eastAsia="仿宋_GB2312"/>
          <w:sz w:val="32"/>
          <w:szCs w:val="32"/>
        </w:rPr>
        <w:t>用车</w:t>
      </w:r>
      <w:r>
        <w:rPr>
          <w:rFonts w:hint="eastAsia" w:ascii="仿宋_GB2312" w:eastAsia="仿宋_GB2312"/>
          <w:sz w:val="32"/>
          <w:szCs w:val="32"/>
          <w:lang w:val="en-US" w:eastAsia="zh-CN"/>
        </w:rPr>
        <w:t>2</w:t>
      </w:r>
      <w:r>
        <w:rPr>
          <w:rFonts w:hint="eastAsia" w:ascii="仿宋_GB2312" w:eastAsia="仿宋_GB2312"/>
          <w:sz w:val="32"/>
          <w:szCs w:val="32"/>
        </w:rPr>
        <w:t>辆。</w:t>
      </w:r>
      <w:r>
        <w:rPr>
          <w:rFonts w:hint="eastAsia" w:ascii="仿宋_GB2312" w:eastAsia="仿宋_GB2312"/>
          <w:sz w:val="32"/>
          <w:szCs w:val="32"/>
          <w:lang w:eastAsia="zh-CN"/>
        </w:rPr>
        <w:t>主要用于日常办公和办案外出。</w:t>
      </w:r>
      <w:r>
        <w:rPr>
          <w:rFonts w:hint="eastAsia" w:ascii="仿宋_GB2312" w:eastAsia="仿宋_GB2312"/>
          <w:sz w:val="32"/>
          <w:szCs w:val="32"/>
        </w:rPr>
        <w:t>单价</w:t>
      </w:r>
      <w:r>
        <w:rPr>
          <w:rFonts w:ascii="仿宋_GB2312" w:eastAsia="仿宋_GB2312"/>
          <w:sz w:val="32"/>
          <w:szCs w:val="32"/>
        </w:rPr>
        <w:t>100</w:t>
      </w:r>
      <w:r>
        <w:rPr>
          <w:rFonts w:hint="eastAsia" w:ascii="仿宋_GB2312" w:eastAsia="仿宋_GB2312"/>
          <w:sz w:val="32"/>
          <w:szCs w:val="32"/>
        </w:rPr>
        <w:t>万元以上专用设备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keepNext w:val="0"/>
        <w:keepLines w:val="0"/>
        <w:pageBreakBefore w:val="0"/>
        <w:kinsoku/>
        <w:wordWrap/>
        <w:overflowPunct/>
        <w:topLinePunct w:val="0"/>
        <w:autoSpaceDE w:val="0"/>
        <w:autoSpaceDN w:val="0"/>
        <w:bidi w:val="0"/>
        <w:adjustRightInd w:val="0"/>
        <w:spacing w:line="600" w:lineRule="exact"/>
        <w:ind w:firstLine="643" w:firstLineChars="200"/>
        <w:jc w:val="left"/>
        <w:textAlignment w:val="auto"/>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表，按部门决算报表填报数据罗列车辆情况。）</w:t>
      </w:r>
    </w:p>
    <w:p>
      <w:pPr>
        <w:keepNext w:val="0"/>
        <w:keepLines w:val="0"/>
        <w:pageBreakBefore w:val="0"/>
        <w:kinsoku/>
        <w:wordWrap/>
        <w:overflowPunct/>
        <w:topLinePunct w:val="0"/>
        <w:autoSpaceDE w:val="0"/>
        <w:autoSpaceDN w:val="0"/>
        <w:bidi w:val="0"/>
        <w:adjustRightInd w:val="0"/>
        <w:spacing w:line="600" w:lineRule="exact"/>
        <w:ind w:firstLine="643" w:firstLineChars="200"/>
        <w:jc w:val="left"/>
        <w:textAlignment w:val="auto"/>
        <w:outlineLvl w:val="2"/>
        <w:rPr>
          <w:rFonts w:ascii="仿宋" w:hAnsi="仿宋" w:eastAsia="仿宋"/>
          <w:b/>
          <w:sz w:val="32"/>
          <w:szCs w:val="32"/>
        </w:rPr>
      </w:pPr>
      <w:r>
        <w:rPr>
          <w:rFonts w:hint="eastAsia" w:ascii="仿宋" w:hAnsi="仿宋" w:eastAsia="仿宋"/>
          <w:b/>
          <w:sz w:val="32"/>
          <w:szCs w:val="32"/>
        </w:rPr>
        <w:t>（四）预算绩效管理情况</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根据预算绩效管理要求，本部门在2022年度预算编制阶段，组织对</w:t>
      </w:r>
      <w:r>
        <w:rPr>
          <w:rFonts w:hint="eastAsia" w:ascii="仿宋_GB2312" w:hAnsi="仿宋_GB2312" w:eastAsia="仿宋_GB2312" w:cs="仿宋_GB2312"/>
          <w:color w:val="auto"/>
          <w:sz w:val="32"/>
          <w:szCs w:val="32"/>
          <w:lang w:val="en-US" w:eastAsia="zh-CN"/>
        </w:rPr>
        <w:t>2022年单位项目运转经费，2021年度中央政法纪检监督转移支付资金，2022年专案工作经费，2022年区纪委人员经费4</w:t>
      </w:r>
      <w:r>
        <w:rPr>
          <w:rFonts w:hint="eastAsia" w:ascii="仿宋_GB2312" w:hAnsi="仿宋_GB2312" w:eastAsia="仿宋_GB2312" w:cs="仿宋_GB2312"/>
          <w:sz w:val="32"/>
          <w:szCs w:val="32"/>
        </w:rPr>
        <w:t>个项目开展了预算事前绩效评估，对</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个项目开展绩效监控。</w:t>
      </w:r>
    </w:p>
    <w:p>
      <w:pPr>
        <w:keepNext w:val="0"/>
        <w:keepLines w:val="0"/>
        <w:pageBreakBefore w:val="0"/>
        <w:widowControl/>
        <w:kinsoku/>
        <w:wordWrap/>
        <w:overflowPunct/>
        <w:topLinePunct w:val="0"/>
        <w:bidi w:val="0"/>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组织对2022年度一般公共预算、政府性基金预算、国有资本经营预算、社会保险基金预算以及资本资产、债券资金等全面开展绩效自评，形成</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年度区纪委整体绩效评价报告》</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2022年单位项目运转经费、2022年专案工作经费</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2个</w:t>
      </w:r>
      <w:r>
        <w:rPr>
          <w:rFonts w:hint="eastAsia" w:ascii="仿宋_GB2312" w:hAnsi="仿宋_GB2312" w:eastAsia="仿宋_GB2312" w:cs="仿宋_GB2312"/>
          <w:sz w:val="32"/>
          <w:szCs w:val="32"/>
        </w:rPr>
        <w:t>专项预算项目绩效自评报告</w:t>
      </w:r>
      <w:r>
        <w:rPr>
          <w:rFonts w:hint="eastAsia" w:ascii="仿宋_GB2312" w:hAnsi="仿宋_GB2312" w:eastAsia="仿宋_GB2312" w:cs="仿宋_GB2312"/>
          <w:sz w:val="32"/>
          <w:szCs w:val="32"/>
          <w:lang w:eastAsia="zh-CN"/>
        </w:rPr>
        <w:t>。</w:t>
      </w:r>
      <w:bookmarkStart w:id="67" w:name="_GoBack"/>
      <w:r>
        <w:rPr>
          <w:rFonts w:hint="eastAsia" w:ascii="仿宋_GB2312" w:hAnsi="仿宋_GB2312" w:eastAsia="仿宋_GB2312" w:cs="仿宋_GB2312"/>
          <w:sz w:val="32"/>
          <w:szCs w:val="32"/>
          <w:lang w:eastAsia="zh-CN"/>
        </w:rPr>
        <w:t>从自评情况来看，财政支出绩效良好，综合考核自评得分</w:t>
      </w:r>
      <w:r>
        <w:rPr>
          <w:rFonts w:hint="eastAsia" w:ascii="仿宋_GB2312" w:hAnsi="仿宋_GB2312" w:eastAsia="仿宋_GB2312" w:cs="仿宋_GB2312"/>
          <w:sz w:val="32"/>
          <w:szCs w:val="32"/>
          <w:lang w:val="en-US" w:eastAsia="zh-CN"/>
        </w:rPr>
        <w:t>100分</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绩效自评报告详见附件</w:t>
      </w:r>
      <w:r>
        <w:rPr>
          <w:rFonts w:hint="eastAsia" w:ascii="仿宋_GB2312" w:hAnsi="仿宋_GB2312" w:eastAsia="仿宋_GB2312" w:cs="仿宋_GB2312"/>
          <w:sz w:val="32"/>
          <w:szCs w:val="32"/>
          <w:lang w:eastAsia="zh-CN"/>
        </w:rPr>
        <w:t>（第四部分）。</w:t>
      </w:r>
      <w:bookmarkEnd w:id="67"/>
    </w:p>
    <w:p>
      <w:pPr>
        <w:pStyle w:val="2"/>
        <w:keepNext w:val="0"/>
        <w:keepLines w:val="0"/>
        <w:pageBreakBefore w:val="0"/>
        <w:kinsoku/>
        <w:wordWrap/>
        <w:overflowPunct/>
        <w:topLinePunct w:val="0"/>
        <w:bidi w:val="0"/>
        <w:spacing w:line="600" w:lineRule="exact"/>
        <w:textAlignment w:val="auto"/>
        <w:rPr>
          <w:rFonts w:hint="eastAsia" w:ascii="仿宋_GB2312" w:hAnsi="仿宋_GB2312" w:eastAsia="仿宋_GB2312" w:cs="仿宋_GB2312"/>
          <w:sz w:val="32"/>
          <w:szCs w:val="32"/>
        </w:rPr>
      </w:pPr>
    </w:p>
    <w:p>
      <w:pPr>
        <w:pStyle w:val="3"/>
        <w:keepNext w:val="0"/>
        <w:keepLines w:val="0"/>
        <w:pageBreakBefore w:val="0"/>
        <w:kinsoku/>
        <w:wordWrap/>
        <w:overflowPunct/>
        <w:topLinePunct w:val="0"/>
        <w:bidi w:val="0"/>
        <w:spacing w:line="60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bidi w:val="0"/>
        <w:spacing w:line="600" w:lineRule="exact"/>
        <w:textAlignment w:val="auto"/>
        <w:rPr>
          <w:rFonts w:hint="eastAsia" w:ascii="仿宋_GB2312" w:hAnsi="仿宋_GB2312" w:eastAsia="仿宋_GB2312" w:cs="仿宋_GB2312"/>
          <w:sz w:val="32"/>
          <w:szCs w:val="32"/>
        </w:rPr>
      </w:pPr>
    </w:p>
    <w:p>
      <w:pPr>
        <w:pStyle w:val="2"/>
        <w:keepNext w:val="0"/>
        <w:keepLines w:val="0"/>
        <w:pageBreakBefore w:val="0"/>
        <w:kinsoku/>
        <w:wordWrap/>
        <w:overflowPunct/>
        <w:topLinePunct w:val="0"/>
        <w:bidi w:val="0"/>
        <w:spacing w:line="600" w:lineRule="exact"/>
        <w:textAlignment w:val="auto"/>
        <w:rPr>
          <w:rFonts w:hint="eastAsia" w:ascii="仿宋_GB2312" w:hAnsi="仿宋_GB2312" w:eastAsia="仿宋_GB2312" w:cs="仿宋_GB2312"/>
          <w:sz w:val="32"/>
          <w:szCs w:val="32"/>
        </w:rPr>
      </w:pPr>
    </w:p>
    <w:p>
      <w:pPr>
        <w:pStyle w:val="3"/>
        <w:keepNext w:val="0"/>
        <w:keepLines w:val="0"/>
        <w:pageBreakBefore w:val="0"/>
        <w:kinsoku/>
        <w:wordWrap/>
        <w:overflowPunct/>
        <w:topLinePunct w:val="0"/>
        <w:bidi w:val="0"/>
        <w:spacing w:line="60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bidi w:val="0"/>
        <w:spacing w:line="600" w:lineRule="exact"/>
        <w:textAlignment w:val="auto"/>
        <w:rPr>
          <w:rFonts w:hint="eastAsia" w:ascii="仿宋_GB2312" w:hAnsi="仿宋_GB2312" w:eastAsia="仿宋_GB2312" w:cs="仿宋_GB2312"/>
          <w:sz w:val="32"/>
          <w:szCs w:val="32"/>
        </w:rPr>
      </w:pPr>
    </w:p>
    <w:p>
      <w:pPr>
        <w:keepNext w:val="0"/>
        <w:keepLines w:val="0"/>
        <w:pageBreakBefore w:val="0"/>
        <w:numPr>
          <w:ilvl w:val="0"/>
          <w:numId w:val="3"/>
        </w:numPr>
        <w:kinsoku/>
        <w:wordWrap/>
        <w:overflowPunct/>
        <w:topLinePunct w:val="0"/>
        <w:bidi w:val="0"/>
        <w:spacing w:line="600" w:lineRule="exact"/>
        <w:ind w:firstLine="660" w:firstLineChars="150"/>
        <w:jc w:val="center"/>
        <w:textAlignment w:val="auto"/>
        <w:outlineLvl w:val="0"/>
        <w:rPr>
          <w:rStyle w:val="28"/>
          <w:rFonts w:ascii="黑体" w:hAnsi="黑体" w:eastAsia="黑体"/>
          <w:b w:val="0"/>
        </w:rPr>
      </w:pPr>
      <w:bookmarkStart w:id="49" w:name="_Toc15396613"/>
      <w:bookmarkStart w:id="50" w:name="_Toc15377225"/>
      <w:r>
        <w:rPr>
          <w:rFonts w:hint="eastAsia" w:ascii="黑体" w:hAnsi="黑体" w:eastAsia="黑体"/>
          <w:sz w:val="44"/>
          <w:szCs w:val="44"/>
        </w:rPr>
        <w:t>名</w:t>
      </w:r>
      <w:r>
        <w:rPr>
          <w:rStyle w:val="28"/>
          <w:rFonts w:hint="eastAsia" w:ascii="黑体" w:hAnsi="黑体" w:eastAsia="黑体"/>
          <w:b w:val="0"/>
        </w:rPr>
        <w:t>词解释</w:t>
      </w:r>
      <w:bookmarkEnd w:id="49"/>
      <w:bookmarkEnd w:id="50"/>
    </w:p>
    <w:p>
      <w:pPr>
        <w:keepNext w:val="0"/>
        <w:keepLines w:val="0"/>
        <w:pageBreakBefore w:val="0"/>
        <w:kinsoku/>
        <w:wordWrap/>
        <w:overflowPunct/>
        <w:topLinePunct w:val="0"/>
        <w:bidi w:val="0"/>
        <w:spacing w:line="600" w:lineRule="exact"/>
        <w:jc w:val="left"/>
        <w:textAlignment w:val="auto"/>
        <w:rPr>
          <w:rFonts w:ascii="宋体"/>
          <w:b/>
          <w:sz w:val="44"/>
          <w:szCs w:val="44"/>
        </w:rPr>
      </w:pPr>
    </w:p>
    <w:p>
      <w:pPr>
        <w:pStyle w:val="26"/>
        <w:keepNext w:val="0"/>
        <w:keepLines w:val="0"/>
        <w:pageBreakBefore w:val="0"/>
        <w:kinsoku/>
        <w:wordWrap/>
        <w:overflowPunct/>
        <w:topLinePunct w:val="0"/>
        <w:bidi w:val="0"/>
        <w:spacing w:line="600"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6"/>
        <w:keepNext w:val="0"/>
        <w:keepLines w:val="0"/>
        <w:pageBreakBefore w:val="0"/>
        <w:kinsoku/>
        <w:wordWrap/>
        <w:overflowPunct/>
        <w:topLinePunct w:val="0"/>
        <w:bidi w:val="0"/>
        <w:spacing w:line="600"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pPr>
        <w:pStyle w:val="26"/>
        <w:keepNext w:val="0"/>
        <w:keepLines w:val="0"/>
        <w:pageBreakBefore w:val="0"/>
        <w:kinsoku/>
        <w:wordWrap/>
        <w:overflowPunct/>
        <w:topLinePunct w:val="0"/>
        <w:bidi w:val="0"/>
        <w:spacing w:line="600" w:lineRule="exact"/>
        <w:ind w:firstLine="640" w:firstLineChars="200"/>
        <w:textAlignment w:val="auto"/>
        <w:rPr>
          <w:rFonts w:hint="eastAsia"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w:t>
      </w:r>
    </w:p>
    <w:p>
      <w:pPr>
        <w:pStyle w:val="26"/>
        <w:keepNext w:val="0"/>
        <w:keepLines w:val="0"/>
        <w:pageBreakBefore w:val="0"/>
        <w:kinsoku/>
        <w:wordWrap/>
        <w:overflowPunct/>
        <w:topLinePunct w:val="0"/>
        <w:bidi w:val="0"/>
        <w:spacing w:line="600"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w:t>
      </w:r>
    </w:p>
    <w:p>
      <w:pPr>
        <w:pStyle w:val="26"/>
        <w:keepNext w:val="0"/>
        <w:keepLines w:val="0"/>
        <w:pageBreakBefore w:val="0"/>
        <w:kinsoku/>
        <w:wordWrap/>
        <w:overflowPunct/>
        <w:topLinePunct w:val="0"/>
        <w:bidi w:val="0"/>
        <w:spacing w:line="600"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color w:val="auto"/>
          <w:sz w:val="32"/>
          <w:szCs w:val="32"/>
        </w:rPr>
        <w:t>使用非财政拨款结余：指事业单位使用以前年度积累的非财政拨款结余弥补当年收支差额的金额。</w:t>
      </w:r>
      <w:r>
        <w:rPr>
          <w:rFonts w:ascii="仿宋_GB2312" w:eastAsia="仿宋_GB2312"/>
          <w:color w:val="auto"/>
          <w:sz w:val="32"/>
          <w:szCs w:val="32"/>
        </w:rPr>
        <w:t xml:space="preserve"> </w:t>
      </w:r>
    </w:p>
    <w:p>
      <w:pPr>
        <w:pStyle w:val="26"/>
        <w:keepNext w:val="0"/>
        <w:keepLines w:val="0"/>
        <w:pageBreakBefore w:val="0"/>
        <w:kinsoku/>
        <w:wordWrap/>
        <w:overflowPunct/>
        <w:topLinePunct w:val="0"/>
        <w:bidi w:val="0"/>
        <w:spacing w:line="600"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pStyle w:val="26"/>
        <w:keepNext w:val="0"/>
        <w:keepLines w:val="0"/>
        <w:pageBreakBefore w:val="0"/>
        <w:kinsoku/>
        <w:wordWrap/>
        <w:overflowPunct/>
        <w:topLinePunct w:val="0"/>
        <w:bidi w:val="0"/>
        <w:spacing w:line="600"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pPr>
        <w:pStyle w:val="26"/>
        <w:keepNext w:val="0"/>
        <w:keepLines w:val="0"/>
        <w:pageBreakBefore w:val="0"/>
        <w:kinsoku/>
        <w:wordWrap/>
        <w:overflowPunct/>
        <w:topLinePunct w:val="0"/>
        <w:bidi w:val="0"/>
        <w:spacing w:line="600"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pPr>
        <w:keepNext w:val="0"/>
        <w:keepLines w:val="0"/>
        <w:pageBreakBefore w:val="0"/>
        <w:kinsoku/>
        <w:wordWrap/>
        <w:overflowPunct/>
        <w:topLinePunct w:val="0"/>
        <w:bidi w:val="0"/>
        <w:spacing w:line="600" w:lineRule="exact"/>
        <w:ind w:firstLine="640" w:firstLineChars="200"/>
        <w:textAlignment w:val="auto"/>
        <w:rPr>
          <w:rFonts w:ascii="仿宋_GB2312" w:eastAsia="仿宋_GB2312"/>
          <w:sz w:val="32"/>
          <w:szCs w:val="32"/>
        </w:rPr>
      </w:pPr>
      <w:r>
        <w:rPr>
          <w:rFonts w:ascii="仿宋_GB2312" w:eastAsia="仿宋_GB2312"/>
          <w:sz w:val="32"/>
          <w:szCs w:val="32"/>
        </w:rPr>
        <w:t>9.</w:t>
      </w:r>
      <w:r>
        <w:rPr>
          <w:rFonts w:hint="eastAsia" w:ascii="仿宋_GB2312" w:eastAsia="仿宋_GB2312"/>
          <w:sz w:val="32"/>
          <w:szCs w:val="32"/>
        </w:rPr>
        <w:t>一般公共服务（类）纪检监察事务（款）行政运行（项）：指</w:t>
      </w:r>
      <w:r>
        <w:rPr>
          <w:rFonts w:hint="eastAsia" w:ascii="仿宋_GB2312" w:eastAsia="仿宋_GB2312"/>
          <w:sz w:val="32"/>
          <w:szCs w:val="32"/>
          <w:lang w:eastAsia="zh-CN"/>
        </w:rPr>
        <w:t>行政单位（包括实行公务员管理的事业单位）的基本支出</w:t>
      </w:r>
      <w:r>
        <w:rPr>
          <w:rFonts w:hint="eastAsia" w:ascii="仿宋_GB2312" w:eastAsia="仿宋_GB2312"/>
          <w:sz w:val="32"/>
          <w:szCs w:val="32"/>
        </w:rPr>
        <w:t>。</w:t>
      </w:r>
    </w:p>
    <w:p>
      <w:pPr>
        <w:keepNext w:val="0"/>
        <w:keepLines w:val="0"/>
        <w:pageBreakBefore w:val="0"/>
        <w:kinsoku/>
        <w:wordWrap/>
        <w:overflowPunct/>
        <w:topLinePunct w:val="0"/>
        <w:bidi w:val="0"/>
        <w:spacing w:line="600" w:lineRule="exact"/>
        <w:ind w:firstLine="640" w:firstLineChars="200"/>
        <w:textAlignment w:val="auto"/>
        <w:rPr>
          <w:rFonts w:ascii="仿宋_GB2312" w:eastAsia="仿宋_GB2312"/>
          <w:sz w:val="32"/>
          <w:szCs w:val="32"/>
        </w:rPr>
      </w:pPr>
      <w:r>
        <w:rPr>
          <w:rFonts w:ascii="仿宋_GB2312" w:eastAsia="仿宋_GB2312"/>
          <w:sz w:val="32"/>
          <w:szCs w:val="32"/>
        </w:rPr>
        <w:t>10.</w:t>
      </w:r>
      <w:r>
        <w:rPr>
          <w:rFonts w:hint="eastAsia" w:ascii="仿宋_GB2312" w:eastAsia="仿宋_GB2312"/>
          <w:sz w:val="32"/>
          <w:szCs w:val="32"/>
        </w:rPr>
        <w:t>一般公共服务（类）纪检监察事务（款） 一般行政管理事务（项）：指</w:t>
      </w:r>
      <w:r>
        <w:rPr>
          <w:rFonts w:hint="eastAsia" w:ascii="仿宋_GB2312" w:eastAsia="仿宋_GB2312"/>
          <w:sz w:val="32"/>
          <w:szCs w:val="32"/>
          <w:lang w:eastAsia="zh-CN"/>
        </w:rPr>
        <w:t>行政单位（包括实行公务员管理的事业单位）未单独设置项级科目的其他项目支出</w:t>
      </w:r>
      <w:r>
        <w:rPr>
          <w:rFonts w:hint="eastAsia" w:ascii="仿宋_GB2312" w:eastAsia="仿宋_GB2312"/>
          <w:sz w:val="32"/>
          <w:szCs w:val="32"/>
        </w:rPr>
        <w:t>。</w:t>
      </w:r>
    </w:p>
    <w:p>
      <w:pPr>
        <w:keepNext w:val="0"/>
        <w:keepLines w:val="0"/>
        <w:pageBreakBefore w:val="0"/>
        <w:kinsoku/>
        <w:wordWrap/>
        <w:overflowPunct/>
        <w:topLinePunct w:val="0"/>
        <w:bidi w:val="0"/>
        <w:spacing w:line="600" w:lineRule="exact"/>
        <w:ind w:firstLine="640" w:firstLineChars="200"/>
        <w:textAlignment w:val="auto"/>
        <w:rPr>
          <w:rFonts w:ascii="仿宋_GB2312" w:eastAsia="仿宋_GB2312"/>
          <w:sz w:val="32"/>
          <w:szCs w:val="32"/>
        </w:rPr>
      </w:pPr>
      <w:r>
        <w:rPr>
          <w:rFonts w:ascii="仿宋_GB2312" w:eastAsia="仿宋_GB2312"/>
          <w:sz w:val="32"/>
          <w:szCs w:val="32"/>
        </w:rPr>
        <w:t>11.</w:t>
      </w:r>
      <w:r>
        <w:rPr>
          <w:rFonts w:hint="eastAsia" w:ascii="仿宋_GB2312" w:eastAsia="仿宋_GB2312"/>
          <w:sz w:val="32"/>
          <w:szCs w:val="32"/>
        </w:rPr>
        <w:t>社会保障和就业（类）行政事业单位养老支出（款） 机关事业单位基本养老保险缴费支出（项）：指</w:t>
      </w:r>
      <w:r>
        <w:rPr>
          <w:rFonts w:hint="eastAsia" w:ascii="仿宋_GB2312" w:eastAsia="仿宋_GB2312"/>
          <w:sz w:val="32"/>
          <w:szCs w:val="32"/>
          <w:lang w:eastAsia="zh-CN"/>
        </w:rPr>
        <w:t>机关事业单位实施养老保险制度由单位缴纳的基本养老保险费支出</w:t>
      </w:r>
      <w:r>
        <w:rPr>
          <w:rFonts w:hint="eastAsia" w:ascii="仿宋_GB2312" w:eastAsia="仿宋_GB2312"/>
          <w:sz w:val="32"/>
          <w:szCs w:val="32"/>
        </w:rPr>
        <w:t>。</w:t>
      </w:r>
    </w:p>
    <w:p>
      <w:pPr>
        <w:keepNext w:val="0"/>
        <w:keepLines w:val="0"/>
        <w:pageBreakBefore w:val="0"/>
        <w:kinsoku/>
        <w:wordWrap/>
        <w:overflowPunct/>
        <w:topLinePunct w:val="0"/>
        <w:bidi w:val="0"/>
        <w:spacing w:line="600" w:lineRule="exact"/>
        <w:ind w:firstLine="640" w:firstLineChars="200"/>
        <w:textAlignment w:val="auto"/>
        <w:rPr>
          <w:rFonts w:ascii="仿宋_GB2312" w:eastAsia="仿宋_GB2312"/>
          <w:sz w:val="32"/>
          <w:szCs w:val="32"/>
        </w:rPr>
      </w:pPr>
      <w:r>
        <w:rPr>
          <w:rFonts w:ascii="仿宋_GB2312" w:eastAsia="仿宋_GB2312"/>
          <w:sz w:val="32"/>
          <w:szCs w:val="32"/>
        </w:rPr>
        <w:t>12.</w:t>
      </w:r>
      <w:r>
        <w:rPr>
          <w:rFonts w:hint="eastAsia" w:ascii="仿宋_GB2312" w:eastAsia="仿宋_GB2312"/>
          <w:sz w:val="32"/>
          <w:szCs w:val="32"/>
        </w:rPr>
        <w:t>社会保障和就业（类）行政事业单位养老支出（款）  机关事业单位职业年金缴费支出（项）：指</w:t>
      </w:r>
      <w:r>
        <w:rPr>
          <w:rFonts w:hint="eastAsia" w:ascii="仿宋_GB2312" w:eastAsia="仿宋_GB2312"/>
          <w:sz w:val="32"/>
          <w:szCs w:val="32"/>
          <w:lang w:eastAsia="zh-CN"/>
        </w:rPr>
        <w:t>机关事业单位实施养老保险制度由单位</w:t>
      </w:r>
      <w:r>
        <w:rPr>
          <w:rFonts w:hint="eastAsia"/>
          <w:sz w:val="32"/>
          <w:szCs w:val="32"/>
          <w:lang w:eastAsia="zh-CN"/>
        </w:rPr>
        <w:t>实际</w:t>
      </w:r>
      <w:r>
        <w:rPr>
          <w:rFonts w:hint="eastAsia" w:ascii="仿宋_GB2312" w:eastAsia="仿宋_GB2312"/>
          <w:sz w:val="32"/>
          <w:szCs w:val="32"/>
          <w:lang w:eastAsia="zh-CN"/>
        </w:rPr>
        <w:t>缴纳的</w:t>
      </w:r>
      <w:r>
        <w:rPr>
          <w:rFonts w:hint="eastAsia"/>
          <w:sz w:val="32"/>
          <w:szCs w:val="32"/>
          <w:lang w:eastAsia="zh-CN"/>
        </w:rPr>
        <w:t>职业年金</w:t>
      </w:r>
      <w:r>
        <w:rPr>
          <w:rFonts w:hint="eastAsia" w:ascii="仿宋_GB2312" w:eastAsia="仿宋_GB2312"/>
          <w:sz w:val="32"/>
          <w:szCs w:val="32"/>
          <w:lang w:eastAsia="zh-CN"/>
        </w:rPr>
        <w:t>支出</w:t>
      </w:r>
      <w:r>
        <w:rPr>
          <w:rFonts w:hint="eastAsia" w:ascii="仿宋_GB2312" w:eastAsia="仿宋_GB2312"/>
          <w:sz w:val="32"/>
          <w:szCs w:val="32"/>
        </w:rPr>
        <w:t>。</w:t>
      </w:r>
    </w:p>
    <w:p>
      <w:pPr>
        <w:keepNext w:val="0"/>
        <w:keepLines w:val="0"/>
        <w:pageBreakBefore w:val="0"/>
        <w:kinsoku/>
        <w:wordWrap/>
        <w:overflowPunct/>
        <w:topLinePunct w:val="0"/>
        <w:bidi w:val="0"/>
        <w:spacing w:line="600" w:lineRule="exact"/>
        <w:ind w:firstLine="640" w:firstLineChars="200"/>
        <w:textAlignment w:val="auto"/>
        <w:rPr>
          <w:rFonts w:ascii="仿宋_GB2312" w:eastAsia="仿宋_GB2312"/>
          <w:sz w:val="32"/>
          <w:szCs w:val="32"/>
        </w:rPr>
      </w:pPr>
      <w:r>
        <w:rPr>
          <w:rFonts w:ascii="仿宋_GB2312" w:eastAsia="仿宋_GB2312"/>
          <w:sz w:val="32"/>
          <w:szCs w:val="32"/>
        </w:rPr>
        <w:t>13.</w:t>
      </w:r>
      <w:r>
        <w:rPr>
          <w:rFonts w:hint="eastAsia" w:ascii="仿宋_GB2312" w:eastAsia="仿宋_GB2312"/>
          <w:sz w:val="32"/>
          <w:szCs w:val="32"/>
        </w:rPr>
        <w:t>社会保障和就业（类）抚恤（款）</w:t>
      </w:r>
      <w:r>
        <w:rPr>
          <w:rFonts w:hint="eastAsia" w:ascii="仿宋_GB2312" w:eastAsia="仿宋_GB2312"/>
          <w:sz w:val="32"/>
          <w:szCs w:val="32"/>
          <w:lang w:eastAsia="zh-CN"/>
        </w:rPr>
        <w:t>死亡抚恤</w:t>
      </w:r>
      <w:r>
        <w:rPr>
          <w:rFonts w:hint="eastAsia" w:ascii="仿宋_GB2312" w:eastAsia="仿宋_GB2312"/>
          <w:sz w:val="32"/>
          <w:szCs w:val="32"/>
        </w:rPr>
        <w:t>（项）：指</w:t>
      </w:r>
      <w:r>
        <w:rPr>
          <w:rFonts w:hint="eastAsia" w:ascii="仿宋_GB2312" w:eastAsia="仿宋_GB2312"/>
          <w:sz w:val="32"/>
          <w:szCs w:val="32"/>
          <w:lang w:eastAsia="zh-CN"/>
        </w:rPr>
        <w:t>按规定用于烈士和牺牲、病故人员家属的一次性和定期抚恤金、丧葬补助费及烈士褒扬金</w:t>
      </w:r>
      <w:r>
        <w:rPr>
          <w:rFonts w:hint="eastAsia" w:ascii="仿宋_GB2312" w:eastAsia="仿宋_GB2312"/>
          <w:sz w:val="32"/>
          <w:szCs w:val="32"/>
        </w:rPr>
        <w:t>。</w:t>
      </w:r>
    </w:p>
    <w:p>
      <w:pPr>
        <w:keepNext w:val="0"/>
        <w:keepLines w:val="0"/>
        <w:pageBreakBefore w:val="0"/>
        <w:kinsoku/>
        <w:wordWrap/>
        <w:overflowPunct/>
        <w:topLinePunct w:val="0"/>
        <w:bidi w:val="0"/>
        <w:spacing w:line="600" w:lineRule="exact"/>
        <w:ind w:firstLine="640" w:firstLineChars="200"/>
        <w:textAlignment w:val="auto"/>
        <w:rPr>
          <w:rFonts w:ascii="仿宋_GB2312" w:eastAsia="仿宋_GB2312"/>
          <w:sz w:val="32"/>
          <w:szCs w:val="32"/>
        </w:rPr>
      </w:pPr>
      <w:r>
        <w:rPr>
          <w:rFonts w:ascii="仿宋_GB2312" w:eastAsia="仿宋_GB2312"/>
          <w:sz w:val="32"/>
          <w:szCs w:val="32"/>
        </w:rPr>
        <w:t>14.</w:t>
      </w:r>
      <w:r>
        <w:rPr>
          <w:rFonts w:hint="eastAsia" w:ascii="仿宋_GB2312" w:eastAsia="仿宋_GB2312"/>
          <w:sz w:val="32"/>
          <w:szCs w:val="32"/>
        </w:rPr>
        <w:t>社会保障和就业（类）残疾人事业（款）</w:t>
      </w:r>
      <w:r>
        <w:rPr>
          <w:rFonts w:hint="eastAsia" w:ascii="仿宋_GB2312" w:eastAsia="仿宋_GB2312"/>
          <w:sz w:val="32"/>
          <w:szCs w:val="32"/>
          <w:lang w:eastAsia="zh-CN"/>
        </w:rPr>
        <w:t>其他残疾人事业支出</w:t>
      </w:r>
      <w:r>
        <w:rPr>
          <w:rFonts w:hint="eastAsia" w:ascii="仿宋_GB2312" w:eastAsia="仿宋_GB2312"/>
          <w:sz w:val="32"/>
          <w:szCs w:val="32"/>
        </w:rPr>
        <w:t>（项）：指</w:t>
      </w:r>
      <w:r>
        <w:rPr>
          <w:rFonts w:hint="eastAsia" w:ascii="仿宋_GB2312" w:eastAsia="仿宋_GB2312"/>
          <w:sz w:val="32"/>
          <w:szCs w:val="32"/>
          <w:lang w:eastAsia="zh-CN"/>
        </w:rPr>
        <w:t>用于残疾人事业方面的支出</w:t>
      </w:r>
      <w:r>
        <w:rPr>
          <w:rFonts w:hint="eastAsia" w:ascii="仿宋_GB2312" w:eastAsia="仿宋_GB2312"/>
          <w:sz w:val="32"/>
          <w:szCs w:val="32"/>
        </w:rPr>
        <w:t>。</w:t>
      </w:r>
    </w:p>
    <w:p>
      <w:pPr>
        <w:keepNext w:val="0"/>
        <w:keepLines w:val="0"/>
        <w:pageBreakBefore w:val="0"/>
        <w:kinsoku/>
        <w:wordWrap/>
        <w:overflowPunct/>
        <w:topLinePunct w:val="0"/>
        <w:bidi w:val="0"/>
        <w:spacing w:line="600" w:lineRule="exact"/>
        <w:ind w:firstLine="640" w:firstLineChars="200"/>
        <w:textAlignment w:val="auto"/>
        <w:rPr>
          <w:rFonts w:ascii="仿宋_GB2312" w:eastAsia="仿宋_GB2312"/>
          <w:sz w:val="32"/>
          <w:szCs w:val="32"/>
        </w:rPr>
      </w:pPr>
      <w:r>
        <w:rPr>
          <w:rFonts w:ascii="仿宋_GB2312" w:eastAsia="仿宋_GB2312"/>
          <w:sz w:val="32"/>
          <w:szCs w:val="32"/>
        </w:rPr>
        <w:t>15.</w:t>
      </w:r>
      <w:r>
        <w:rPr>
          <w:rFonts w:hint="eastAsia" w:ascii="仿宋_GB2312" w:eastAsia="仿宋_GB2312"/>
          <w:sz w:val="32"/>
          <w:szCs w:val="32"/>
        </w:rPr>
        <w:t>卫生健康（类）行政事业单位医疗（款）行政单位医疗（项）：指</w:t>
      </w:r>
      <w:r>
        <w:rPr>
          <w:rFonts w:hint="eastAsia" w:ascii="仿宋_GB2312" w:eastAsia="仿宋_GB2312"/>
          <w:sz w:val="32"/>
          <w:szCs w:val="32"/>
          <w:lang w:eastAsia="zh-CN"/>
        </w:rPr>
        <w:t>财政部门安排的行政单位（包括实行公务员管理的事业单位）基本医疗保险经费，未参加医疗保险的行政单位公费医疗经费，按国家规定享受离休人员、红军老战士待遇人员的医疗经费</w:t>
      </w:r>
      <w:r>
        <w:rPr>
          <w:rFonts w:hint="eastAsia" w:ascii="仿宋_GB2312" w:eastAsia="仿宋_GB2312"/>
          <w:sz w:val="32"/>
          <w:szCs w:val="32"/>
        </w:rPr>
        <w:t>。</w:t>
      </w:r>
    </w:p>
    <w:p>
      <w:pPr>
        <w:keepNext w:val="0"/>
        <w:keepLines w:val="0"/>
        <w:pageBreakBefore w:val="0"/>
        <w:kinsoku/>
        <w:wordWrap/>
        <w:overflowPunct/>
        <w:topLinePunct w:val="0"/>
        <w:bidi w:val="0"/>
        <w:spacing w:line="600" w:lineRule="exact"/>
        <w:ind w:firstLine="640" w:firstLineChars="200"/>
        <w:textAlignment w:val="auto"/>
        <w:rPr>
          <w:rFonts w:ascii="仿宋_GB2312" w:eastAsia="仿宋_GB2312"/>
          <w:sz w:val="32"/>
          <w:szCs w:val="32"/>
        </w:rPr>
      </w:pPr>
      <w:r>
        <w:rPr>
          <w:rFonts w:ascii="仿宋_GB2312" w:eastAsia="仿宋_GB2312"/>
          <w:sz w:val="32"/>
          <w:szCs w:val="32"/>
        </w:rPr>
        <w:t>16.</w:t>
      </w:r>
      <w:r>
        <w:rPr>
          <w:rFonts w:hint="eastAsia" w:ascii="仿宋_GB2312" w:eastAsia="仿宋_GB2312"/>
          <w:sz w:val="32"/>
          <w:szCs w:val="32"/>
        </w:rPr>
        <w:t>卫生健康（类）行政事业单位医疗（款）公务员医疗补助（项）：指</w:t>
      </w:r>
      <w:r>
        <w:rPr>
          <w:rFonts w:hint="eastAsia" w:ascii="仿宋_GB2312" w:eastAsia="仿宋_GB2312"/>
          <w:sz w:val="32"/>
          <w:szCs w:val="32"/>
          <w:lang w:eastAsia="zh-CN"/>
        </w:rPr>
        <w:t>财政部门安排的公务员医疗补助经费</w:t>
      </w:r>
      <w:r>
        <w:rPr>
          <w:rFonts w:hint="eastAsia" w:ascii="仿宋_GB2312" w:eastAsia="仿宋_GB2312"/>
          <w:sz w:val="32"/>
          <w:szCs w:val="32"/>
        </w:rPr>
        <w:t>。</w:t>
      </w:r>
    </w:p>
    <w:p>
      <w:pPr>
        <w:keepNext w:val="0"/>
        <w:keepLines w:val="0"/>
        <w:pageBreakBefore w:val="0"/>
        <w:kinsoku/>
        <w:wordWrap/>
        <w:overflowPunct/>
        <w:topLinePunct w:val="0"/>
        <w:bidi w:val="0"/>
        <w:spacing w:line="600" w:lineRule="exact"/>
        <w:ind w:firstLine="640" w:firstLineChars="200"/>
        <w:textAlignment w:val="auto"/>
        <w:rPr>
          <w:rFonts w:ascii="仿宋_GB2312" w:eastAsia="仿宋_GB2312"/>
          <w:sz w:val="32"/>
          <w:szCs w:val="32"/>
        </w:rPr>
      </w:pPr>
      <w:r>
        <w:rPr>
          <w:rFonts w:ascii="仿宋_GB2312" w:eastAsia="仿宋_GB2312"/>
          <w:sz w:val="32"/>
          <w:szCs w:val="32"/>
        </w:rPr>
        <w:t>17.</w:t>
      </w:r>
      <w:r>
        <w:rPr>
          <w:rFonts w:hint="eastAsia" w:ascii="仿宋_GB2312" w:eastAsia="仿宋_GB2312"/>
          <w:sz w:val="32"/>
          <w:szCs w:val="32"/>
        </w:rPr>
        <w:t>住房保障（类）住房改革支出（款）住房公积金（项）：指</w:t>
      </w:r>
      <w:r>
        <w:rPr>
          <w:rFonts w:hint="eastAsia" w:ascii="仿宋_GB2312" w:eastAsia="仿宋_GB2312"/>
          <w:sz w:val="32"/>
          <w:szCs w:val="32"/>
          <w:lang w:eastAsia="zh-CN"/>
        </w:rPr>
        <w:t>行政事业单位按人力资源和社会保障部、财政部规定的基本工资和津补贴以及规定比例为职工缴纳的住房公积金</w:t>
      </w:r>
      <w:r>
        <w:rPr>
          <w:rFonts w:hint="eastAsia" w:ascii="仿宋_GB2312" w:eastAsia="仿宋_GB2312"/>
          <w:sz w:val="32"/>
          <w:szCs w:val="32"/>
        </w:rPr>
        <w:t>。</w:t>
      </w:r>
    </w:p>
    <w:p>
      <w:pPr>
        <w:keepNext w:val="0"/>
        <w:keepLines w:val="0"/>
        <w:pageBreakBefore w:val="0"/>
        <w:kinsoku/>
        <w:wordWrap/>
        <w:overflowPunct/>
        <w:topLinePunct w:val="0"/>
        <w:bidi w:val="0"/>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18</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keepNext w:val="0"/>
        <w:keepLines w:val="0"/>
        <w:pageBreakBefore w:val="0"/>
        <w:kinsoku/>
        <w:wordWrap/>
        <w:overflowPunct/>
        <w:topLinePunct w:val="0"/>
        <w:bidi w:val="0"/>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19</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keepNext w:val="0"/>
        <w:keepLines w:val="0"/>
        <w:pageBreakBefore w:val="0"/>
        <w:kinsoku/>
        <w:wordWrap/>
        <w:overflowPunct/>
        <w:topLinePunct w:val="0"/>
        <w:bidi w:val="0"/>
        <w:spacing w:line="600" w:lineRule="exact"/>
        <w:ind w:firstLine="640" w:firstLineChars="200"/>
        <w:textAlignment w:val="auto"/>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经营支出：指事业单位在专业业务活动及其辅助活动之外开展非独立核算经营活动发生的支出。</w:t>
      </w:r>
    </w:p>
    <w:p>
      <w:pPr>
        <w:pStyle w:val="26"/>
        <w:keepNext w:val="0"/>
        <w:keepLines w:val="0"/>
        <w:pageBreakBefore w:val="0"/>
        <w:kinsoku/>
        <w:wordWrap/>
        <w:overflowPunct/>
        <w:topLinePunct w:val="0"/>
        <w:bidi w:val="0"/>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21</w:t>
      </w:r>
      <w:r>
        <w:rPr>
          <w:rFonts w:ascii="仿宋_GB2312" w:eastAsia="仿宋_GB2312"/>
          <w:color w:val="auto"/>
          <w:sz w:val="32"/>
          <w:szCs w:val="32"/>
        </w:rPr>
        <w:t>.</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6"/>
        <w:keepNext w:val="0"/>
        <w:keepLines w:val="0"/>
        <w:pageBreakBefore w:val="0"/>
        <w:kinsoku/>
        <w:wordWrap/>
        <w:overflowPunct/>
        <w:topLinePunct w:val="0"/>
        <w:bidi w:val="0"/>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22</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6"/>
        <w:keepNext w:val="0"/>
        <w:keepLines w:val="0"/>
        <w:pageBreakBefore w:val="0"/>
        <w:kinsoku/>
        <w:wordWrap/>
        <w:overflowPunct/>
        <w:topLinePunct w:val="0"/>
        <w:bidi w:val="0"/>
        <w:spacing w:line="600" w:lineRule="exact"/>
        <w:ind w:firstLine="640" w:firstLineChars="200"/>
        <w:textAlignment w:val="auto"/>
        <w:rPr>
          <w:rFonts w:ascii="仿宋_GB2312" w:eastAsia="仿宋_GB2312" w:cs="黑体"/>
          <w:color w:val="auto"/>
          <w:sz w:val="32"/>
          <w:szCs w:val="32"/>
        </w:rPr>
      </w:pPr>
    </w:p>
    <w:p>
      <w:pPr>
        <w:keepNext w:val="0"/>
        <w:keepLines w:val="0"/>
        <w:pageBreakBefore w:val="0"/>
        <w:kinsoku/>
        <w:wordWrap/>
        <w:overflowPunct/>
        <w:topLinePunct w:val="0"/>
        <w:bidi w:val="0"/>
        <w:spacing w:line="600" w:lineRule="exact"/>
        <w:jc w:val="center"/>
        <w:textAlignment w:val="auto"/>
        <w:outlineLvl w:val="0"/>
        <w:rPr>
          <w:rStyle w:val="28"/>
          <w:rFonts w:ascii="黑体" w:hAnsi="黑体" w:eastAsia="黑体"/>
          <w:b w:val="0"/>
          <w:color w:val="auto"/>
        </w:rPr>
      </w:pPr>
      <w:bookmarkStart w:id="51" w:name="_Toc15377226"/>
      <w:r>
        <w:rPr>
          <w:rFonts w:ascii="宋体"/>
          <w:b/>
          <w:sz w:val="44"/>
          <w:szCs w:val="44"/>
        </w:rPr>
        <w:br w:type="page"/>
      </w:r>
      <w:bookmarkStart w:id="52" w:name="_Toc15396614"/>
      <w:r>
        <w:rPr>
          <w:rFonts w:hint="eastAsia" w:ascii="黑体" w:hAnsi="黑体" w:eastAsia="黑体"/>
          <w:color w:val="auto"/>
          <w:sz w:val="44"/>
          <w:szCs w:val="44"/>
        </w:rPr>
        <w:t>第</w:t>
      </w:r>
      <w:r>
        <w:rPr>
          <w:rStyle w:val="28"/>
          <w:rFonts w:hint="eastAsia" w:ascii="黑体" w:hAnsi="黑体" w:eastAsia="黑体"/>
          <w:b w:val="0"/>
          <w:color w:val="auto"/>
        </w:rPr>
        <w:t>四部分 附件</w:t>
      </w:r>
      <w:bookmarkEnd w:id="52"/>
    </w:p>
    <w:p>
      <w:pPr>
        <w:keepNext w:val="0"/>
        <w:keepLines w:val="0"/>
        <w:pageBreakBefore w:val="0"/>
        <w:kinsoku/>
        <w:wordWrap/>
        <w:overflowPunct/>
        <w:topLinePunct w:val="0"/>
        <w:bidi w:val="0"/>
        <w:spacing w:line="600" w:lineRule="exact"/>
        <w:jc w:val="left"/>
        <w:textAlignment w:val="auto"/>
        <w:outlineLvl w:val="0"/>
        <w:rPr>
          <w:rFonts w:ascii="方正小标宋简体" w:hAnsi="方正小标宋简体" w:eastAsia="方正小标宋简体" w:cs="方正小标宋简体"/>
          <w:color w:val="auto"/>
          <w:sz w:val="44"/>
          <w:szCs w:val="44"/>
        </w:rPr>
      </w:pPr>
      <w:r>
        <w:rPr>
          <w:rFonts w:hint="eastAsia" w:ascii="黑体" w:hAnsi="黑体" w:eastAsia="黑体" w:cs="黑体"/>
          <w:color w:val="auto"/>
          <w:sz w:val="32"/>
          <w:szCs w:val="32"/>
        </w:rPr>
        <w:t>附件</w:t>
      </w:r>
    </w:p>
    <w:p>
      <w:pPr>
        <w:keepNext w:val="0"/>
        <w:keepLines w:val="0"/>
        <w:pageBreakBefore w:val="0"/>
        <w:widowControl/>
        <w:kinsoku/>
        <w:wordWrap/>
        <w:overflowPunct/>
        <w:topLinePunct w:val="0"/>
        <w:bidi w:val="0"/>
        <w:spacing w:line="600" w:lineRule="exact"/>
        <w:contextualSpacing/>
        <w:jc w:val="center"/>
        <w:textAlignment w:val="auto"/>
        <w:rPr>
          <w:rFonts w:hint="eastAsia" w:ascii="方正小标宋简体" w:hAnsi="方正小标宋简体" w:eastAsia="方正小标宋简体" w:cs="方正小标宋简体"/>
          <w:b w:val="0"/>
          <w:bCs/>
          <w:sz w:val="44"/>
          <w:szCs w:val="44"/>
          <w:shd w:val="clear" w:color="auto" w:fill="FFFFFF"/>
          <w:lang w:val="zh-CN" w:eastAsia="zh-CN"/>
        </w:rPr>
      </w:pPr>
      <w:r>
        <w:rPr>
          <w:rFonts w:hint="eastAsia" w:ascii="方正小标宋简体" w:hAnsi="方正小标宋简体" w:eastAsia="方正小标宋简体" w:cs="方正小标宋简体"/>
          <w:b w:val="0"/>
          <w:bCs/>
          <w:sz w:val="44"/>
          <w:szCs w:val="44"/>
          <w:shd w:val="clear" w:color="auto" w:fill="FFFFFF"/>
        </w:rPr>
        <w:t>202</w:t>
      </w:r>
      <w:r>
        <w:rPr>
          <w:rFonts w:hint="eastAsia" w:ascii="方正小标宋简体" w:hAnsi="方正小标宋简体" w:eastAsia="方正小标宋简体" w:cs="方正小标宋简体"/>
          <w:b w:val="0"/>
          <w:bCs/>
          <w:sz w:val="44"/>
          <w:szCs w:val="44"/>
          <w:shd w:val="clear" w:color="auto" w:fill="FFFFFF"/>
          <w:lang w:val="en-US" w:eastAsia="zh-CN"/>
        </w:rPr>
        <w:t>2</w:t>
      </w:r>
      <w:r>
        <w:rPr>
          <w:rFonts w:hint="eastAsia" w:ascii="方正小标宋简体" w:hAnsi="方正小标宋简体" w:eastAsia="方正小标宋简体" w:cs="方正小标宋简体"/>
          <w:b w:val="0"/>
          <w:bCs/>
          <w:sz w:val="44"/>
          <w:szCs w:val="44"/>
          <w:shd w:val="clear" w:color="auto" w:fill="FFFFFF"/>
        </w:rPr>
        <w:t>年度</w:t>
      </w:r>
      <w:r>
        <w:rPr>
          <w:rFonts w:hint="eastAsia" w:ascii="方正小标宋简体" w:hAnsi="方正小标宋简体" w:eastAsia="方正小标宋简体" w:cs="方正小标宋简体"/>
          <w:b w:val="0"/>
          <w:bCs/>
          <w:sz w:val="44"/>
          <w:szCs w:val="44"/>
          <w:shd w:val="clear" w:color="auto" w:fill="FFFFFF"/>
          <w:lang w:val="zh-CN" w:eastAsia="zh-CN"/>
        </w:rPr>
        <w:t>中共乐山市市中区纪律检查委员会</w:t>
      </w:r>
    </w:p>
    <w:p>
      <w:pPr>
        <w:keepNext w:val="0"/>
        <w:keepLines w:val="0"/>
        <w:pageBreakBefore w:val="0"/>
        <w:widowControl/>
        <w:kinsoku/>
        <w:wordWrap/>
        <w:overflowPunct/>
        <w:topLinePunct w:val="0"/>
        <w:bidi w:val="0"/>
        <w:spacing w:line="600" w:lineRule="exact"/>
        <w:contextualSpacing/>
        <w:jc w:val="center"/>
        <w:textAlignment w:val="auto"/>
        <w:rPr>
          <w:rFonts w:hint="eastAsia" w:ascii="方正小标宋简体" w:hAnsi="方正小标宋简体" w:eastAsia="方正小标宋简体" w:cs="方正小标宋简体"/>
          <w:b w:val="0"/>
          <w:bCs/>
          <w:sz w:val="44"/>
          <w:szCs w:val="44"/>
          <w:shd w:val="clear" w:color="auto" w:fill="FFFFFF"/>
        </w:rPr>
      </w:pPr>
      <w:r>
        <w:rPr>
          <w:rFonts w:hint="eastAsia" w:ascii="方正小标宋简体" w:hAnsi="方正小标宋简体" w:eastAsia="方正小标宋简体" w:cs="方正小标宋简体"/>
          <w:b w:val="0"/>
          <w:bCs/>
          <w:sz w:val="44"/>
          <w:szCs w:val="44"/>
          <w:shd w:val="clear" w:color="auto" w:fill="FFFFFF"/>
        </w:rPr>
        <w:t>整体绩效评价报告</w:t>
      </w:r>
    </w:p>
    <w:p>
      <w:pPr>
        <w:keepNext w:val="0"/>
        <w:keepLines w:val="0"/>
        <w:pageBreakBefore w:val="0"/>
        <w:widowControl/>
        <w:kinsoku/>
        <w:wordWrap/>
        <w:overflowPunct/>
        <w:topLinePunct w:val="0"/>
        <w:bidi w:val="0"/>
        <w:adjustRightInd w:val="0"/>
        <w:snapToGrid w:val="0"/>
        <w:spacing w:line="600" w:lineRule="exact"/>
        <w:ind w:firstLine="480" w:firstLineChars="200"/>
        <w:contextualSpacing/>
        <w:jc w:val="left"/>
        <w:textAlignment w:val="auto"/>
        <w:rPr>
          <w:rFonts w:ascii="黑体" w:hAnsi="宋体" w:eastAsia="黑体" w:cs="宋体"/>
          <w:color w:val="000000"/>
          <w:kern w:val="0"/>
          <w:sz w:val="24"/>
          <w:szCs w:val="32"/>
          <w:shd w:val="clear" w:color="auto" w:fill="FFFFFF"/>
        </w:rPr>
      </w:pP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黑体" w:hAnsi="黑体" w:eastAsia="黑体" w:cs="黑体"/>
          <w:color w:val="auto"/>
          <w:kern w:val="0"/>
          <w:sz w:val="32"/>
          <w:szCs w:val="32"/>
          <w:lang w:val="zh-CN" w:eastAsia="zh-CN" w:bidi="ar-SA"/>
        </w:rPr>
      </w:pPr>
      <w:r>
        <w:rPr>
          <w:rFonts w:hint="eastAsia" w:ascii="黑体" w:hAnsi="黑体" w:eastAsia="黑体" w:cs="黑体"/>
          <w:color w:val="auto"/>
          <w:kern w:val="0"/>
          <w:sz w:val="32"/>
          <w:szCs w:val="32"/>
          <w:lang w:val="en-US" w:eastAsia="zh-CN" w:bidi="ar-SA"/>
        </w:rPr>
        <w:t>一、区纪委</w:t>
      </w:r>
      <w:r>
        <w:rPr>
          <w:rFonts w:hint="eastAsia" w:ascii="黑体" w:hAnsi="黑体" w:eastAsia="黑体" w:cs="黑体"/>
          <w:color w:val="auto"/>
          <w:kern w:val="0"/>
          <w:sz w:val="32"/>
          <w:szCs w:val="32"/>
          <w:lang w:val="zh-CN" w:eastAsia="zh-CN" w:bidi="ar-SA"/>
        </w:rPr>
        <w:t>概况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Calibri" w:eastAsia="仿宋_GB2312" w:cs="仿宋"/>
          <w:color w:val="auto"/>
          <w:kern w:val="0"/>
          <w:sz w:val="32"/>
          <w:szCs w:val="32"/>
          <w:lang w:val="en-US" w:eastAsia="zh-CN" w:bidi="ar-SA"/>
        </w:rPr>
      </w:pPr>
      <w:r>
        <w:rPr>
          <w:rFonts w:hint="eastAsia" w:ascii="楷体_GB2312" w:hAnsi="楷体_GB2312" w:eastAsia="楷体_GB2312" w:cs="楷体_GB2312"/>
          <w:color w:val="auto"/>
          <w:kern w:val="0"/>
          <w:sz w:val="32"/>
          <w:szCs w:val="32"/>
          <w:lang w:val="zh-CN" w:eastAsia="zh-CN" w:bidi="ar-SA"/>
        </w:rPr>
        <w:t>（一）机构组成。</w:t>
      </w:r>
      <w:r>
        <w:rPr>
          <w:rFonts w:hint="eastAsia" w:ascii="仿宋_GB2312" w:hAnsi="Calibri" w:eastAsia="仿宋_GB2312" w:cs="仿宋"/>
          <w:color w:val="auto"/>
          <w:kern w:val="0"/>
          <w:sz w:val="32"/>
          <w:szCs w:val="32"/>
          <w:lang w:val="en-US" w:eastAsia="zh-CN" w:bidi="ar-SA"/>
        </w:rPr>
        <w:t>中共乐山市市中区委纪律检查委员会核定人员编制87个，其中行政编制80个，行政工勤7个，无下属二级单位。设办公室、组织部、宣传部、党风政风监督室、信访室、案件监督管理室、第一至第六纪检监察室、案件审理室13个内设机构。派出农村片区纪工委（农村监察室）4个，派驻纪检监察组9个。区委巡察工作领导小组办公室列区委工作机关序列，设在区纪委。</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仿宋_GB2312" w:hAnsi="Calibri" w:eastAsia="仿宋_GB2312" w:cs="仿宋"/>
          <w:color w:val="auto"/>
          <w:kern w:val="0"/>
          <w:sz w:val="32"/>
          <w:szCs w:val="32"/>
          <w:lang w:val="zh-CN" w:eastAsia="zh-CN" w:bidi="ar-SA"/>
        </w:rPr>
      </w:pPr>
      <w:r>
        <w:rPr>
          <w:rFonts w:hint="eastAsia" w:ascii="楷体_GB2312" w:hAnsi="楷体_GB2312" w:eastAsia="楷体_GB2312" w:cs="楷体_GB2312"/>
          <w:color w:val="auto"/>
          <w:kern w:val="0"/>
          <w:sz w:val="32"/>
          <w:szCs w:val="32"/>
          <w:lang w:val="zh-CN" w:eastAsia="zh-CN" w:bidi="ar-SA"/>
        </w:rPr>
        <w:t>（二）机构职能。</w:t>
      </w:r>
      <w:r>
        <w:rPr>
          <w:rFonts w:hint="eastAsia" w:ascii="仿宋_GB2312" w:hAnsi="Calibri" w:eastAsia="仿宋_GB2312" w:cs="仿宋"/>
          <w:color w:val="auto"/>
          <w:kern w:val="0"/>
          <w:sz w:val="32"/>
          <w:szCs w:val="32"/>
          <w:lang w:val="en-US" w:eastAsia="zh-CN" w:bidi="ar-SA"/>
        </w:rPr>
        <w:t>中共乐山市市中区纪律检查委员会在中共乐山市市中区委和中共乐山市纪委领导下，按照《党章》的规定开展工作,对区委、市纪委全面负责。承担区党风廉政建设责任制领导小组办公室、区委惩防体系建设领导小组办公室和区委反腐败协调小组办公室的日常工作。乐山市市中区监察委员会是党统一领导下的国家反腐败工作机构。实施组织和制度创新、整合反腐败资源力量，扩大监察范围，丰富监察手段，实现对行使公权力的公职人员监察全面覆盖。同时，区委巡察办设在区纪委。</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default" w:ascii="仿宋_GB2312" w:hAnsi="Calibri" w:eastAsia="仿宋_GB2312" w:cs="仿宋"/>
          <w:color w:val="auto"/>
          <w:kern w:val="0"/>
          <w:sz w:val="32"/>
          <w:szCs w:val="32"/>
          <w:lang w:val="en-US" w:eastAsia="zh-CN" w:bidi="ar-SA"/>
        </w:rPr>
      </w:pPr>
      <w:r>
        <w:rPr>
          <w:rFonts w:hint="eastAsia" w:ascii="楷体_GB2312" w:hAnsi="楷体_GB2312" w:eastAsia="楷体_GB2312" w:cs="楷体_GB2312"/>
          <w:color w:val="auto"/>
          <w:kern w:val="0"/>
          <w:sz w:val="32"/>
          <w:szCs w:val="32"/>
          <w:lang w:val="zh-CN" w:eastAsia="zh-CN" w:bidi="ar-SA"/>
        </w:rPr>
        <w:t>（三）人员概况。</w:t>
      </w:r>
      <w:r>
        <w:rPr>
          <w:rFonts w:hint="eastAsia" w:ascii="仿宋_GB2312" w:hAnsi="Calibri" w:eastAsia="仿宋_GB2312" w:cs="仿宋"/>
          <w:color w:val="auto"/>
          <w:kern w:val="0"/>
          <w:sz w:val="32"/>
          <w:szCs w:val="32"/>
          <w:lang w:val="zh-CN" w:eastAsia="zh-CN" w:bidi="ar-SA"/>
        </w:rPr>
        <w:t>区委编办核定区纪委编制数</w:t>
      </w:r>
      <w:r>
        <w:rPr>
          <w:rFonts w:hint="eastAsia" w:ascii="仿宋_GB2312" w:hAnsi="Calibri" w:eastAsia="仿宋_GB2312" w:cs="仿宋"/>
          <w:color w:val="auto"/>
          <w:kern w:val="0"/>
          <w:sz w:val="32"/>
          <w:szCs w:val="32"/>
          <w:lang w:val="en-US" w:eastAsia="zh-CN" w:bidi="ar-SA"/>
        </w:rPr>
        <w:t>93人，其中包含区纪委行政编制80个，行政工勤编制7个，区委巡察办编制6个。</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黑体" w:hAnsi="黑体" w:eastAsia="黑体" w:cs="黑体"/>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二、部门财政资金收支情况</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仿宋_GB2312" w:hAnsi="Calibri" w:eastAsia="仿宋_GB2312" w:cs="仿宋"/>
          <w:color w:val="auto"/>
          <w:kern w:val="0"/>
          <w:sz w:val="32"/>
          <w:szCs w:val="32"/>
          <w:lang w:val="zh-CN" w:eastAsia="zh-CN" w:bidi="ar-SA"/>
        </w:rPr>
      </w:pPr>
      <w:r>
        <w:rPr>
          <w:rFonts w:hint="eastAsia" w:ascii="楷体_GB2312" w:hAnsi="楷体_GB2312" w:eastAsia="楷体_GB2312" w:cs="楷体_GB2312"/>
          <w:color w:val="auto"/>
          <w:kern w:val="0"/>
          <w:sz w:val="32"/>
          <w:szCs w:val="32"/>
          <w:lang w:val="zh-CN" w:eastAsia="zh-CN" w:bidi="ar-SA"/>
        </w:rPr>
        <w:t>（一）部门财政资金收入情况。</w:t>
      </w:r>
      <w:r>
        <w:rPr>
          <w:rFonts w:hint="eastAsia" w:ascii="仿宋_GB2312" w:hAnsi="Calibri" w:eastAsia="仿宋_GB2312" w:cs="仿宋"/>
          <w:color w:val="auto"/>
          <w:kern w:val="0"/>
          <w:sz w:val="32"/>
          <w:szCs w:val="32"/>
          <w:lang w:val="en-US" w:eastAsia="zh-CN" w:bidi="ar-SA"/>
        </w:rPr>
        <w:t>2022年市中区纪律检查委员会预算收入合计1627.84万元，年初结转和结余7万元。其中：一般公共预算财政拨款收入1627.84万元。</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仿宋_GB2312" w:hAnsi="Calibri" w:eastAsia="仿宋_GB2312" w:cs="仿宋"/>
          <w:color w:val="auto"/>
          <w:kern w:val="0"/>
          <w:sz w:val="32"/>
          <w:szCs w:val="32"/>
          <w:lang w:val="zh-CN" w:eastAsia="zh-CN" w:bidi="ar-SA"/>
        </w:rPr>
      </w:pPr>
      <w:r>
        <w:rPr>
          <w:rFonts w:hint="eastAsia" w:ascii="楷体_GB2312" w:hAnsi="楷体_GB2312" w:eastAsia="楷体_GB2312" w:cs="楷体_GB2312"/>
          <w:color w:val="auto"/>
          <w:kern w:val="0"/>
          <w:sz w:val="32"/>
          <w:szCs w:val="32"/>
          <w:lang w:val="zh-CN" w:eastAsia="zh-CN" w:bidi="ar-SA"/>
        </w:rPr>
        <w:t>（二）部门财政资金支出情况。</w:t>
      </w:r>
      <w:r>
        <w:rPr>
          <w:rFonts w:hint="eastAsia" w:ascii="仿宋_GB2312" w:hAnsi="Calibri" w:eastAsia="仿宋_GB2312" w:cs="仿宋"/>
          <w:color w:val="auto"/>
          <w:kern w:val="0"/>
          <w:sz w:val="32"/>
          <w:szCs w:val="32"/>
          <w:lang w:val="en-US" w:eastAsia="zh-CN" w:bidi="ar-SA"/>
        </w:rPr>
        <w:t>2022年一般公共预算财政拨款支出1697.84万元，主要用于以下方面:一般公共服务支出1384.20万元；社会保障和就业支出161.15万元；卫生健康支出45.68万元；住房保障支出106.81万元。</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黑体" w:hAnsi="黑体" w:eastAsia="黑体" w:cs="黑体"/>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三、部门整体绩效管理情况</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楷体_GB2312" w:hAnsi="楷体_GB2312" w:eastAsia="楷体_GB2312" w:cs="楷体_GB2312"/>
          <w:color w:val="auto"/>
          <w:kern w:val="0"/>
          <w:sz w:val="32"/>
          <w:szCs w:val="32"/>
          <w:lang w:val="zh-CN" w:eastAsia="zh-CN" w:bidi="ar-SA"/>
        </w:rPr>
      </w:pPr>
      <w:r>
        <w:rPr>
          <w:rFonts w:hint="eastAsia" w:ascii="楷体_GB2312" w:hAnsi="楷体_GB2312" w:eastAsia="楷体_GB2312" w:cs="楷体_GB2312"/>
          <w:color w:val="auto"/>
          <w:kern w:val="0"/>
          <w:sz w:val="32"/>
          <w:szCs w:val="32"/>
          <w:lang w:val="zh-CN" w:eastAsia="zh-CN" w:bidi="ar-SA"/>
        </w:rPr>
        <w:t>（一）部门整体履职绩效分析</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区纪委预算编制严格按照省级部门预算编制通知和有关要求进行编制，且编制项目准确。同时，区纪委严格按照预算执行支出管理，严格执行节能降耗，严格执行“三公”经费预算，不超预算支出。部门整体履职绩效分析详见《区级部门整体绩效自评体系评分表》。</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楷体_GB2312" w:hAnsi="楷体_GB2312" w:eastAsia="楷体_GB2312" w:cs="楷体_GB2312"/>
          <w:color w:val="auto"/>
          <w:kern w:val="0"/>
          <w:sz w:val="32"/>
          <w:szCs w:val="32"/>
          <w:lang w:val="zh-CN" w:eastAsia="zh-CN" w:bidi="ar-SA"/>
        </w:rPr>
      </w:pPr>
      <w:r>
        <w:rPr>
          <w:rFonts w:hint="eastAsia" w:ascii="楷体_GB2312" w:hAnsi="楷体_GB2312" w:eastAsia="楷体_GB2312" w:cs="楷体_GB2312"/>
          <w:color w:val="auto"/>
          <w:kern w:val="0"/>
          <w:sz w:val="32"/>
          <w:szCs w:val="32"/>
          <w:lang w:val="zh-CN" w:eastAsia="zh-CN" w:bidi="ar-SA"/>
        </w:rPr>
        <w:t>（二）特定目标类项目绩效分析</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zh-CN" w:eastAsia="zh-CN" w:bidi="ar-SA"/>
        </w:rPr>
        <w:t>项目</w:t>
      </w:r>
      <w:r>
        <w:rPr>
          <w:rFonts w:hint="eastAsia" w:ascii="仿宋_GB2312" w:hAnsi="Calibri" w:eastAsia="仿宋_GB2312" w:cs="仿宋"/>
          <w:color w:val="auto"/>
          <w:kern w:val="0"/>
          <w:sz w:val="32"/>
          <w:szCs w:val="32"/>
          <w:lang w:val="en-US" w:eastAsia="zh-CN" w:bidi="ar-SA"/>
        </w:rPr>
        <w:t>1：2022年单位项目运转经费（130.44万元）。根据机关工作需要，2022年单位项目运转经费主要用于办公费、差旅费、劳务费、其他商品和服务支出等，确保机关正常运转。</w:t>
      </w:r>
      <w:r>
        <w:rPr>
          <w:rFonts w:hint="eastAsia" w:ascii="仿宋_GB2312" w:hAnsi="Calibri" w:eastAsia="仿宋_GB2312" w:cs="仿宋"/>
          <w:color w:val="auto"/>
          <w:kern w:val="0"/>
          <w:sz w:val="32"/>
          <w:szCs w:val="32"/>
          <w:lang w:val="zh-CN" w:eastAsia="zh-CN" w:bidi="ar-SA"/>
        </w:rPr>
        <w:t>项目绩效分析</w:t>
      </w:r>
      <w:r>
        <w:rPr>
          <w:rFonts w:hint="eastAsia" w:ascii="仿宋_GB2312" w:hAnsi="Calibri" w:eastAsia="仿宋_GB2312" w:cs="仿宋"/>
          <w:color w:val="auto"/>
          <w:kern w:val="0"/>
          <w:sz w:val="32"/>
          <w:szCs w:val="32"/>
          <w:lang w:val="en-US" w:eastAsia="zh-CN" w:bidi="ar-SA"/>
        </w:rPr>
        <w:t>详见《区级项目支出绩效自评表》。</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项目2:2022年专案工作经费（180.00万元）。根据办案需要，2022年专案工作经费主要用于办案期间的各项支出。</w:t>
      </w:r>
      <w:r>
        <w:rPr>
          <w:rFonts w:hint="eastAsia" w:ascii="仿宋_GB2312" w:hAnsi="Calibri" w:eastAsia="仿宋_GB2312" w:cs="仿宋"/>
          <w:color w:val="auto"/>
          <w:kern w:val="0"/>
          <w:sz w:val="32"/>
          <w:szCs w:val="32"/>
          <w:lang w:val="zh-CN" w:eastAsia="zh-CN" w:bidi="ar-SA"/>
        </w:rPr>
        <w:t>项目绩效分析</w:t>
      </w:r>
      <w:r>
        <w:rPr>
          <w:rFonts w:hint="eastAsia" w:ascii="仿宋_GB2312" w:hAnsi="Calibri" w:eastAsia="仿宋_GB2312" w:cs="仿宋"/>
          <w:color w:val="auto"/>
          <w:kern w:val="0"/>
          <w:sz w:val="32"/>
          <w:szCs w:val="32"/>
          <w:lang w:val="en-US" w:eastAsia="zh-CN" w:bidi="ar-SA"/>
        </w:rPr>
        <w:t>详见《区级项目支出绩效自评表》。</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default"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项目3:2022年度人员经费（12.30万元）。2022年度人员劳务费用。</w:t>
      </w:r>
      <w:r>
        <w:rPr>
          <w:rFonts w:hint="eastAsia" w:ascii="仿宋_GB2312" w:hAnsi="Calibri" w:eastAsia="仿宋_GB2312" w:cs="仿宋"/>
          <w:color w:val="auto"/>
          <w:kern w:val="0"/>
          <w:sz w:val="32"/>
          <w:szCs w:val="32"/>
          <w:lang w:val="zh-CN" w:eastAsia="zh-CN" w:bidi="ar-SA"/>
        </w:rPr>
        <w:t>项目绩效分析</w:t>
      </w:r>
      <w:r>
        <w:rPr>
          <w:rFonts w:hint="eastAsia" w:ascii="仿宋_GB2312" w:hAnsi="Calibri" w:eastAsia="仿宋_GB2312" w:cs="仿宋"/>
          <w:color w:val="auto"/>
          <w:kern w:val="0"/>
          <w:sz w:val="32"/>
          <w:szCs w:val="32"/>
          <w:lang w:val="en-US" w:eastAsia="zh-CN" w:bidi="ar-SA"/>
        </w:rPr>
        <w:t>详见《区级项目支出绩效自评表》。</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default"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项目4:2021年度中央政法纪检监察转移支付资金（20.00万元）。用于视频会商系统</w:t>
      </w:r>
      <w:r>
        <w:rPr>
          <w:rFonts w:hint="eastAsia" w:ascii="仿宋_GB2312" w:eastAsia="仿宋_GB2312" w:cs="仿宋"/>
          <w:color w:val="auto"/>
          <w:kern w:val="0"/>
          <w:sz w:val="32"/>
          <w:szCs w:val="32"/>
          <w:lang w:val="en-US" w:eastAsia="zh-CN" w:bidi="ar-SA"/>
        </w:rPr>
        <w:t>等</w:t>
      </w:r>
      <w:r>
        <w:rPr>
          <w:rFonts w:hint="eastAsia" w:ascii="仿宋_GB2312" w:hAnsi="Calibri" w:eastAsia="仿宋_GB2312" w:cs="仿宋"/>
          <w:color w:val="auto"/>
          <w:kern w:val="0"/>
          <w:sz w:val="32"/>
          <w:szCs w:val="32"/>
          <w:lang w:val="en-US" w:eastAsia="zh-CN" w:bidi="ar-SA"/>
        </w:rPr>
        <w:t>设备采购。</w:t>
      </w:r>
      <w:r>
        <w:rPr>
          <w:rFonts w:hint="eastAsia" w:ascii="仿宋_GB2312" w:hAnsi="Calibri" w:eastAsia="仿宋_GB2312" w:cs="仿宋"/>
          <w:color w:val="auto"/>
          <w:kern w:val="0"/>
          <w:sz w:val="32"/>
          <w:szCs w:val="32"/>
          <w:lang w:val="zh-CN" w:eastAsia="zh-CN" w:bidi="ar-SA"/>
        </w:rPr>
        <w:t>项目绩效分析</w:t>
      </w:r>
      <w:r>
        <w:rPr>
          <w:rFonts w:hint="eastAsia" w:ascii="仿宋_GB2312" w:hAnsi="Calibri" w:eastAsia="仿宋_GB2312" w:cs="仿宋"/>
          <w:color w:val="auto"/>
          <w:kern w:val="0"/>
          <w:sz w:val="32"/>
          <w:szCs w:val="32"/>
          <w:lang w:val="en-US" w:eastAsia="zh-CN" w:bidi="ar-SA"/>
        </w:rPr>
        <w:t>详见《区级项目支出绩效自评表》。</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黑体" w:hAnsi="黑体" w:eastAsia="黑体" w:cs="黑体"/>
          <w:color w:val="auto"/>
          <w:kern w:val="0"/>
          <w:sz w:val="32"/>
          <w:szCs w:val="32"/>
          <w:lang w:val="zh-CN" w:eastAsia="zh-CN" w:bidi="ar-SA"/>
        </w:rPr>
      </w:pPr>
      <w:r>
        <w:rPr>
          <w:rFonts w:hint="eastAsia" w:ascii="黑体" w:hAnsi="黑体" w:eastAsia="黑体" w:cs="黑体"/>
          <w:color w:val="auto"/>
          <w:kern w:val="0"/>
          <w:sz w:val="32"/>
          <w:szCs w:val="32"/>
          <w:lang w:val="zh-CN" w:eastAsia="zh-CN" w:bidi="ar-SA"/>
        </w:rPr>
        <w:t>（三）结果应用情况</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一是所有国有资产纳入了系统管理，资产变动情况及时录入系统，落实专人负责管理系统；二是建立了完整的内部控制制度，并按制度执行；三是依照规定及时将非税收入存入国库；四是按照要求及时对预算和决算进行公开；五是按照要求向财政部门报告自评报告等相关绩效信息；六是及时报送自查自纠报告，接受财政监督，并对财政提出问题及时整改。</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黑体" w:hAnsi="黑体" w:eastAsia="黑体" w:cs="黑体"/>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四、评价结论及建议</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仿宋_GB2312" w:hAnsi="Calibri" w:eastAsia="仿宋_GB2312" w:cs="仿宋"/>
          <w:color w:val="auto"/>
          <w:kern w:val="0"/>
          <w:sz w:val="32"/>
          <w:szCs w:val="32"/>
          <w:lang w:val="zh-CN" w:eastAsia="zh-CN" w:bidi="ar-SA"/>
        </w:rPr>
      </w:pPr>
      <w:r>
        <w:rPr>
          <w:rFonts w:hint="eastAsia" w:ascii="楷体_GB2312" w:hAnsi="楷体_GB2312" w:eastAsia="楷体_GB2312" w:cs="楷体_GB2312"/>
          <w:color w:val="auto"/>
          <w:kern w:val="0"/>
          <w:sz w:val="32"/>
          <w:szCs w:val="32"/>
          <w:lang w:val="zh-CN" w:eastAsia="zh-CN" w:bidi="ar-SA"/>
        </w:rPr>
        <w:t>（一）评价结论。</w:t>
      </w:r>
      <w:r>
        <w:rPr>
          <w:rFonts w:hint="eastAsia" w:ascii="仿宋_GB2312" w:hAnsi="Calibri" w:eastAsia="仿宋_GB2312" w:cs="仿宋"/>
          <w:color w:val="auto"/>
          <w:kern w:val="0"/>
          <w:sz w:val="32"/>
          <w:szCs w:val="32"/>
          <w:lang w:val="en-US" w:eastAsia="zh-CN" w:bidi="ar-SA"/>
        </w:rPr>
        <w:t>本年预算安排控制较好，财政供养人员控制率100%，控制在预算编制以内。预算执行方面，支出总额控制在预算总额以内，不存在截留或滞留专项资金情况。经自查，2022年整体支出绩效评价指标各项得分均为满分。</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仿宋_GB2312" w:hAnsi="Calibri" w:eastAsia="仿宋_GB2312" w:cs="仿宋"/>
          <w:color w:val="auto"/>
          <w:kern w:val="0"/>
          <w:sz w:val="32"/>
          <w:szCs w:val="32"/>
          <w:lang w:val="zh-CN" w:eastAsia="zh-CN" w:bidi="ar-SA"/>
        </w:rPr>
      </w:pPr>
      <w:r>
        <w:rPr>
          <w:rFonts w:hint="eastAsia" w:ascii="楷体_GB2312" w:hAnsi="楷体_GB2312" w:eastAsia="楷体_GB2312" w:cs="楷体_GB2312"/>
          <w:color w:val="auto"/>
          <w:kern w:val="0"/>
          <w:sz w:val="32"/>
          <w:szCs w:val="32"/>
          <w:lang w:val="zh-CN" w:eastAsia="zh-CN" w:bidi="ar-SA"/>
        </w:rPr>
        <w:t>（二）存在问题</w:t>
      </w:r>
      <w:r>
        <w:rPr>
          <w:rFonts w:hint="eastAsia" w:ascii="仿宋_GB2312" w:hAnsi="Calibri" w:eastAsia="仿宋_GB2312" w:cs="仿宋"/>
          <w:color w:val="auto"/>
          <w:kern w:val="0"/>
          <w:sz w:val="32"/>
          <w:szCs w:val="32"/>
          <w:lang w:val="zh-CN" w:eastAsia="zh-CN" w:bidi="ar-SA"/>
        </w:rPr>
        <w:t>。</w:t>
      </w:r>
      <w:r>
        <w:rPr>
          <w:rFonts w:hint="eastAsia" w:ascii="仿宋_GB2312" w:hAnsi="Calibri" w:eastAsia="仿宋_GB2312" w:cs="仿宋"/>
          <w:color w:val="auto"/>
          <w:kern w:val="0"/>
          <w:sz w:val="32"/>
          <w:szCs w:val="32"/>
          <w:lang w:val="en-US" w:eastAsia="zh-CN" w:bidi="ar-SA"/>
        </w:rPr>
        <w:t>2022年，单位人员变动较大，未能做到财务人员专职，目前财务人员暂时为兼职，财务水平还需提升。</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仿宋_GB2312" w:hAnsi="Calibri" w:eastAsia="仿宋_GB2312" w:cs="仿宋"/>
          <w:color w:val="auto"/>
          <w:kern w:val="0"/>
          <w:sz w:val="32"/>
          <w:szCs w:val="32"/>
          <w:lang w:val="en-US" w:eastAsia="zh-CN" w:bidi="ar-SA"/>
        </w:rPr>
      </w:pPr>
      <w:r>
        <w:rPr>
          <w:rFonts w:hint="eastAsia" w:ascii="楷体_GB2312" w:hAnsi="楷体_GB2312" w:eastAsia="楷体_GB2312" w:cs="楷体_GB2312"/>
          <w:color w:val="auto"/>
          <w:kern w:val="0"/>
          <w:sz w:val="32"/>
          <w:szCs w:val="32"/>
          <w:lang w:val="zh-CN" w:eastAsia="zh-CN" w:bidi="ar-SA"/>
        </w:rPr>
        <w:t>（三）改进建议。</w:t>
      </w:r>
      <w:r>
        <w:rPr>
          <w:rFonts w:hint="eastAsia" w:ascii="仿宋_GB2312" w:hAnsi="Calibri" w:eastAsia="仿宋_GB2312" w:cs="仿宋"/>
          <w:color w:val="auto"/>
          <w:kern w:val="0"/>
          <w:sz w:val="32"/>
          <w:szCs w:val="32"/>
          <w:lang w:val="zh-CN" w:eastAsia="zh-CN" w:bidi="ar-SA"/>
        </w:rPr>
        <w:t>一是通过公开考试等方式，公开招录专职财务人员，确保此项工作规范执行到位。二是对</w:t>
      </w:r>
      <w:r>
        <w:rPr>
          <w:rFonts w:hint="eastAsia" w:ascii="仿宋_GB2312" w:hAnsi="Calibri" w:eastAsia="仿宋_GB2312" w:cs="仿宋"/>
          <w:color w:val="auto"/>
          <w:kern w:val="0"/>
          <w:sz w:val="32"/>
          <w:szCs w:val="32"/>
          <w:lang w:val="en-US" w:eastAsia="zh-CN" w:bidi="ar-SA"/>
        </w:rPr>
        <w:t>现</w:t>
      </w:r>
      <w:r>
        <w:rPr>
          <w:rFonts w:hint="eastAsia" w:ascii="仿宋_GB2312" w:hAnsi="Calibri" w:eastAsia="仿宋_GB2312" w:cs="仿宋"/>
          <w:color w:val="auto"/>
          <w:kern w:val="0"/>
          <w:sz w:val="32"/>
          <w:szCs w:val="32"/>
          <w:lang w:val="zh-CN" w:eastAsia="zh-CN" w:bidi="ar-SA"/>
        </w:rPr>
        <w:t>单位财务人员加强培训学习，切实</w:t>
      </w:r>
      <w:r>
        <w:rPr>
          <w:rFonts w:hint="eastAsia" w:ascii="仿宋_GB2312" w:hAnsi="Calibri" w:eastAsia="仿宋_GB2312" w:cs="仿宋"/>
          <w:color w:val="auto"/>
          <w:kern w:val="0"/>
          <w:sz w:val="32"/>
          <w:szCs w:val="32"/>
          <w:lang w:val="en-US" w:eastAsia="zh-CN" w:bidi="ar-SA"/>
        </w:rPr>
        <w:t>提高业务技能。</w:t>
      </w:r>
    </w:p>
    <w:p>
      <w:pPr>
        <w:keepNext w:val="0"/>
        <w:keepLines w:val="0"/>
        <w:pageBreakBefore w:val="0"/>
        <w:kinsoku/>
        <w:wordWrap/>
        <w:overflowPunct/>
        <w:topLinePunct w:val="0"/>
        <w:bidi w:val="0"/>
        <w:spacing w:line="600" w:lineRule="exact"/>
        <w:jc w:val="center"/>
        <w:textAlignment w:val="auto"/>
        <w:outlineLvl w:val="0"/>
        <w:rPr>
          <w:rFonts w:hint="eastAsia" w:ascii="黑体" w:hAnsi="黑体" w:eastAsia="黑体"/>
          <w:sz w:val="44"/>
          <w:szCs w:val="44"/>
        </w:rPr>
      </w:pPr>
      <w:bookmarkStart w:id="53" w:name="_Toc15396618"/>
    </w:p>
    <w:p>
      <w:pPr>
        <w:pStyle w:val="2"/>
        <w:rPr>
          <w:rFonts w:hint="eastAsia" w:ascii="黑体" w:hAnsi="黑体" w:eastAsia="黑体"/>
          <w:sz w:val="44"/>
          <w:szCs w:val="44"/>
        </w:rPr>
      </w:pPr>
    </w:p>
    <w:p>
      <w:pPr>
        <w:pStyle w:val="3"/>
        <w:rPr>
          <w:rFonts w:hint="eastAsia" w:ascii="黑体" w:hAnsi="黑体" w:eastAsia="黑体"/>
          <w:sz w:val="44"/>
          <w:szCs w:val="44"/>
        </w:rPr>
      </w:pPr>
    </w:p>
    <w:p>
      <w:pPr>
        <w:rPr>
          <w:rFonts w:hint="eastAsia" w:ascii="黑体" w:hAnsi="黑体" w:eastAsia="黑体"/>
          <w:sz w:val="44"/>
          <w:szCs w:val="44"/>
        </w:rPr>
      </w:pPr>
    </w:p>
    <w:p>
      <w:pPr>
        <w:pStyle w:val="2"/>
        <w:rPr>
          <w:rFonts w:hint="eastAsia" w:ascii="黑体" w:hAnsi="黑体" w:eastAsia="黑体"/>
          <w:sz w:val="44"/>
          <w:szCs w:val="44"/>
        </w:rPr>
      </w:pPr>
    </w:p>
    <w:p>
      <w:pPr>
        <w:pStyle w:val="3"/>
        <w:rPr>
          <w:rFonts w:hint="eastAsia" w:ascii="黑体" w:hAnsi="黑体" w:eastAsia="黑体"/>
          <w:sz w:val="44"/>
          <w:szCs w:val="44"/>
        </w:rPr>
      </w:pPr>
    </w:p>
    <w:p>
      <w:pPr>
        <w:rPr>
          <w:rFonts w:hint="eastAsia" w:ascii="黑体" w:hAnsi="黑体" w:eastAsia="黑体"/>
          <w:sz w:val="44"/>
          <w:szCs w:val="44"/>
        </w:rPr>
      </w:pPr>
    </w:p>
    <w:p>
      <w:pPr>
        <w:pStyle w:val="2"/>
        <w:rPr>
          <w:rFonts w:hint="eastAsia" w:ascii="黑体" w:hAnsi="黑体" w:eastAsia="黑体"/>
          <w:sz w:val="44"/>
          <w:szCs w:val="44"/>
        </w:rPr>
      </w:pPr>
    </w:p>
    <w:p>
      <w:pPr>
        <w:pStyle w:val="3"/>
        <w:rPr>
          <w:rFonts w:hint="eastAsia" w:ascii="黑体" w:hAnsi="黑体" w:eastAsia="黑体"/>
          <w:sz w:val="44"/>
          <w:szCs w:val="44"/>
        </w:rPr>
      </w:pPr>
    </w:p>
    <w:p>
      <w:pPr>
        <w:rPr>
          <w:rFonts w:hint="eastAsia" w:ascii="黑体" w:hAnsi="黑体" w:eastAsia="黑体"/>
          <w:sz w:val="44"/>
          <w:szCs w:val="44"/>
        </w:rPr>
      </w:pPr>
    </w:p>
    <w:p>
      <w:pPr>
        <w:pStyle w:val="2"/>
        <w:rPr>
          <w:rFonts w:hint="eastAsia" w:ascii="黑体" w:hAnsi="黑体" w:eastAsia="黑体"/>
          <w:sz w:val="44"/>
          <w:szCs w:val="44"/>
        </w:rPr>
      </w:pPr>
    </w:p>
    <w:p>
      <w:pPr>
        <w:pStyle w:val="3"/>
        <w:rPr>
          <w:rFonts w:hint="eastAsia" w:ascii="黑体" w:hAnsi="黑体" w:eastAsia="黑体"/>
          <w:sz w:val="44"/>
          <w:szCs w:val="44"/>
        </w:rPr>
      </w:pPr>
    </w:p>
    <w:p>
      <w:pPr>
        <w:rPr>
          <w:rFonts w:hint="eastAsia" w:ascii="黑体" w:hAnsi="黑体" w:eastAsia="黑体"/>
          <w:sz w:val="44"/>
          <w:szCs w:val="44"/>
        </w:rPr>
      </w:pPr>
    </w:p>
    <w:p>
      <w:pPr>
        <w:pStyle w:val="2"/>
        <w:rPr>
          <w:rFonts w:hint="eastAsia" w:ascii="黑体" w:hAnsi="黑体" w:eastAsia="黑体"/>
          <w:sz w:val="44"/>
          <w:szCs w:val="44"/>
        </w:rPr>
      </w:pPr>
    </w:p>
    <w:p>
      <w:pPr>
        <w:pStyle w:val="3"/>
        <w:rPr>
          <w:rFonts w:hint="eastAsia" w:ascii="黑体" w:hAnsi="黑体" w:eastAsia="黑体"/>
          <w:sz w:val="44"/>
          <w:szCs w:val="44"/>
        </w:rPr>
      </w:pPr>
    </w:p>
    <w:p>
      <w:pPr>
        <w:rPr>
          <w:rFonts w:hint="eastAsia" w:ascii="黑体" w:hAnsi="黑体" w:eastAsia="黑体"/>
          <w:sz w:val="44"/>
          <w:szCs w:val="44"/>
        </w:rPr>
      </w:pPr>
    </w:p>
    <w:p>
      <w:pPr>
        <w:pStyle w:val="2"/>
        <w:rPr>
          <w:rFonts w:hint="eastAsia" w:ascii="黑体" w:hAnsi="黑体" w:eastAsia="黑体"/>
          <w:sz w:val="44"/>
          <w:szCs w:val="44"/>
        </w:rPr>
      </w:pPr>
    </w:p>
    <w:p>
      <w:pPr>
        <w:pStyle w:val="3"/>
        <w:rPr>
          <w:rFonts w:hint="eastAsia" w:ascii="黑体" w:hAnsi="黑体" w:eastAsia="黑体"/>
          <w:sz w:val="44"/>
          <w:szCs w:val="44"/>
        </w:rPr>
      </w:pPr>
    </w:p>
    <w:p>
      <w:pPr>
        <w:pStyle w:val="2"/>
        <w:rPr>
          <w:rFonts w:hint="eastAsia"/>
        </w:rPr>
      </w:pPr>
    </w:p>
    <w:tbl>
      <w:tblPr>
        <w:tblStyle w:val="15"/>
        <w:tblpPr w:leftFromText="180" w:rightFromText="180" w:vertAnchor="text" w:horzAnchor="page" w:tblpX="1607" w:tblpY="249"/>
        <w:tblOverlap w:val="never"/>
        <w:tblW w:w="93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2"/>
        <w:gridCol w:w="546"/>
        <w:gridCol w:w="545"/>
        <w:gridCol w:w="450"/>
        <w:gridCol w:w="1391"/>
        <w:gridCol w:w="2768"/>
        <w:gridCol w:w="491"/>
        <w:gridCol w:w="552"/>
        <w:gridCol w:w="403"/>
        <w:gridCol w:w="403"/>
        <w:gridCol w:w="694"/>
        <w:gridCol w:w="5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9345" w:type="dxa"/>
            <w:gridSpan w:val="12"/>
            <w:tcBorders>
              <w:top w:val="nil"/>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区级部门整体绩效自评体系评分表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16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绩效指标</w:t>
            </w:r>
          </w:p>
        </w:tc>
        <w:tc>
          <w:tcPr>
            <w:tcW w:w="45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指标分值</w:t>
            </w:r>
          </w:p>
        </w:tc>
        <w:tc>
          <w:tcPr>
            <w:tcW w:w="139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指标解释</w:t>
            </w:r>
          </w:p>
        </w:tc>
        <w:tc>
          <w:tcPr>
            <w:tcW w:w="2768" w:type="dxa"/>
            <w:vMerge w:val="restart"/>
            <w:tcBorders>
              <w:top w:val="single" w:color="000000" w:sz="4" w:space="0"/>
              <w:left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计分标准</w:t>
            </w:r>
          </w:p>
        </w:tc>
        <w:tc>
          <w:tcPr>
            <w:tcW w:w="10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评价</w:t>
            </w:r>
          </w:p>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方式</w:t>
            </w:r>
          </w:p>
        </w:tc>
        <w:tc>
          <w:tcPr>
            <w:tcW w:w="8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评价属性</w:t>
            </w:r>
          </w:p>
        </w:tc>
        <w:tc>
          <w:tcPr>
            <w:tcW w:w="69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shd w:val="clear"/>
                <w:lang w:val="en-US" w:eastAsia="zh-CN" w:bidi="ar"/>
              </w:rPr>
              <w:t>部门打分</w:t>
            </w:r>
          </w:p>
        </w:tc>
        <w:tc>
          <w:tcPr>
            <w:tcW w:w="54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一级指标</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二级指标</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三级指标</w:t>
            </w:r>
          </w:p>
        </w:tc>
        <w:tc>
          <w:tcPr>
            <w:tcW w:w="45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391"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768" w:type="dxa"/>
            <w:vMerge w:val="continue"/>
            <w:tcBorders>
              <w:left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4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整体评价</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样本评价</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定性评价</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定量评价</w:t>
            </w:r>
          </w:p>
        </w:tc>
        <w:tc>
          <w:tcPr>
            <w:tcW w:w="69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54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9" w:hRule="atLeast"/>
        </w:trPr>
        <w:tc>
          <w:tcPr>
            <w:tcW w:w="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部门预算项目绩效管理（70分）</w:t>
            </w:r>
          </w:p>
        </w:tc>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目标管理（40分）</w:t>
            </w:r>
          </w:p>
        </w:tc>
        <w:tc>
          <w:tcPr>
            <w:tcW w:w="545"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目标制定</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是否开展部门内部绩效目标审核工作。</w:t>
            </w:r>
          </w:p>
        </w:tc>
        <w:tc>
          <w:tcPr>
            <w:tcW w:w="2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部门组织对本部门（含下属单位）绩效目标开展内部审核的，得10分，否则不得分。</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0" w:hRule="atLeast"/>
        </w:trPr>
        <w:tc>
          <w:tcPr>
            <w:tcW w:w="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根据年度绩效目标实现情况，评价部门绩效目标是否科学合理、规范完整、细化量化并与预算安排相匹配。</w:t>
            </w:r>
          </w:p>
        </w:tc>
        <w:tc>
          <w:tcPr>
            <w:tcW w:w="2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1.绩效目标编制科学合理的，得2分，否则酌情扣分。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2.绩效目标编制规范完整的，得2分，否则酌情扣分。                                                       3.绩效指标编制细化量化的，得2分，否则酌情扣分。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4.绩效指标编制与预算安排相匹配的，得2分，否则酌情扣分。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5.评价部门绩效目标纳入部门党组（委）会（办公会）集体决策范围的得2分，否则不得分。                                                                                                                    </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9" w:hRule="atLeast"/>
        </w:trPr>
        <w:tc>
          <w:tcPr>
            <w:tcW w:w="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目标实现</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评价部门整体支出绩效目标实现程度与预期目标的偏离度。</w:t>
            </w:r>
          </w:p>
        </w:tc>
        <w:tc>
          <w:tcPr>
            <w:tcW w:w="2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以部门整体支出绩效为核心，评价部门整体支出实际完成情况与预期绩效目标偏离度，单个数量指标实际完成未达到预期指标或超过预期指标30%以上的，均不计分。该项指标得分=达到预期值的数量指标个数/全部数量指标个数*10。</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4" w:hRule="atLeast"/>
        </w:trPr>
        <w:tc>
          <w:tcPr>
            <w:tcW w:w="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评价部门预算项目绩效目标实际实现程度与预期目标的偏离度。</w:t>
            </w:r>
          </w:p>
        </w:tc>
        <w:tc>
          <w:tcPr>
            <w:tcW w:w="2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以部门预算项目绩效为核心，评价部门预算项目实际完成情况与预期绩效目标偏离度，单个数量指标实际完成未达到预期指标或超过预期指标30%以上的，均不计分。该项指标得分=达到预期值的数量指标个数/全部数量指标个数（即评价选取的项目绩效目标包含的所有数量指标）*10。</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9" w:hRule="atLeast"/>
        </w:trPr>
        <w:tc>
          <w:tcPr>
            <w:tcW w:w="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动态调整（15分）</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支出控制</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部门公用经费及非定额公用支出控制情况。</w:t>
            </w:r>
          </w:p>
        </w:tc>
        <w:tc>
          <w:tcPr>
            <w:tcW w:w="2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计算部门日常公用经费、项目支出中“办公费、印刷费、水费、电费、物业管理费”等科目年初预算数与决算数偏差程度。                                                            预决算偏差程度在10%以内的，得10分。偏差度在10%-20%之间的，得5分，偏差度超过20%的，不得分。</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及时处置</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评价部门开展绩效运行监控后，将绩效监控结果应用到预算调整的情况。</w:t>
            </w:r>
          </w:p>
        </w:tc>
        <w:tc>
          <w:tcPr>
            <w:tcW w:w="2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绩效运行监控未发现问题或对发现问题提出预算收回、调整处置意见并加以落实的得5分。如存在未及时处置落实的，按未进行问题整改的项目数量/监控发现问题的项目总数×5分扣分，直至扣完。                                                </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执行进度</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评价部门在6、9、11月的预算执行情况。</w:t>
            </w:r>
          </w:p>
        </w:tc>
        <w:tc>
          <w:tcPr>
            <w:tcW w:w="2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部门预算执行进度在6、9、11月应达到序时进度的80%、90%、90%，即实际支出进度分别达到40%、67.5%、82.5%。                                                     6、9、11月部门预算执行进度达到量化指标的分别得1分、2分、2分，未达到目标进度的的按其实际进度占目标进度的比重计算得分。                                             </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4" w:hRule="atLeast"/>
        </w:trPr>
        <w:tc>
          <w:tcPr>
            <w:tcW w:w="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完成结果（10分）</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资金结余率</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评价部门预算项目年终资金结余情况。                 </w:t>
            </w:r>
          </w:p>
        </w:tc>
        <w:tc>
          <w:tcPr>
            <w:tcW w:w="2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部门预算项目资金结余率小于0.1的项目数/部门预算项目总数*5。</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违规记录</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根据审计监督、财会监督和部门自查结果反映部门上一年度部门预算管理是否存在相关问题。</w:t>
            </w:r>
          </w:p>
        </w:tc>
        <w:tc>
          <w:tcPr>
            <w:tcW w:w="2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依据评价年度审计监督、财会监督和部门自查结果，出现未落实党政机关过紧日子相关要求，以及部门预算管理方面违纪违规等问题的，每个问题扣0.5分，直至扣完。</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4" w:hRule="atLeast"/>
        </w:trPr>
        <w:tc>
          <w:tcPr>
            <w:tcW w:w="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绩效结果应用（30分）</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内部应用（10分）</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预算挂钩</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部门内部绩效结果与预算挂钩情况</w:t>
            </w:r>
          </w:p>
        </w:tc>
        <w:tc>
          <w:tcPr>
            <w:tcW w:w="2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将内设机构和下属单位绩效自评情况纳入内部考核体系，得5分；建立对内设机构和下属单位预算与绩效挂钩机制的，得5分；否则酌情扣分。    </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信息公开（5分)</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自评公开</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评价部门是否按要求将部门整体绩效自评情况和自行组织的评价情况向社会公开。</w:t>
            </w:r>
          </w:p>
        </w:tc>
        <w:tc>
          <w:tcPr>
            <w:tcW w:w="2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按要求将相关绩效信息随同决算公开的，得10分，否则不得分。</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9" w:hRule="atLeast"/>
        </w:trPr>
        <w:tc>
          <w:tcPr>
            <w:tcW w:w="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整改反馈（10分）</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问题整改</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评价部门根据绩效管理结果整改问题、完善政策、改进管理的情况。</w:t>
            </w:r>
          </w:p>
        </w:tc>
        <w:tc>
          <w:tcPr>
            <w:tcW w:w="2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针对绩效管理过程中（包括绩效目标核查、绩效监控核查和重点绩效评价）提出的问题进行整改，得5分，否则酌情扣分。</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9" w:hRule="atLeast"/>
        </w:trPr>
        <w:tc>
          <w:tcPr>
            <w:tcW w:w="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应用反馈</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评价部门按要求及时向财政部门反馈结果应用情况。</w:t>
            </w:r>
          </w:p>
        </w:tc>
        <w:tc>
          <w:tcPr>
            <w:tcW w:w="2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部门在规定时间内向财政部门反馈应用绩效结果报告的，得5分，否则不得分。</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9" w:hRule="atLeast"/>
        </w:trPr>
        <w:tc>
          <w:tcPr>
            <w:tcW w:w="16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扣分项</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（10分）</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10</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被评价单位配合评价工作情况。</w:t>
            </w:r>
          </w:p>
        </w:tc>
        <w:tc>
          <w:tcPr>
            <w:tcW w:w="2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财政重点绩效评价工作开展过程中，评价组发现被评价对象拖延推诿、提交资料不及时等拒不配合评价工作的，经报财政局复核确认后按0.5分/次予以扣分，最高扣10分（此为财政重点绩效评价计分标准，部门参照该标准对部门及下属单位计分）。</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4"/>
                <w:szCs w:val="24"/>
                <w:u w:val="none"/>
                <w:lang w:val="en-US" w:eastAsia="zh-CN" w:bidi="ar-SA"/>
              </w:rPr>
            </w:pP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9" w:hRule="atLeast"/>
        </w:trPr>
        <w:tc>
          <w:tcPr>
            <w:tcW w:w="811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部 门 整 体 自 评 得 分</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bl>
    <w:p>
      <w:pPr>
        <w:keepNext w:val="0"/>
        <w:keepLines w:val="0"/>
        <w:pageBreakBefore w:val="0"/>
        <w:kinsoku/>
        <w:wordWrap/>
        <w:overflowPunct/>
        <w:topLinePunct w:val="0"/>
        <w:bidi w:val="0"/>
        <w:spacing w:line="600" w:lineRule="exact"/>
        <w:jc w:val="center"/>
        <w:textAlignment w:val="auto"/>
        <w:outlineLvl w:val="0"/>
        <w:rPr>
          <w:rFonts w:hint="eastAsia" w:ascii="黑体" w:hAnsi="黑体" w:eastAsia="黑体"/>
          <w:sz w:val="44"/>
          <w:szCs w:val="44"/>
        </w:rPr>
      </w:pPr>
    </w:p>
    <w:p>
      <w:pPr>
        <w:keepNext w:val="0"/>
        <w:keepLines w:val="0"/>
        <w:pageBreakBefore w:val="0"/>
        <w:kinsoku/>
        <w:wordWrap/>
        <w:overflowPunct/>
        <w:topLinePunct w:val="0"/>
        <w:bidi w:val="0"/>
        <w:spacing w:line="600" w:lineRule="exact"/>
        <w:jc w:val="center"/>
        <w:textAlignment w:val="auto"/>
        <w:outlineLvl w:val="0"/>
        <w:rPr>
          <w:rFonts w:hint="eastAsia" w:ascii="黑体" w:hAnsi="黑体" w:eastAsia="黑体"/>
          <w:sz w:val="44"/>
          <w:szCs w:val="44"/>
        </w:rPr>
      </w:pPr>
    </w:p>
    <w:p>
      <w:pPr>
        <w:spacing w:line="600" w:lineRule="exact"/>
        <w:jc w:val="both"/>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pStyle w:val="2"/>
        <w:rPr>
          <w:rFonts w:hint="eastAsia" w:ascii="黑体" w:hAnsi="黑体" w:eastAsia="黑体"/>
          <w:sz w:val="44"/>
          <w:szCs w:val="44"/>
        </w:rPr>
      </w:pPr>
    </w:p>
    <w:p>
      <w:pPr>
        <w:pStyle w:val="3"/>
        <w:rPr>
          <w:rFonts w:hint="eastAsia" w:ascii="黑体" w:hAnsi="黑体" w:eastAsia="黑体"/>
          <w:sz w:val="44"/>
          <w:szCs w:val="44"/>
        </w:rPr>
      </w:pPr>
    </w:p>
    <w:p>
      <w:pPr>
        <w:rPr>
          <w:rFonts w:hint="eastAsia" w:ascii="黑体" w:hAnsi="黑体" w:eastAsia="黑体"/>
          <w:sz w:val="44"/>
          <w:szCs w:val="44"/>
        </w:rPr>
      </w:pPr>
    </w:p>
    <w:p>
      <w:pPr>
        <w:pStyle w:val="2"/>
        <w:rPr>
          <w:rFonts w:hint="eastAsia"/>
        </w:rPr>
      </w:pPr>
    </w:p>
    <w:tbl>
      <w:tblPr>
        <w:tblStyle w:val="15"/>
        <w:tblW w:w="869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7"/>
        <w:gridCol w:w="750"/>
        <w:gridCol w:w="375"/>
        <w:gridCol w:w="1665"/>
        <w:gridCol w:w="855"/>
        <w:gridCol w:w="1245"/>
        <w:gridCol w:w="1080"/>
        <w:gridCol w:w="1140"/>
        <w:gridCol w:w="8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697" w:type="dxa"/>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区级项目支出绩效自评表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项目运转经费</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427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2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中国共产党乐山市市中区纪律检查委员会</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427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中国共产党乐山市市中区纪律检查委员会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8697"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1527" w:type="dxa"/>
            <w:gridSpan w:val="2"/>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303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15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130.44</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130.44</w:t>
            </w:r>
          </w:p>
        </w:tc>
        <w:tc>
          <w:tcPr>
            <w:tcW w:w="303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15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其中：财政拨款</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130.44</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130.44</w:t>
            </w:r>
          </w:p>
        </w:tc>
        <w:tc>
          <w:tcPr>
            <w:tcW w:w="303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15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03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364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427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3645" w:type="dxa"/>
            <w:gridSpan w:val="4"/>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办公费、报刊杂志订阅、纪检监察及党风廉政建设等其他商品和服务支出。</w:t>
            </w:r>
          </w:p>
        </w:tc>
        <w:tc>
          <w:tcPr>
            <w:tcW w:w="42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主要用于办公费、差旅费、劳务费、其他商品和服务支出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分值/权重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（百分制）</w:t>
            </w:r>
          </w:p>
        </w:tc>
        <w:tc>
          <w:tcPr>
            <w:tcW w:w="114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扣分原因分析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566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    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567"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预算执行率（10分）</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给予党纪政务处分</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高质量</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高质量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完成信息报送</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高质量</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高质量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制作警示读本</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拍摄警示教育片</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党风廉政建设</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高质量</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高质量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财政资金</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130.44万元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130.44万元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1125" w:type="dxa"/>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16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党风廉政社会评价度</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满意度90%以上</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满意度90%以上</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bl>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pStyle w:val="2"/>
        <w:rPr>
          <w:rFonts w:hint="eastAsia" w:ascii="黑体" w:hAnsi="黑体" w:eastAsia="黑体"/>
          <w:sz w:val="44"/>
          <w:szCs w:val="44"/>
        </w:rPr>
      </w:pPr>
    </w:p>
    <w:p>
      <w:pPr>
        <w:pStyle w:val="3"/>
        <w:rPr>
          <w:rFonts w:hint="eastAsia" w:ascii="黑体" w:hAnsi="黑体" w:eastAsia="黑体"/>
          <w:sz w:val="44"/>
          <w:szCs w:val="44"/>
        </w:rPr>
      </w:pPr>
    </w:p>
    <w:p>
      <w:pPr>
        <w:rPr>
          <w:rFonts w:hint="eastAsia"/>
        </w:rPr>
      </w:pPr>
    </w:p>
    <w:tbl>
      <w:tblPr>
        <w:tblStyle w:val="15"/>
        <w:tblW w:w="878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22"/>
        <w:gridCol w:w="1197"/>
        <w:gridCol w:w="1350"/>
        <w:gridCol w:w="1125"/>
        <w:gridCol w:w="885"/>
        <w:gridCol w:w="885"/>
        <w:gridCol w:w="1095"/>
        <w:gridCol w:w="11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784"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区级项目支出绩效自评表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54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专案工作经费</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399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254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中国共产党乐山市市中区纪律检查委员会</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399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中国共产党乐山市市中区纪律检查委员会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8784"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2319" w:type="dxa"/>
            <w:gridSpan w:val="2"/>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310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23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310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23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其中：财政拨款</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310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23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10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3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399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3672" w:type="dxa"/>
            <w:gridSpan w:val="3"/>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办案经费</w:t>
            </w:r>
          </w:p>
        </w:tc>
        <w:tc>
          <w:tcPr>
            <w:tcW w:w="39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根据办案需要，2022年专案工作经费主要用于办案期间的各项支出。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trPr>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分值/权重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（百分制）</w:t>
            </w:r>
          </w:p>
        </w:tc>
        <w:tc>
          <w:tcPr>
            <w:tcW w:w="109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扣分原因分析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567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    分</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3669"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预算执行率（10分）</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案件数量</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案件质量</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高质量</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高质量</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专案费使用时限</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专案费用</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180万元</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形成良好社会效果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良好</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党委、群众满意度</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满意度90%以上</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8" w:hRule="atLeast"/>
        </w:trPr>
        <w:tc>
          <w:tcPr>
            <w:tcW w:w="8784" w:type="dxa"/>
            <w:gridSpan w:val="8"/>
            <w:tcBorders>
              <w:top w:val="single" w:color="000000" w:sz="4" w:space="0"/>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说明：1.预算执行率得分=全年执行数/全年预算数*10分；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2.“产出指标、效益指标、满意度指标”一共90分，对应的是一体化系统中单位编制的项目绩效目标。</w:t>
            </w:r>
          </w:p>
        </w:tc>
      </w:tr>
    </w:tbl>
    <w:p>
      <w:pPr>
        <w:spacing w:line="600" w:lineRule="exact"/>
        <w:jc w:val="center"/>
        <w:outlineLvl w:val="0"/>
        <w:rPr>
          <w:rFonts w:hint="eastAsia" w:ascii="黑体" w:hAnsi="黑体" w:eastAsia="黑体"/>
          <w:sz w:val="44"/>
          <w:szCs w:val="44"/>
        </w:rPr>
      </w:pPr>
    </w:p>
    <w:p>
      <w:pPr>
        <w:pStyle w:val="2"/>
        <w:rPr>
          <w:rFonts w:hint="eastAsia" w:ascii="黑体" w:hAnsi="黑体" w:eastAsia="黑体"/>
          <w:sz w:val="44"/>
          <w:szCs w:val="44"/>
        </w:rPr>
      </w:pPr>
    </w:p>
    <w:p>
      <w:pPr>
        <w:pStyle w:val="3"/>
        <w:rPr>
          <w:rFonts w:hint="eastAsia" w:ascii="黑体" w:hAnsi="黑体" w:eastAsia="黑体"/>
          <w:sz w:val="44"/>
          <w:szCs w:val="44"/>
        </w:rPr>
      </w:pPr>
    </w:p>
    <w:p>
      <w:pPr>
        <w:rPr>
          <w:rFonts w:hint="eastAsia" w:ascii="黑体" w:hAnsi="黑体" w:eastAsia="黑体"/>
          <w:sz w:val="44"/>
          <w:szCs w:val="44"/>
        </w:rPr>
      </w:pPr>
    </w:p>
    <w:tbl>
      <w:tblPr>
        <w:tblStyle w:val="15"/>
        <w:tblW w:w="888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53"/>
        <w:gridCol w:w="1086"/>
        <w:gridCol w:w="1065"/>
        <w:gridCol w:w="1125"/>
        <w:gridCol w:w="1140"/>
        <w:gridCol w:w="1080"/>
        <w:gridCol w:w="1005"/>
        <w:gridCol w:w="13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889"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区级项目支出绩效自评表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1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人员经费</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456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21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中国共产党乐山市市中区纪律检查委员会</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456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中国共产党乐山市市中区纪律检查委员会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8889"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1053"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1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34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21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w:t>
            </w: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w:t>
            </w:r>
          </w:p>
        </w:tc>
        <w:tc>
          <w:tcPr>
            <w:tcW w:w="34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其中：财政拨款</w:t>
            </w:r>
          </w:p>
        </w:tc>
        <w:tc>
          <w:tcPr>
            <w:tcW w:w="21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w:t>
            </w: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w:t>
            </w:r>
          </w:p>
        </w:tc>
        <w:tc>
          <w:tcPr>
            <w:tcW w:w="34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21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456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3276" w:type="dxa"/>
            <w:gridSpan w:val="3"/>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劳务费</w:t>
            </w:r>
          </w:p>
        </w:tc>
        <w:tc>
          <w:tcPr>
            <w:tcW w:w="456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用于门卫、保洁等劳务支出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分值/权重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（百分制）</w:t>
            </w:r>
          </w:p>
        </w:tc>
        <w:tc>
          <w:tcPr>
            <w:tcW w:w="100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扣分原因分析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546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    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320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预算执行率（10分）</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聘用人数</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工作开展情况</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良好</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良好</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运行时间</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财政投入</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12.3万元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门卫、保洁等工作</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良好</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良好</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可持续发展指标</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保障机关正常运行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良好</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良好</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10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1086" w:type="dxa"/>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机关干部满意</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满意度90%以上</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满意度90%以上</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8" w:hRule="atLeast"/>
        </w:trPr>
        <w:tc>
          <w:tcPr>
            <w:tcW w:w="8889" w:type="dxa"/>
            <w:gridSpan w:val="8"/>
            <w:tcBorders>
              <w:top w:val="single" w:color="000000" w:sz="4" w:space="0"/>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说明：1.预算执行率得分=全年执行数/全年预算数*10分；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2.“产出指标、效益指标、满意度指标”一共90分，对应的是一体化系统中单位编制的项目绩效目标。</w:t>
            </w:r>
          </w:p>
        </w:tc>
      </w:tr>
    </w:tbl>
    <w:p>
      <w:pPr>
        <w:pStyle w:val="2"/>
        <w:rPr>
          <w:rFonts w:hint="eastAsia" w:ascii="黑体" w:hAnsi="黑体" w:eastAsia="黑体"/>
          <w:sz w:val="44"/>
          <w:szCs w:val="44"/>
        </w:rPr>
      </w:pPr>
    </w:p>
    <w:p>
      <w:pPr>
        <w:pStyle w:val="3"/>
        <w:rPr>
          <w:rFonts w:hint="eastAsia" w:ascii="黑体" w:hAnsi="黑体" w:eastAsia="黑体"/>
          <w:sz w:val="44"/>
          <w:szCs w:val="44"/>
        </w:rPr>
      </w:pPr>
    </w:p>
    <w:p>
      <w:pPr>
        <w:rPr>
          <w:rFonts w:hint="eastAsia"/>
        </w:rPr>
      </w:pPr>
    </w:p>
    <w:p>
      <w:pPr>
        <w:pStyle w:val="3"/>
        <w:rPr>
          <w:rFonts w:hint="eastAsia"/>
        </w:rPr>
      </w:pPr>
    </w:p>
    <w:tbl>
      <w:tblPr>
        <w:tblStyle w:val="15"/>
        <w:tblW w:w="89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52"/>
        <w:gridCol w:w="1275"/>
        <w:gridCol w:w="1347"/>
        <w:gridCol w:w="1143"/>
        <w:gridCol w:w="1425"/>
        <w:gridCol w:w="1080"/>
        <w:gridCol w:w="732"/>
        <w:gridCol w:w="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979"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区级项目支出绩效自评表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6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中央政法纪检监察转移支付资金</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406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26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中国共产党乐山市市中区纪律检查委员会</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406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中国共产党乐山市市中区纪律检查委员会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8979"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2427" w:type="dxa"/>
            <w:gridSpan w:val="2"/>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25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263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24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5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63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24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其中：财政拨款</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63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24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5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63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115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37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406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3765" w:type="dxa"/>
            <w:gridSpan w:val="3"/>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用于涉密设备采购</w:t>
            </w:r>
          </w:p>
        </w:tc>
        <w:tc>
          <w:tcPr>
            <w:tcW w:w="406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用于涉密电脑、涉密打印机采购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trPr>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分值/权重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（百分制）</w:t>
            </w:r>
          </w:p>
        </w:tc>
        <w:tc>
          <w:tcPr>
            <w:tcW w:w="732"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扣分原因分析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634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    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377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预算执行率（10分）</w:t>
            </w:r>
          </w:p>
        </w:tc>
        <w:tc>
          <w:tcPr>
            <w:tcW w:w="11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25" w:type="dxa"/>
            <w:tcBorders>
              <w:top w:val="single" w:color="000000" w:sz="4" w:space="0"/>
              <w:left w:val="nil"/>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115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产出指标</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办案设备采购（台/套）</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25" w:type="dxa"/>
            <w:tcBorders>
              <w:top w:val="single" w:color="000000" w:sz="4" w:space="0"/>
              <w:left w:val="nil"/>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视频会商系统</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5万元</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25" w:type="dxa"/>
            <w:tcBorders>
              <w:top w:val="single" w:color="000000" w:sz="4" w:space="0"/>
              <w:left w:val="nil"/>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案件查处业务经费</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5万元</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25" w:type="dxa"/>
            <w:tcBorders>
              <w:top w:val="single" w:color="000000" w:sz="4" w:space="0"/>
              <w:left w:val="nil"/>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办案设备采购质量合格率</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25" w:type="dxa"/>
            <w:tcBorders>
              <w:top w:val="single" w:color="000000" w:sz="4" w:space="0"/>
              <w:left w:val="nil"/>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115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效益指标</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视频会商系统运行</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顺利运行</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顺利运行</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25" w:type="dxa"/>
            <w:tcBorders>
              <w:top w:val="single" w:color="000000" w:sz="4" w:space="0"/>
              <w:left w:val="nil"/>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依规依纪安全文明办案</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安全事故率0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安全事故率0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25" w:type="dxa"/>
            <w:tcBorders>
              <w:top w:val="single" w:color="000000" w:sz="4" w:space="0"/>
              <w:left w:val="nil"/>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为全区纪检监察工作推进提供坚强保障</w:t>
            </w:r>
          </w:p>
        </w:tc>
        <w:tc>
          <w:tcPr>
            <w:tcW w:w="11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持续提升业务能力</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持续提升业务能力</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25" w:type="dxa"/>
            <w:tcBorders>
              <w:top w:val="single" w:color="000000" w:sz="4" w:space="0"/>
              <w:left w:val="nil"/>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15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让群众满意</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上级主管部门满意度</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满意度90%以上</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满意度90%以上</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25" w:type="dxa"/>
            <w:tcBorders>
              <w:top w:val="single" w:color="000000" w:sz="4" w:space="0"/>
              <w:left w:val="nil"/>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办案人员满意度</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满意度90%以上</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满意度90%以上</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25" w:type="dxa"/>
            <w:tcBorders>
              <w:top w:val="single" w:color="000000" w:sz="4" w:space="0"/>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8" w:hRule="atLeast"/>
        </w:trPr>
        <w:tc>
          <w:tcPr>
            <w:tcW w:w="8979" w:type="dxa"/>
            <w:gridSpan w:val="8"/>
            <w:tcBorders>
              <w:top w:val="single" w:color="000000" w:sz="4" w:space="0"/>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说明：1.预算执行率得分=全年执行数/全年预算数*10分；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2.“产出指标、效益指标、满意度指标”一共90分，对应的是一体化系统中单位编制的项目绩效目标。</w:t>
            </w:r>
          </w:p>
        </w:tc>
      </w:tr>
    </w:tbl>
    <w:p>
      <w:pPr>
        <w:spacing w:line="600" w:lineRule="exact"/>
        <w:jc w:val="center"/>
        <w:outlineLvl w:val="0"/>
        <w:rPr>
          <w:rFonts w:hint="eastAsia" w:ascii="黑体" w:hAnsi="黑体" w:eastAsia="黑体"/>
          <w:sz w:val="44"/>
          <w:szCs w:val="44"/>
        </w:rPr>
      </w:pPr>
    </w:p>
    <w:p>
      <w:pPr>
        <w:spacing w:line="600" w:lineRule="exact"/>
        <w:jc w:val="center"/>
        <w:outlineLvl w:val="0"/>
        <w:rPr>
          <w:rFonts w:ascii="仿宋" w:hAnsi="仿宋" w:eastAsia="仿宋"/>
          <w:color w:val="auto"/>
        </w:rPr>
      </w:pPr>
      <w:r>
        <w:rPr>
          <w:rFonts w:hint="eastAsia" w:ascii="黑体" w:hAnsi="黑体" w:eastAsia="黑体"/>
          <w:color w:val="auto"/>
          <w:sz w:val="44"/>
          <w:szCs w:val="44"/>
        </w:rPr>
        <w:t>第</w:t>
      </w:r>
      <w:r>
        <w:rPr>
          <w:rStyle w:val="28"/>
          <w:rFonts w:hint="eastAsia" w:ascii="黑体" w:hAnsi="黑体" w:eastAsia="黑体"/>
          <w:b w:val="0"/>
          <w:color w:val="auto"/>
        </w:rPr>
        <w:t>五部分 附表</w:t>
      </w:r>
      <w:bookmarkEnd w:id="51"/>
      <w:bookmarkEnd w:id="53"/>
      <w:bookmarkStart w:id="54" w:name="_Toc15396619"/>
    </w:p>
    <w:p>
      <w:pPr>
        <w:pStyle w:val="5"/>
        <w:rPr>
          <w:rFonts w:ascii="仿宋" w:hAnsi="仿宋" w:eastAsia="仿宋"/>
          <w:color w:val="auto"/>
        </w:rPr>
      </w:pPr>
      <w:r>
        <w:rPr>
          <w:rFonts w:hint="eastAsia" w:ascii="仿宋" w:hAnsi="仿宋" w:eastAsia="仿宋"/>
          <w:b w:val="0"/>
          <w:color w:val="auto"/>
        </w:rPr>
        <w:t>一、收</w:t>
      </w:r>
      <w:r>
        <w:rPr>
          <w:rStyle w:val="29"/>
          <w:rFonts w:hint="eastAsia" w:ascii="仿宋" w:hAnsi="仿宋" w:eastAsia="仿宋"/>
          <w:b w:val="0"/>
          <w:bCs w:val="0"/>
          <w:color w:val="auto"/>
        </w:rPr>
        <w:t>入支出决算总表</w:t>
      </w:r>
      <w:bookmarkEnd w:id="54"/>
    </w:p>
    <w:p>
      <w:pPr>
        <w:pStyle w:val="5"/>
        <w:rPr>
          <w:rFonts w:ascii="仿宋" w:hAnsi="仿宋" w:eastAsia="仿宋"/>
          <w:color w:val="auto"/>
        </w:rPr>
      </w:pPr>
      <w:bookmarkStart w:id="55" w:name="_Toc15396620"/>
      <w:r>
        <w:rPr>
          <w:rFonts w:hint="eastAsia" w:ascii="仿宋" w:hAnsi="仿宋" w:eastAsia="仿宋"/>
          <w:b w:val="0"/>
          <w:color w:val="auto"/>
        </w:rPr>
        <w:t>二、收</w:t>
      </w:r>
      <w:r>
        <w:rPr>
          <w:rStyle w:val="29"/>
          <w:rFonts w:hint="eastAsia" w:ascii="仿宋" w:hAnsi="仿宋" w:eastAsia="仿宋"/>
          <w:b w:val="0"/>
          <w:bCs w:val="0"/>
          <w:color w:val="auto"/>
        </w:rPr>
        <w:t>入决算表</w:t>
      </w:r>
      <w:bookmarkEnd w:id="55"/>
    </w:p>
    <w:p>
      <w:pPr>
        <w:pStyle w:val="5"/>
        <w:rPr>
          <w:rFonts w:ascii="仿宋" w:hAnsi="仿宋" w:eastAsia="仿宋"/>
          <w:color w:val="auto"/>
        </w:rPr>
      </w:pPr>
      <w:bookmarkStart w:id="56" w:name="_Toc15396621"/>
      <w:r>
        <w:rPr>
          <w:rStyle w:val="29"/>
          <w:rFonts w:hint="eastAsia" w:ascii="仿宋" w:hAnsi="仿宋" w:eastAsia="仿宋"/>
          <w:b w:val="0"/>
          <w:bCs w:val="0"/>
          <w:color w:val="auto"/>
        </w:rPr>
        <w:t>三、</w:t>
      </w:r>
      <w:r>
        <w:rPr>
          <w:rFonts w:hint="eastAsia" w:ascii="仿宋" w:hAnsi="仿宋" w:eastAsia="仿宋"/>
          <w:b w:val="0"/>
          <w:color w:val="auto"/>
        </w:rPr>
        <w:t>支</w:t>
      </w:r>
      <w:r>
        <w:rPr>
          <w:rStyle w:val="29"/>
          <w:rFonts w:hint="eastAsia" w:ascii="仿宋" w:hAnsi="仿宋" w:eastAsia="仿宋"/>
          <w:b w:val="0"/>
          <w:bCs w:val="0"/>
          <w:color w:val="auto"/>
        </w:rPr>
        <w:t>出决算表</w:t>
      </w:r>
      <w:bookmarkEnd w:id="56"/>
    </w:p>
    <w:p>
      <w:pPr>
        <w:pStyle w:val="5"/>
        <w:rPr>
          <w:rFonts w:ascii="仿宋" w:hAnsi="仿宋" w:eastAsia="仿宋"/>
          <w:b w:val="0"/>
          <w:color w:val="auto"/>
        </w:rPr>
      </w:pPr>
      <w:bookmarkStart w:id="57" w:name="_Toc15396622"/>
      <w:r>
        <w:rPr>
          <w:rStyle w:val="29"/>
          <w:rFonts w:hint="eastAsia" w:ascii="仿宋" w:hAnsi="仿宋" w:eastAsia="仿宋"/>
          <w:b w:val="0"/>
          <w:bCs w:val="0"/>
          <w:color w:val="auto"/>
        </w:rPr>
        <w:t>四、</w:t>
      </w:r>
      <w:r>
        <w:rPr>
          <w:rFonts w:hint="eastAsia" w:ascii="仿宋" w:hAnsi="仿宋" w:eastAsia="仿宋"/>
          <w:b w:val="0"/>
          <w:color w:val="auto"/>
        </w:rPr>
        <w:t>财</w:t>
      </w:r>
      <w:r>
        <w:rPr>
          <w:rStyle w:val="29"/>
          <w:rFonts w:hint="eastAsia" w:ascii="仿宋" w:hAnsi="仿宋" w:eastAsia="仿宋"/>
          <w:b w:val="0"/>
          <w:bCs w:val="0"/>
          <w:color w:val="auto"/>
        </w:rPr>
        <w:t>政拨款收入支出决算总表</w:t>
      </w:r>
      <w:bookmarkEnd w:id="57"/>
    </w:p>
    <w:p>
      <w:pPr>
        <w:pStyle w:val="5"/>
        <w:rPr>
          <w:rStyle w:val="29"/>
          <w:rFonts w:ascii="仿宋" w:hAnsi="仿宋" w:eastAsia="仿宋"/>
          <w:b w:val="0"/>
          <w:bCs w:val="0"/>
          <w:color w:val="auto"/>
        </w:rPr>
      </w:pPr>
      <w:bookmarkStart w:id="58" w:name="_Toc15396623"/>
      <w:r>
        <w:rPr>
          <w:rStyle w:val="29"/>
          <w:rFonts w:hint="eastAsia" w:ascii="仿宋" w:hAnsi="仿宋" w:eastAsia="仿宋"/>
          <w:b w:val="0"/>
          <w:bCs w:val="0"/>
          <w:color w:val="auto"/>
        </w:rPr>
        <w:t>五、</w:t>
      </w:r>
      <w:r>
        <w:rPr>
          <w:rFonts w:hint="eastAsia" w:ascii="仿宋" w:hAnsi="仿宋" w:eastAsia="仿宋"/>
          <w:b w:val="0"/>
          <w:color w:val="auto"/>
        </w:rPr>
        <w:t>财</w:t>
      </w:r>
      <w:r>
        <w:rPr>
          <w:rStyle w:val="29"/>
          <w:rFonts w:hint="eastAsia" w:ascii="仿宋" w:hAnsi="仿宋" w:eastAsia="仿宋"/>
          <w:b w:val="0"/>
          <w:bCs w:val="0"/>
          <w:color w:val="auto"/>
        </w:rPr>
        <w:t>政拨款支出决算明细表</w:t>
      </w:r>
      <w:bookmarkEnd w:id="58"/>
      <w:bookmarkStart w:id="59" w:name="_Toc15396624"/>
    </w:p>
    <w:p>
      <w:pPr>
        <w:pStyle w:val="5"/>
        <w:rPr>
          <w:rFonts w:ascii="仿宋" w:hAnsi="仿宋" w:eastAsia="仿宋"/>
          <w:color w:val="auto"/>
        </w:rPr>
      </w:pPr>
      <w:r>
        <w:rPr>
          <w:rStyle w:val="29"/>
          <w:rFonts w:hint="eastAsia" w:ascii="仿宋" w:hAnsi="仿宋" w:eastAsia="仿宋"/>
          <w:b w:val="0"/>
          <w:bCs w:val="0"/>
          <w:color w:val="auto"/>
        </w:rPr>
        <w:t>六、</w:t>
      </w:r>
      <w:r>
        <w:rPr>
          <w:rFonts w:hint="eastAsia" w:ascii="仿宋" w:hAnsi="仿宋" w:eastAsia="仿宋"/>
          <w:b w:val="0"/>
          <w:color w:val="auto"/>
        </w:rPr>
        <w:t>一</w:t>
      </w:r>
      <w:r>
        <w:rPr>
          <w:rStyle w:val="29"/>
          <w:rFonts w:hint="eastAsia" w:ascii="仿宋" w:hAnsi="仿宋" w:eastAsia="仿宋"/>
          <w:b w:val="0"/>
          <w:bCs w:val="0"/>
          <w:color w:val="auto"/>
        </w:rPr>
        <w:t>般公共预算财政拨款支出决算表</w:t>
      </w:r>
      <w:bookmarkEnd w:id="59"/>
    </w:p>
    <w:p>
      <w:pPr>
        <w:pStyle w:val="5"/>
        <w:rPr>
          <w:rFonts w:ascii="仿宋" w:hAnsi="仿宋" w:eastAsia="仿宋"/>
          <w:color w:val="auto"/>
        </w:rPr>
      </w:pPr>
      <w:bookmarkStart w:id="60" w:name="_Toc15396625"/>
      <w:r>
        <w:rPr>
          <w:rStyle w:val="29"/>
          <w:rFonts w:hint="eastAsia" w:ascii="仿宋" w:hAnsi="仿宋" w:eastAsia="仿宋"/>
          <w:b w:val="0"/>
          <w:bCs w:val="0"/>
          <w:color w:val="auto"/>
        </w:rPr>
        <w:t>七、</w:t>
      </w:r>
      <w:r>
        <w:rPr>
          <w:rFonts w:hint="eastAsia" w:ascii="仿宋" w:hAnsi="仿宋" w:eastAsia="仿宋"/>
          <w:b w:val="0"/>
          <w:color w:val="auto"/>
        </w:rPr>
        <w:t>一</w:t>
      </w:r>
      <w:r>
        <w:rPr>
          <w:rStyle w:val="29"/>
          <w:rFonts w:hint="eastAsia" w:ascii="仿宋" w:hAnsi="仿宋" w:eastAsia="仿宋"/>
          <w:b w:val="0"/>
          <w:bCs w:val="0"/>
          <w:color w:val="auto"/>
        </w:rPr>
        <w:t>般公共预算财政拨款支出决算明细表</w:t>
      </w:r>
      <w:bookmarkEnd w:id="60"/>
    </w:p>
    <w:p>
      <w:pPr>
        <w:pStyle w:val="5"/>
        <w:rPr>
          <w:rFonts w:ascii="仿宋" w:hAnsi="仿宋" w:eastAsia="仿宋"/>
          <w:color w:val="auto"/>
        </w:rPr>
      </w:pPr>
      <w:bookmarkStart w:id="61" w:name="_Toc15396626"/>
      <w:r>
        <w:rPr>
          <w:rStyle w:val="29"/>
          <w:rFonts w:hint="eastAsia" w:ascii="仿宋" w:hAnsi="仿宋" w:eastAsia="仿宋"/>
          <w:b w:val="0"/>
          <w:bCs w:val="0"/>
          <w:color w:val="auto"/>
        </w:rPr>
        <w:t>八、</w:t>
      </w:r>
      <w:r>
        <w:rPr>
          <w:rFonts w:hint="eastAsia" w:ascii="仿宋" w:hAnsi="仿宋" w:eastAsia="仿宋"/>
          <w:b w:val="0"/>
          <w:color w:val="auto"/>
        </w:rPr>
        <w:t>一</w:t>
      </w:r>
      <w:r>
        <w:rPr>
          <w:rStyle w:val="29"/>
          <w:rFonts w:hint="eastAsia" w:ascii="仿宋" w:hAnsi="仿宋" w:eastAsia="仿宋"/>
          <w:b w:val="0"/>
          <w:bCs w:val="0"/>
          <w:color w:val="auto"/>
        </w:rPr>
        <w:t>般公共预算财政拨款基本支出决算表</w:t>
      </w:r>
      <w:bookmarkEnd w:id="61"/>
    </w:p>
    <w:p>
      <w:pPr>
        <w:pStyle w:val="5"/>
        <w:rPr>
          <w:rFonts w:ascii="仿宋" w:hAnsi="仿宋" w:eastAsia="仿宋"/>
          <w:color w:val="auto"/>
        </w:rPr>
      </w:pPr>
      <w:bookmarkStart w:id="62" w:name="_Toc15396627"/>
      <w:r>
        <w:rPr>
          <w:rStyle w:val="29"/>
          <w:rFonts w:hint="eastAsia" w:ascii="仿宋" w:hAnsi="仿宋" w:eastAsia="仿宋"/>
          <w:b w:val="0"/>
          <w:bCs w:val="0"/>
          <w:color w:val="auto"/>
        </w:rPr>
        <w:t>九、</w:t>
      </w:r>
      <w:r>
        <w:rPr>
          <w:rFonts w:hint="eastAsia" w:ascii="仿宋" w:hAnsi="仿宋" w:eastAsia="仿宋"/>
          <w:b w:val="0"/>
          <w:color w:val="auto"/>
        </w:rPr>
        <w:t>一</w:t>
      </w:r>
      <w:r>
        <w:rPr>
          <w:rStyle w:val="29"/>
          <w:rFonts w:hint="eastAsia" w:ascii="仿宋" w:hAnsi="仿宋" w:eastAsia="仿宋"/>
          <w:b w:val="0"/>
          <w:bCs w:val="0"/>
          <w:color w:val="auto"/>
        </w:rPr>
        <w:t>般公共预算财政拨款项目支出决算表</w:t>
      </w:r>
      <w:bookmarkEnd w:id="62"/>
    </w:p>
    <w:p>
      <w:pPr>
        <w:pStyle w:val="5"/>
        <w:rPr>
          <w:rFonts w:ascii="仿宋" w:hAnsi="仿宋" w:eastAsia="仿宋"/>
          <w:color w:val="auto"/>
        </w:rPr>
      </w:pPr>
      <w:bookmarkStart w:id="63" w:name="_Toc15396628"/>
      <w:r>
        <w:rPr>
          <w:rStyle w:val="29"/>
          <w:rFonts w:hint="eastAsia" w:ascii="仿宋" w:hAnsi="仿宋" w:eastAsia="仿宋"/>
          <w:b w:val="0"/>
          <w:bCs w:val="0"/>
          <w:color w:val="auto"/>
        </w:rPr>
        <w:t>十、</w:t>
      </w:r>
      <w:bookmarkEnd w:id="63"/>
      <w:r>
        <w:rPr>
          <w:rFonts w:hint="eastAsia" w:ascii="仿宋" w:hAnsi="仿宋" w:eastAsia="仿宋"/>
          <w:b w:val="0"/>
          <w:color w:val="auto"/>
        </w:rPr>
        <w:t>政</w:t>
      </w:r>
      <w:r>
        <w:rPr>
          <w:rStyle w:val="29"/>
          <w:rFonts w:hint="eastAsia" w:ascii="仿宋" w:hAnsi="仿宋" w:eastAsia="仿宋"/>
          <w:b w:val="0"/>
          <w:bCs w:val="0"/>
          <w:color w:val="auto"/>
        </w:rPr>
        <w:t>府性基金预算财政拨款收入支出决算表</w:t>
      </w:r>
    </w:p>
    <w:p>
      <w:pPr>
        <w:pStyle w:val="5"/>
        <w:rPr>
          <w:rFonts w:ascii="仿宋" w:hAnsi="仿宋" w:eastAsia="仿宋"/>
          <w:color w:val="auto"/>
        </w:rPr>
      </w:pPr>
      <w:bookmarkStart w:id="64" w:name="_Toc15396629"/>
      <w:r>
        <w:rPr>
          <w:rStyle w:val="29"/>
          <w:rFonts w:hint="eastAsia" w:ascii="仿宋" w:hAnsi="仿宋" w:eastAsia="仿宋"/>
          <w:b w:val="0"/>
          <w:bCs w:val="0"/>
          <w:color w:val="auto"/>
        </w:rPr>
        <w:t>十一、</w:t>
      </w:r>
      <w:bookmarkEnd w:id="64"/>
      <w:r>
        <w:rPr>
          <w:rFonts w:hint="eastAsia" w:ascii="仿宋" w:hAnsi="仿宋" w:eastAsia="仿宋"/>
          <w:b w:val="0"/>
          <w:color w:val="auto"/>
        </w:rPr>
        <w:t>国</w:t>
      </w:r>
      <w:r>
        <w:rPr>
          <w:rStyle w:val="29"/>
          <w:rFonts w:hint="eastAsia" w:ascii="仿宋" w:hAnsi="仿宋" w:eastAsia="仿宋"/>
          <w:b w:val="0"/>
          <w:bCs w:val="0"/>
          <w:color w:val="auto"/>
        </w:rPr>
        <w:t>有资本经营预算财政拨款收入支出决算表</w:t>
      </w:r>
    </w:p>
    <w:p>
      <w:pPr>
        <w:pStyle w:val="5"/>
        <w:rPr>
          <w:rFonts w:ascii="仿宋" w:hAnsi="仿宋" w:eastAsia="仿宋"/>
          <w:color w:val="auto"/>
        </w:rPr>
      </w:pPr>
      <w:bookmarkStart w:id="65" w:name="_Toc15396630"/>
      <w:r>
        <w:rPr>
          <w:rStyle w:val="29"/>
          <w:rFonts w:hint="eastAsia" w:ascii="仿宋" w:hAnsi="仿宋" w:eastAsia="仿宋"/>
          <w:b w:val="0"/>
          <w:bCs w:val="0"/>
          <w:color w:val="auto"/>
        </w:rPr>
        <w:t>十二、</w:t>
      </w:r>
      <w:bookmarkEnd w:id="65"/>
      <w:r>
        <w:rPr>
          <w:rStyle w:val="29"/>
          <w:rFonts w:hint="eastAsia" w:ascii="仿宋" w:hAnsi="仿宋" w:eastAsia="仿宋"/>
          <w:b w:val="0"/>
          <w:bCs w:val="0"/>
          <w:color w:val="auto"/>
        </w:rPr>
        <w:t>国有资本经营预算财政拨款支出决算表</w:t>
      </w:r>
    </w:p>
    <w:p>
      <w:pPr>
        <w:pStyle w:val="5"/>
        <w:rPr>
          <w:rFonts w:eastAsia="仿宋"/>
          <w:color w:val="auto"/>
        </w:rPr>
      </w:pPr>
      <w:bookmarkStart w:id="66" w:name="_Toc15396631"/>
      <w:r>
        <w:rPr>
          <w:rStyle w:val="29"/>
          <w:rFonts w:hint="eastAsia" w:ascii="仿宋" w:hAnsi="仿宋" w:eastAsia="仿宋"/>
          <w:b w:val="0"/>
          <w:bCs w:val="0"/>
          <w:color w:val="auto"/>
        </w:rPr>
        <w:t>十三、</w:t>
      </w:r>
      <w:bookmarkEnd w:id="66"/>
      <w:r>
        <w:rPr>
          <w:rStyle w:val="29"/>
          <w:rFonts w:hint="eastAsia" w:ascii="仿宋" w:hAnsi="仿宋" w:eastAsia="仿宋"/>
          <w:b w:val="0"/>
          <w:bCs w:val="0"/>
          <w:color w:val="auto"/>
        </w:rPr>
        <w:t>财政拨款“三公”经费支出决算表</w:t>
      </w:r>
    </w:p>
    <w:sectPr>
      <w:headerReference r:id="rId3" w:type="default"/>
      <w:footerReference r:id="rId4" w:type="default"/>
      <w:pgSz w:w="11906" w:h="16838"/>
      <w:pgMar w:top="1440" w:right="1417" w:bottom="1440" w:left="1587"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3"/>
          <w:jc w:val="center"/>
        </w:pPr>
        <w:r>
          <w:fldChar w:fldCharType="begin"/>
        </w:r>
        <w:r>
          <w:instrText xml:space="preserve">PAGE   \* MERGEFORMAT</w:instrText>
        </w:r>
        <w:r>
          <w:fldChar w:fldCharType="separate"/>
        </w:r>
        <w:r>
          <w:rPr>
            <w:lang w:val="zh-CN"/>
          </w:rPr>
          <w:t>3</w:t>
        </w:r>
        <w: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Y1YmYzYmQ3OGM4ZTNlODU4OGM1M2ExMDZlZDIxNDA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71771"/>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5F7D55"/>
    <w:rsid w:val="00605688"/>
    <w:rsid w:val="006070AF"/>
    <w:rsid w:val="00607E6C"/>
    <w:rsid w:val="006101B1"/>
    <w:rsid w:val="00614E44"/>
    <w:rsid w:val="0062270A"/>
    <w:rsid w:val="00622830"/>
    <w:rsid w:val="00623DA0"/>
    <w:rsid w:val="00630AEF"/>
    <w:rsid w:val="006325F8"/>
    <w:rsid w:val="00633463"/>
    <w:rsid w:val="00634C9A"/>
    <w:rsid w:val="006417E8"/>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956AA"/>
    <w:rsid w:val="00CB4E70"/>
    <w:rsid w:val="00CC09B6"/>
    <w:rsid w:val="00CC666F"/>
    <w:rsid w:val="00CD1E3F"/>
    <w:rsid w:val="00CE44F6"/>
    <w:rsid w:val="00CE49DA"/>
    <w:rsid w:val="00CE7B61"/>
    <w:rsid w:val="00D00095"/>
    <w:rsid w:val="00D114F0"/>
    <w:rsid w:val="00D16AF9"/>
    <w:rsid w:val="00D20620"/>
    <w:rsid w:val="00D254F7"/>
    <w:rsid w:val="00D26091"/>
    <w:rsid w:val="00D2685C"/>
    <w:rsid w:val="00D27CC5"/>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6239"/>
    <w:rsid w:val="00EF77C6"/>
    <w:rsid w:val="00F05438"/>
    <w:rsid w:val="00F06A16"/>
    <w:rsid w:val="00F1361C"/>
    <w:rsid w:val="00F156F0"/>
    <w:rsid w:val="00F160C7"/>
    <w:rsid w:val="00F2408F"/>
    <w:rsid w:val="00F240E9"/>
    <w:rsid w:val="00F36D8F"/>
    <w:rsid w:val="00F417B1"/>
    <w:rsid w:val="00F45853"/>
    <w:rsid w:val="00F602DF"/>
    <w:rsid w:val="00F705E3"/>
    <w:rsid w:val="00F754A1"/>
    <w:rsid w:val="00F81FD9"/>
    <w:rsid w:val="00F841AA"/>
    <w:rsid w:val="00F84A94"/>
    <w:rsid w:val="00F87E96"/>
    <w:rsid w:val="00FA23E8"/>
    <w:rsid w:val="00FD3CC1"/>
    <w:rsid w:val="00FF1E02"/>
    <w:rsid w:val="00FF30B4"/>
    <w:rsid w:val="01142271"/>
    <w:rsid w:val="015975B8"/>
    <w:rsid w:val="019D4C2A"/>
    <w:rsid w:val="01E84593"/>
    <w:rsid w:val="020A1737"/>
    <w:rsid w:val="02143E91"/>
    <w:rsid w:val="022E39A6"/>
    <w:rsid w:val="03515DC8"/>
    <w:rsid w:val="049A26BF"/>
    <w:rsid w:val="05982825"/>
    <w:rsid w:val="066E0107"/>
    <w:rsid w:val="070842D7"/>
    <w:rsid w:val="078D0254"/>
    <w:rsid w:val="07996F6E"/>
    <w:rsid w:val="09757925"/>
    <w:rsid w:val="09790DA2"/>
    <w:rsid w:val="0A2032A3"/>
    <w:rsid w:val="0AEA1A6C"/>
    <w:rsid w:val="0B4C07B3"/>
    <w:rsid w:val="0BFA0245"/>
    <w:rsid w:val="0C321AB2"/>
    <w:rsid w:val="0F7200CA"/>
    <w:rsid w:val="0F98263C"/>
    <w:rsid w:val="101860EC"/>
    <w:rsid w:val="104238F8"/>
    <w:rsid w:val="10C055FF"/>
    <w:rsid w:val="118107EC"/>
    <w:rsid w:val="12092247"/>
    <w:rsid w:val="13D50BC4"/>
    <w:rsid w:val="143C2909"/>
    <w:rsid w:val="16BB723D"/>
    <w:rsid w:val="17ED56C3"/>
    <w:rsid w:val="1BD62837"/>
    <w:rsid w:val="1BE8440E"/>
    <w:rsid w:val="1D155CEE"/>
    <w:rsid w:val="1FF35744"/>
    <w:rsid w:val="20BB0677"/>
    <w:rsid w:val="21F26E49"/>
    <w:rsid w:val="22946C6E"/>
    <w:rsid w:val="23860B96"/>
    <w:rsid w:val="240371BF"/>
    <w:rsid w:val="262A6A6F"/>
    <w:rsid w:val="26D23FB3"/>
    <w:rsid w:val="29FD04D3"/>
    <w:rsid w:val="2A944F41"/>
    <w:rsid w:val="2B38782E"/>
    <w:rsid w:val="2C8A61B5"/>
    <w:rsid w:val="2CAF14F0"/>
    <w:rsid w:val="2D9E4F0B"/>
    <w:rsid w:val="2DC07DFB"/>
    <w:rsid w:val="2DF04E50"/>
    <w:rsid w:val="2F040D46"/>
    <w:rsid w:val="3029312E"/>
    <w:rsid w:val="30B8125D"/>
    <w:rsid w:val="319F7F4E"/>
    <w:rsid w:val="32085CA7"/>
    <w:rsid w:val="32F37DAA"/>
    <w:rsid w:val="3304709D"/>
    <w:rsid w:val="33E525E3"/>
    <w:rsid w:val="36AA5135"/>
    <w:rsid w:val="376D39B2"/>
    <w:rsid w:val="37E16F03"/>
    <w:rsid w:val="3850645F"/>
    <w:rsid w:val="38D469F0"/>
    <w:rsid w:val="3A62300D"/>
    <w:rsid w:val="3D5D2A98"/>
    <w:rsid w:val="3D98207C"/>
    <w:rsid w:val="3E58088C"/>
    <w:rsid w:val="3E78745D"/>
    <w:rsid w:val="3ECE3C36"/>
    <w:rsid w:val="3F483E4C"/>
    <w:rsid w:val="43707B79"/>
    <w:rsid w:val="44E233DE"/>
    <w:rsid w:val="44E268DA"/>
    <w:rsid w:val="4542431F"/>
    <w:rsid w:val="4863104A"/>
    <w:rsid w:val="4A243BBE"/>
    <w:rsid w:val="4A627F82"/>
    <w:rsid w:val="4B0E749A"/>
    <w:rsid w:val="4B4F25DA"/>
    <w:rsid w:val="4BE068DB"/>
    <w:rsid w:val="4C82294E"/>
    <w:rsid w:val="4D577224"/>
    <w:rsid w:val="4EAB630A"/>
    <w:rsid w:val="4ECE2238"/>
    <w:rsid w:val="51AA0EFE"/>
    <w:rsid w:val="51FE227C"/>
    <w:rsid w:val="52AF72C9"/>
    <w:rsid w:val="52EE02CF"/>
    <w:rsid w:val="53481E57"/>
    <w:rsid w:val="536621CA"/>
    <w:rsid w:val="537E6D0A"/>
    <w:rsid w:val="546422EF"/>
    <w:rsid w:val="54DF2FCC"/>
    <w:rsid w:val="558F1F29"/>
    <w:rsid w:val="57E27CAE"/>
    <w:rsid w:val="58B229BB"/>
    <w:rsid w:val="59494020"/>
    <w:rsid w:val="5AF92295"/>
    <w:rsid w:val="5B4D5910"/>
    <w:rsid w:val="5B686CE2"/>
    <w:rsid w:val="5CD71FC4"/>
    <w:rsid w:val="5E2372E8"/>
    <w:rsid w:val="60140F00"/>
    <w:rsid w:val="611C6C26"/>
    <w:rsid w:val="627E3247"/>
    <w:rsid w:val="63952309"/>
    <w:rsid w:val="63F17E5D"/>
    <w:rsid w:val="662B38A8"/>
    <w:rsid w:val="66B80FC4"/>
    <w:rsid w:val="66EC3434"/>
    <w:rsid w:val="67CE3335"/>
    <w:rsid w:val="68544851"/>
    <w:rsid w:val="69611F56"/>
    <w:rsid w:val="696A0640"/>
    <w:rsid w:val="6A0C1B0B"/>
    <w:rsid w:val="6C4A05C8"/>
    <w:rsid w:val="6CB34F54"/>
    <w:rsid w:val="6CC56477"/>
    <w:rsid w:val="6E2579AD"/>
    <w:rsid w:val="6E4B50F4"/>
    <w:rsid w:val="6E7E3605"/>
    <w:rsid w:val="6EC04BAC"/>
    <w:rsid w:val="6FF5CC65"/>
    <w:rsid w:val="715C0E4B"/>
    <w:rsid w:val="72135D18"/>
    <w:rsid w:val="72734D90"/>
    <w:rsid w:val="73AD73D5"/>
    <w:rsid w:val="73B6EB34"/>
    <w:rsid w:val="73CF16C6"/>
    <w:rsid w:val="73E876D6"/>
    <w:rsid w:val="744731E5"/>
    <w:rsid w:val="74D13A12"/>
    <w:rsid w:val="76096E75"/>
    <w:rsid w:val="76233D1B"/>
    <w:rsid w:val="768B7966"/>
    <w:rsid w:val="76E3355F"/>
    <w:rsid w:val="7734717B"/>
    <w:rsid w:val="778769C8"/>
    <w:rsid w:val="779E3E95"/>
    <w:rsid w:val="79021DF7"/>
    <w:rsid w:val="79EE5BA4"/>
    <w:rsid w:val="7A431389"/>
    <w:rsid w:val="7A894339"/>
    <w:rsid w:val="7B2E0A51"/>
    <w:rsid w:val="7BC92E34"/>
    <w:rsid w:val="7D905C13"/>
    <w:rsid w:val="7E3C3C99"/>
    <w:rsid w:val="7EEF11D3"/>
    <w:rsid w:val="7F1B0EE2"/>
    <w:rsid w:val="7FA30C79"/>
    <w:rsid w:val="7FB7269E"/>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5"/>
    <w:qFormat/>
    <w:uiPriority w:val="99"/>
    <w:pPr>
      <w:spacing w:beforeLines="30"/>
    </w:pPr>
    <w:rPr>
      <w:rFonts w:ascii="仿宋_GB2312" w:eastAsia="仿宋_GB2312"/>
      <w:kern w:val="0"/>
      <w:sz w:val="30"/>
    </w:rPr>
  </w:style>
  <w:style w:type="paragraph" w:styleId="3">
    <w:name w:val="footer"/>
    <w:basedOn w:val="1"/>
    <w:next w:val="1"/>
    <w:link w:val="23"/>
    <w:qFormat/>
    <w:uiPriority w:val="99"/>
    <w:pPr>
      <w:tabs>
        <w:tab w:val="center" w:pos="4153"/>
        <w:tab w:val="right" w:pos="8306"/>
      </w:tabs>
      <w:snapToGrid w:val="0"/>
      <w:jc w:val="left"/>
    </w:pPr>
    <w:rPr>
      <w:rFonts w:ascii="Calibri" w:hAnsi="Calibri"/>
      <w:kern w:val="0"/>
      <w:sz w:val="18"/>
      <w:szCs w:val="18"/>
    </w:rPr>
  </w:style>
  <w:style w:type="paragraph" w:styleId="7">
    <w:name w:val="Body Text Indent"/>
    <w:basedOn w:val="1"/>
    <w:qFormat/>
    <w:uiPriority w:val="0"/>
    <w:pPr>
      <w:spacing w:after="120"/>
      <w:ind w:left="200"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Body Text First Indent 2"/>
    <w:basedOn w:val="7"/>
    <w:unhideWhenUsed/>
    <w:qFormat/>
    <w:uiPriority w:val="99"/>
    <w:pPr>
      <w:ind w:firstLine="420" w:firstLine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0"/>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3"/>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2"/>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4"/>
    <w:qFormat/>
    <w:uiPriority w:val="9"/>
    <w:rPr>
      <w:rFonts w:ascii="Times New Roman" w:hAnsi="Times New Roman"/>
      <w:b/>
      <w:bCs/>
      <w:kern w:val="44"/>
      <w:sz w:val="44"/>
      <w:szCs w:val="44"/>
    </w:rPr>
  </w:style>
  <w:style w:type="character" w:customStyle="1" w:styleId="29">
    <w:name w:val="标题 2 Char"/>
    <w:basedOn w:val="16"/>
    <w:link w:val="5"/>
    <w:qFormat/>
    <w:uiPriority w:val="9"/>
    <w:rPr>
      <w:rFonts w:asciiTheme="majorHAnsi" w:hAnsiTheme="majorHAnsi" w:eastAsiaTheme="majorEastAsia" w:cstheme="majorBidi"/>
      <w:b/>
      <w:bCs/>
      <w:kern w:val="2"/>
      <w:sz w:val="32"/>
      <w:szCs w:val="32"/>
    </w:rPr>
  </w:style>
  <w:style w:type="paragraph" w:customStyle="1" w:styleId="30">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1">
    <w:name w:val="批注框文本 Char"/>
    <w:basedOn w:val="16"/>
    <w:link w:val="9"/>
    <w:semiHidden/>
    <w:qFormat/>
    <w:uiPriority w:val="99"/>
    <w:rPr>
      <w:rFonts w:ascii="Times New Roman" w:hAnsi="Times New Roman"/>
      <w:kern w:val="2"/>
      <w:sz w:val="18"/>
      <w:szCs w:val="18"/>
    </w:rPr>
  </w:style>
  <w:style w:type="character" w:customStyle="1" w:styleId="32">
    <w:name w:val="标题 3 Char"/>
    <w:basedOn w:val="16"/>
    <w:link w:val="6"/>
    <w:qFormat/>
    <w:uiPriority w:val="9"/>
    <w:rPr>
      <w:rFonts w:ascii="Times New Roman" w:hAnsi="Times New Roman"/>
      <w:b/>
      <w:bCs/>
      <w:kern w:val="2"/>
      <w:sz w:val="32"/>
      <w:szCs w:val="32"/>
    </w:rPr>
  </w:style>
  <w:style w:type="paragraph" w:customStyle="1" w:styleId="33">
    <w:name w:val="TOC 标题2"/>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0915;&#31639;&#20844;&#24320;&#38468;&#2227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20915;&#31639;&#20844;&#24320;&#38468;&#2227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20915;&#31639;&#20844;&#24320;&#38468;&#2227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esktop\2&#20915;&#31639;&#20844;&#24320;&#38468;&#22270;.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Desktop\2&#20915;&#31639;&#20844;&#24320;&#38468;&#22270;.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Desktop\2&#20915;&#31639;&#20844;&#24320;&#38468;&#22270;.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istrator\Desktop\2&#20915;&#31639;&#20844;&#24320;&#38468;&#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dk1"/>
                </a:solidFill>
                <a:latin typeface="+mn-lt"/>
                <a:ea typeface="+mn-ea"/>
                <a:cs typeface="+mn-cs"/>
              </a:defRPr>
            </a:pPr>
            <a:r>
              <a:rPr lang="zh-CN"/>
              <a:t>收支决算总计情况对比图</a:t>
            </a:r>
            <a:endParaRPr lang="zh-CN"/>
          </a:p>
        </c:rich>
      </c:tx>
      <c:layout/>
      <c:overlay val="0"/>
    </c:title>
    <c:autoTitleDeleted val="0"/>
    <c:plotArea>
      <c:layout/>
      <c:barChart>
        <c:barDir val="col"/>
        <c:grouping val="clustered"/>
        <c:varyColors val="0"/>
        <c:ser>
          <c:idx val="0"/>
          <c:order val="0"/>
          <c:tx>
            <c:strRef>
              <c:f>'[决算公开附图.xlsx]收、支决算总体变动情况图1 (2)'!$C$13</c:f>
              <c:strCache>
                <c:ptCount val="1"/>
                <c:pt idx="0">
                  <c:v>金额</c:v>
                </c:pt>
              </c:strCache>
            </c:strRef>
          </c:tx>
          <c:invertIfNegative val="0"/>
          <c:dPt>
            <c:idx val="1"/>
            <c:invertIfNegative val="0"/>
            <c:bubble3D val="0"/>
            <c:spPr>
              <a:solidFill>
                <a:schemeClr val="accent2"/>
              </a:solidFill>
              <a:ln w="25400" cap="flat" cmpd="sng" algn="ctr">
                <a:solidFill>
                  <a:schemeClr val="accent2">
                    <a:shade val="50000"/>
                  </a:schemeClr>
                </a:solidFill>
                <a:prstDash val="solid"/>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'[决算公开附图.xlsx]收、支决算总体变动情况图1 (2)'!$B$14:$B$15</c:f>
              <c:strCache>
                <c:ptCount val="2"/>
                <c:pt idx="0">
                  <c:v>2021年</c:v>
                </c:pt>
                <c:pt idx="1">
                  <c:v>2022年</c:v>
                </c:pt>
              </c:strCache>
            </c:strRef>
          </c:cat>
          <c:val>
            <c:numRef>
              <c:f>'[决算公开附图.xlsx]收、支决算总体变动情况图1 (2)'!$C$14:$C$15</c:f>
              <c:numCache>
                <c:formatCode>General</c:formatCode>
                <c:ptCount val="2"/>
                <c:pt idx="0">
                  <c:v>1639.36</c:v>
                </c:pt>
                <c:pt idx="1">
                  <c:v>1697.84</c:v>
                </c:pt>
              </c:numCache>
            </c:numRef>
          </c:val>
        </c:ser>
        <c:dLbls>
          <c:showLegendKey val="0"/>
          <c:showVal val="1"/>
          <c:showCatName val="0"/>
          <c:showSerName val="0"/>
          <c:showPercent val="0"/>
          <c:showBubbleSize val="0"/>
        </c:dLbls>
        <c:gapWidth val="150"/>
        <c:axId val="104356864"/>
        <c:axId val="104379136"/>
      </c:barChart>
      <c:catAx>
        <c:axId val="10435686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crossAx val="104379136"/>
        <c:crosses val="autoZero"/>
        <c:auto val="1"/>
        <c:lblAlgn val="ctr"/>
        <c:lblOffset val="100"/>
        <c:noMultiLvlLbl val="0"/>
      </c:catAx>
      <c:valAx>
        <c:axId val="10437913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crossAx val="104356864"/>
        <c:crosses val="autoZero"/>
        <c:crossBetween val="between"/>
      </c:valAx>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legend>
    <c:plotVisOnly val="1"/>
    <c:dispBlanksAs val="gap"/>
    <c:showDLblsOverMax val="0"/>
  </c:chart>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round/>
    </a:ln>
    <a:effectLst>
      <a:outerShdw blurRad="40000" dist="20000" dir="5400000" rotWithShape="0">
        <a:srgbClr val="000000">
          <a:alpha val="38000"/>
        </a:srgbClr>
      </a:outerShdw>
    </a:effectLst>
  </c:spPr>
  <c:txPr>
    <a:bodyPr/>
    <a:lstStyle/>
    <a:p>
      <a:pPr>
        <a:defRPr lang="zh-CN">
          <a:solidFill>
            <a:schemeClr val="dk1"/>
          </a:solidFill>
          <a:latin typeface="+mn-lt"/>
          <a:ea typeface="+mn-ea"/>
          <a:cs typeface="+mn-cs"/>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dk1"/>
                </a:solidFill>
                <a:latin typeface="+mn-lt"/>
                <a:ea typeface="+mn-ea"/>
                <a:cs typeface="+mn-cs"/>
              </a:defRPr>
            </a:pPr>
            <a:r>
              <a:rPr lang="zh-CN" altLang="en-US"/>
              <a:t>收入构成情况</a:t>
            </a:r>
            <a:endParaRPr lang="zh-CN"/>
          </a:p>
        </c:rich>
      </c:tx>
      <c:layout/>
      <c:overlay val="0"/>
    </c:title>
    <c:autoTitleDeleted val="0"/>
    <c:plotArea>
      <c:layout/>
      <c:pieChart>
        <c:varyColors val="1"/>
        <c:ser>
          <c:idx val="0"/>
          <c:order val="0"/>
          <c:tx>
            <c:strRef>
              <c:f>[决算公开附图.xlsx]收入决算结构图2!$B$6</c:f>
              <c:strCache>
                <c:ptCount val="1"/>
                <c:pt idx="0">
                  <c:v>占比</c:v>
                </c:pt>
              </c:strCache>
            </c:strRef>
          </c:tx>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[决算公开附图.xlsx]收入决算结构图2!$A$7:$A$8</c:f>
              <c:strCache>
                <c:ptCount val="2"/>
                <c:pt idx="0">
                  <c:v>一般公共预算财政拨款收入1627.84万元</c:v>
                </c:pt>
                <c:pt idx="1">
                  <c:v>其他收入0万元</c:v>
                </c:pt>
              </c:strCache>
            </c:strRef>
          </c:cat>
          <c:val>
            <c:numRef>
              <c:f>[决算公开附图.xlsx]收入决算结构图2!$B$7:$B$8</c:f>
              <c:numCache>
                <c:formatCode>0.00%</c:formatCode>
                <c:ptCount val="2"/>
                <c:pt idx="0">
                  <c:v>1</c:v>
                </c:pt>
                <c:pt idx="1">
                  <c:v>0</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legend>
    <c:plotVisOnly val="1"/>
    <c:dispBlanksAs val="gap"/>
    <c:showDLblsOverMax val="0"/>
  </c:chart>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round/>
    </a:ln>
    <a:effectLst>
      <a:outerShdw blurRad="40000" dist="20000" dir="5400000" rotWithShape="0">
        <a:srgbClr val="000000">
          <a:alpha val="38000"/>
        </a:srgbClr>
      </a:outerShdw>
    </a:effectLst>
  </c:spPr>
  <c:txPr>
    <a:bodyPr/>
    <a:lstStyle/>
    <a:p>
      <a:pPr>
        <a:defRPr lang="zh-CN">
          <a:solidFill>
            <a:schemeClr val="dk1"/>
          </a:solidFill>
          <a:latin typeface="+mn-lt"/>
          <a:ea typeface="+mn-ea"/>
          <a:cs typeface="+mn-cs"/>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dk1"/>
                </a:solidFill>
                <a:latin typeface="+mn-lt"/>
                <a:ea typeface="+mn-ea"/>
                <a:cs typeface="+mn-cs"/>
              </a:defRPr>
            </a:pPr>
            <a:r>
              <a:rPr lang="zh-CN"/>
              <a:t>支出决算结构图</a:t>
            </a:r>
            <a:endParaRPr lang="zh-CN"/>
          </a:p>
        </c:rich>
      </c:tx>
      <c:layout/>
      <c:overlay val="0"/>
    </c:title>
    <c:autoTitleDeleted val="0"/>
    <c:plotArea>
      <c:layout/>
      <c:pieChart>
        <c:varyColors val="1"/>
        <c:ser>
          <c:idx val="0"/>
          <c:order val="0"/>
          <c:tx>
            <c:strRef>
              <c:f>[决算公开附图.xlsx]支出决算结构图3!$B$9</c:f>
              <c:strCache>
                <c:ptCount val="1"/>
                <c:pt idx="0">
                  <c:v>占比</c:v>
                </c:pt>
              </c:strCache>
            </c:strRef>
          </c:tx>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[决算公开附图.xlsx]支出决算结构图3!$A$10:$A$11</c:f>
              <c:strCache>
                <c:ptCount val="2"/>
                <c:pt idx="0">
                  <c:v>基本支出1355.1万元</c:v>
                </c:pt>
                <c:pt idx="1">
                  <c:v>项目支出342.74万元</c:v>
                </c:pt>
              </c:strCache>
            </c:strRef>
          </c:cat>
          <c:val>
            <c:numRef>
              <c:f>[决算公开附图.xlsx]支出决算结构图3!$B$10:$B$11</c:f>
              <c:numCache>
                <c:formatCode>0.00%</c:formatCode>
                <c:ptCount val="2"/>
                <c:pt idx="0">
                  <c:v>0.7981</c:v>
                </c:pt>
                <c:pt idx="1">
                  <c:v>0.2019</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legend>
    <c:plotVisOnly val="1"/>
    <c:dispBlanksAs val="gap"/>
    <c:showDLblsOverMax val="0"/>
  </c:chart>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round/>
    </a:ln>
    <a:effectLst>
      <a:outerShdw blurRad="40000" dist="20000" dir="5400000" rotWithShape="0">
        <a:srgbClr val="000000">
          <a:alpha val="38000"/>
        </a:srgbClr>
      </a:outerShdw>
    </a:effectLst>
  </c:spPr>
  <c:txPr>
    <a:bodyPr/>
    <a:lstStyle/>
    <a:p>
      <a:pPr>
        <a:defRPr lang="zh-CN">
          <a:solidFill>
            <a:schemeClr val="dk1"/>
          </a:solidFill>
          <a:latin typeface="+mn-lt"/>
          <a:ea typeface="+mn-ea"/>
          <a:cs typeface="+mn-cs"/>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dk1"/>
                </a:solidFill>
                <a:latin typeface="+mn-lt"/>
                <a:ea typeface="+mn-ea"/>
                <a:cs typeface="+mn-cs"/>
              </a:defRPr>
            </a:pPr>
            <a:r>
              <a:rPr lang="zh-CN"/>
              <a:t>财政拨款收支决算总计情况对比图</a:t>
            </a:r>
            <a:endParaRPr lang="zh-CN"/>
          </a:p>
        </c:rich>
      </c:tx>
      <c:layout/>
      <c:overlay val="0"/>
    </c:title>
    <c:autoTitleDeleted val="0"/>
    <c:plotArea>
      <c:layout/>
      <c:barChart>
        <c:barDir val="col"/>
        <c:grouping val="clustered"/>
        <c:varyColors val="0"/>
        <c:ser>
          <c:idx val="0"/>
          <c:order val="0"/>
          <c:tx>
            <c:strRef>
              <c:f>'[2决算公开附图.xlsx]收、支决算总体变动情况图1 (2)'!$C$13</c:f>
              <c:strCache>
                <c:ptCount val="1"/>
                <c:pt idx="0">
                  <c:v>金额</c:v>
                </c:pt>
              </c:strCache>
            </c:strRef>
          </c:tx>
          <c:invertIfNegative val="0"/>
          <c:dPt>
            <c:idx val="1"/>
            <c:invertIfNegative val="0"/>
            <c:bubble3D val="0"/>
            <c:spPr>
              <a:solidFill>
                <a:schemeClr val="accent2"/>
              </a:solidFill>
              <a:ln w="25400" cap="flat" cmpd="sng" algn="ctr">
                <a:solidFill>
                  <a:schemeClr val="accent2">
                    <a:shade val="50000"/>
                  </a:schemeClr>
                </a:solidFill>
                <a:prstDash val="solid"/>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'[决算公开附图.xlsx]收、支决算总体变动情况图1 (2)'!$B$14:$B$15</c:f>
              <c:strCache>
                <c:ptCount val="2"/>
                <c:pt idx="0">
                  <c:v>2021年</c:v>
                </c:pt>
                <c:pt idx="1">
                  <c:v>2022年</c:v>
                </c:pt>
              </c:strCache>
            </c:strRef>
          </c:cat>
          <c:val>
            <c:numRef>
              <c:f>'[决算公开附图.xlsx]收、支决算总体变动情况图1 (2)'!$C$14:$C$15</c:f>
              <c:numCache>
                <c:formatCode>General</c:formatCode>
                <c:ptCount val="2"/>
                <c:pt idx="0">
                  <c:v>1639.36</c:v>
                </c:pt>
                <c:pt idx="1">
                  <c:v>1697.84</c:v>
                </c:pt>
              </c:numCache>
            </c:numRef>
          </c:val>
        </c:ser>
        <c:dLbls>
          <c:showLegendKey val="0"/>
          <c:showVal val="1"/>
          <c:showCatName val="0"/>
          <c:showSerName val="0"/>
          <c:showPercent val="0"/>
          <c:showBubbleSize val="0"/>
        </c:dLbls>
        <c:gapWidth val="150"/>
        <c:axId val="104356864"/>
        <c:axId val="104379136"/>
      </c:barChart>
      <c:catAx>
        <c:axId val="10435686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crossAx val="104379136"/>
        <c:crosses val="autoZero"/>
        <c:auto val="1"/>
        <c:lblAlgn val="ctr"/>
        <c:lblOffset val="100"/>
        <c:noMultiLvlLbl val="0"/>
      </c:catAx>
      <c:valAx>
        <c:axId val="10437913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crossAx val="104356864"/>
        <c:crosses val="autoZero"/>
        <c:crossBetween val="between"/>
      </c:valAx>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legend>
    <c:plotVisOnly val="1"/>
    <c:dispBlanksAs val="gap"/>
    <c:showDLblsOverMax val="0"/>
  </c:chart>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round/>
    </a:ln>
    <a:effectLst>
      <a:outerShdw blurRad="40000" dist="20000" dir="5400000" rotWithShape="0">
        <a:srgbClr val="000000">
          <a:alpha val="38000"/>
        </a:srgbClr>
      </a:outerShdw>
    </a:effectLst>
  </c:spPr>
  <c:txPr>
    <a:bodyPr/>
    <a:lstStyle/>
    <a:p>
      <a:pPr>
        <a:defRPr lang="zh-CN">
          <a:solidFill>
            <a:schemeClr val="dk1"/>
          </a:solidFill>
          <a:latin typeface="+mn-lt"/>
          <a:ea typeface="+mn-ea"/>
          <a:cs typeface="+mn-cs"/>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dk1"/>
                </a:solidFill>
                <a:latin typeface="+mn-lt"/>
                <a:ea typeface="+mn-ea"/>
                <a:cs typeface="+mn-cs"/>
              </a:defRPr>
            </a:pPr>
            <a:r>
              <a:rPr lang="zh-CN" sz="1600"/>
              <a:t>一般公共预算财政拨款支出决算变动情况</a:t>
            </a:r>
            <a:endParaRPr lang="zh-CN" sz="1600"/>
          </a:p>
        </c:rich>
      </c:tx>
      <c:layout>
        <c:manualLayout>
          <c:xMode val="edge"/>
          <c:yMode val="edge"/>
          <c:x val="0.0947476207685821"/>
          <c:y val="0.0964426877470356"/>
        </c:manualLayout>
      </c:layout>
      <c:overlay val="0"/>
    </c:title>
    <c:autoTitleDeleted val="0"/>
    <c:plotArea>
      <c:layout>
        <c:manualLayout>
          <c:layoutTarget val="inner"/>
          <c:xMode val="edge"/>
          <c:yMode val="edge"/>
          <c:x val="0.082881580532466"/>
          <c:y val="0.252371541501976"/>
          <c:w val="0.763883869413324"/>
          <c:h val="0.640909090909091"/>
        </c:manualLayout>
      </c:layout>
      <c:barChart>
        <c:barDir val="col"/>
        <c:grouping val="clustered"/>
        <c:varyColors val="0"/>
        <c:ser>
          <c:idx val="0"/>
          <c:order val="0"/>
          <c:tx>
            <c:strRef>
              <c:f>[2决算公开附图.xlsx]收、支决算总体变动情况图1!$C$13</c:f>
              <c:strCache>
                <c:ptCount val="1"/>
                <c:pt idx="0">
                  <c:v>金额</c:v>
                </c:pt>
              </c:strCache>
            </c:strRef>
          </c:tx>
          <c:invertIfNegative val="0"/>
          <c:dPt>
            <c:idx val="1"/>
            <c:invertIfNegative val="0"/>
            <c:bubble3D val="0"/>
            <c:spPr>
              <a:solidFill>
                <a:schemeClr val="accent2"/>
              </a:solidFill>
              <a:ln w="25400" cap="flat" cmpd="sng" algn="ctr">
                <a:solidFill>
                  <a:schemeClr val="accent2">
                    <a:shade val="50000"/>
                  </a:schemeClr>
                </a:solidFill>
                <a:prstDash val="solid"/>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[2决算公开附图.xlsx]收、支决算总体变动情况图1!$B$14:$B$15</c:f>
              <c:strCache>
                <c:ptCount val="2"/>
                <c:pt idx="0">
                  <c:v>2021年</c:v>
                </c:pt>
                <c:pt idx="1">
                  <c:v>2022年</c:v>
                </c:pt>
              </c:strCache>
            </c:strRef>
          </c:cat>
          <c:val>
            <c:numRef>
              <c:f>[2决算公开附图.xlsx]收、支决算总体变动情况图1!$C$14:$C$15</c:f>
              <c:numCache>
                <c:formatCode>General</c:formatCode>
                <c:ptCount val="2"/>
                <c:pt idx="0">
                  <c:v>1618.61</c:v>
                </c:pt>
                <c:pt idx="1">
                  <c:v>1697.84</c:v>
                </c:pt>
              </c:numCache>
            </c:numRef>
          </c:val>
        </c:ser>
        <c:dLbls>
          <c:showLegendKey val="0"/>
          <c:showVal val="1"/>
          <c:showCatName val="0"/>
          <c:showSerName val="0"/>
          <c:showPercent val="0"/>
          <c:showBubbleSize val="0"/>
        </c:dLbls>
        <c:gapWidth val="150"/>
        <c:axId val="84907136"/>
        <c:axId val="84908672"/>
      </c:barChart>
      <c:catAx>
        <c:axId val="84907136"/>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crossAx val="84908672"/>
        <c:crosses val="autoZero"/>
        <c:auto val="1"/>
        <c:lblAlgn val="ctr"/>
        <c:lblOffset val="100"/>
        <c:noMultiLvlLbl val="0"/>
      </c:catAx>
      <c:valAx>
        <c:axId val="8490867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crossAx val="84907136"/>
        <c:crosses val="autoZero"/>
        <c:crossBetween val="between"/>
      </c:valAx>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legend>
    <c:plotVisOnly val="1"/>
    <c:dispBlanksAs val="gap"/>
    <c:showDLblsOverMax val="0"/>
  </c:chart>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round/>
    </a:ln>
    <a:effectLst>
      <a:outerShdw blurRad="40000" dist="20000" dir="5400000" rotWithShape="0">
        <a:srgbClr val="000000">
          <a:alpha val="38000"/>
        </a:srgbClr>
      </a:outerShdw>
    </a:effectLst>
  </c:spPr>
  <c:txPr>
    <a:bodyPr/>
    <a:lstStyle/>
    <a:p>
      <a:pPr>
        <a:defRPr lang="zh-CN">
          <a:solidFill>
            <a:schemeClr val="dk1"/>
          </a:solidFill>
          <a:latin typeface="+mn-lt"/>
          <a:ea typeface="+mn-ea"/>
          <a:cs typeface="+mn-cs"/>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dk1"/>
                </a:solidFill>
                <a:latin typeface="+mn-lt"/>
                <a:ea typeface="+mn-ea"/>
                <a:cs typeface="+mn-cs"/>
              </a:defRPr>
            </a:pPr>
            <a:r>
              <a:rPr lang="zh-CN" altLang="en-US" sz="1600"/>
              <a:t>一般公共预算财政拨款支出决算结构情况图</a:t>
            </a:r>
            <a:endParaRPr lang="zh-CN" altLang="en-US" sz="1600"/>
          </a:p>
        </c:rich>
      </c:tx>
      <c:layout>
        <c:manualLayout>
          <c:xMode val="edge"/>
          <c:yMode val="edge"/>
          <c:x val="0.145282781602691"/>
          <c:y val="0.0446619573758399"/>
        </c:manualLayout>
      </c:layout>
      <c:overlay val="0"/>
    </c:title>
    <c:autoTitleDeleted val="0"/>
    <c:plotArea>
      <c:layout/>
      <c:pieChart>
        <c:varyColors val="1"/>
        <c:ser>
          <c:idx val="0"/>
          <c:order val="0"/>
          <c:tx>
            <c:strRef>
              <c:f>[2决算公开附图.xlsx]一般公共预算财政拨款支出决算结构图6!$C$16</c:f>
              <c:strCache>
                <c:ptCount val="1"/>
                <c:pt idx="0">
                  <c:v>占比</c:v>
                </c:pt>
              </c:strCache>
            </c:strRef>
          </c:tx>
          <c:explosion val="0"/>
          <c:dPt>
            <c:idx val="0"/>
            <c:bubble3D val="0"/>
          </c:dPt>
          <c:dPt>
            <c:idx val="1"/>
            <c:bubble3D val="0"/>
          </c:dPt>
          <c:dPt>
            <c:idx val="2"/>
            <c:bubble3D val="0"/>
          </c:dPt>
          <c:dPt>
            <c:idx val="3"/>
            <c:bubble3D val="0"/>
          </c:dPt>
          <c:dLbls>
            <c:dLbl>
              <c:idx val="0"/>
              <c:layout/>
              <c:dLblPos val="bestFit"/>
              <c:showLegendKey val="0"/>
              <c:showVal val="1"/>
              <c:showCatName val="0"/>
              <c:showSerName val="0"/>
              <c:showPercent val="0"/>
              <c:showBubbleSize val="0"/>
              <c:extLst>
                <c:ext xmlns:c15="http://schemas.microsoft.com/office/drawing/2012/chart" uri="{CE6537A1-D6FC-4f65-9D91-7224C49458BB}"/>
              </c:extLst>
            </c:dLbl>
            <c:dLbl>
              <c:idx val="1"/>
              <c:layout/>
              <c:dLblPos val="bestFit"/>
              <c:showLegendKey val="0"/>
              <c:showVal val="1"/>
              <c:showCatName val="0"/>
              <c:showSerName val="0"/>
              <c:showPercent val="0"/>
              <c:showBubbleSize val="0"/>
              <c:extLst>
                <c:ext xmlns:c15="http://schemas.microsoft.com/office/drawing/2012/chart" uri="{CE6537A1-D6FC-4f65-9D91-7224C49458BB}"/>
              </c:extLst>
            </c:dLbl>
            <c:dLbl>
              <c:idx val="2"/>
              <c:layout/>
              <c:dLblPos val="bestFit"/>
              <c:showLegendKey val="0"/>
              <c:showVal val="1"/>
              <c:showCatName val="0"/>
              <c:showSerName val="0"/>
              <c:showPercent val="0"/>
              <c:showBubbleSize val="0"/>
              <c:extLst>
                <c:ext xmlns:c15="http://schemas.microsoft.com/office/drawing/2012/chart" uri="{CE6537A1-D6FC-4f65-9D91-7224C49458BB}"/>
              </c:extLst>
            </c:dLbl>
            <c:dLbl>
              <c:idx val="3"/>
              <c:layout/>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[2决算公开附图.xlsx]一般公共预算财政拨款支出决算结构图6!$B$17:$B$20</c:f>
              <c:strCache>
                <c:ptCount val="4"/>
                <c:pt idx="0">
                  <c:v>一般公共服务支出1384.2万元</c:v>
                </c:pt>
                <c:pt idx="1">
                  <c:v>社会保障和就业支出161.15万元</c:v>
                </c:pt>
                <c:pt idx="2">
                  <c:v>卫生健康支出45.68万元</c:v>
                </c:pt>
                <c:pt idx="3">
                  <c:v>住房保障支出106.81万元</c:v>
                </c:pt>
              </c:strCache>
            </c:strRef>
          </c:cat>
          <c:val>
            <c:numRef>
              <c:f>[2决算公开附图.xlsx]一般公共预算财政拨款支出决算结构图6!$C$17:$C$20</c:f>
              <c:numCache>
                <c:formatCode>0.00%</c:formatCode>
                <c:ptCount val="4"/>
                <c:pt idx="0">
                  <c:v>0.8153</c:v>
                </c:pt>
                <c:pt idx="1">
                  <c:v>0.0949</c:v>
                </c:pt>
                <c:pt idx="2">
                  <c:v>0.0269</c:v>
                </c:pt>
                <c:pt idx="3">
                  <c:v>0.0629</c:v>
                </c:pt>
              </c:numCache>
            </c:numRef>
          </c:val>
        </c:ser>
        <c:dLbls>
          <c:showLegendKey val="0"/>
          <c:showVal val="0"/>
          <c:showCatName val="0"/>
          <c:showSerName val="0"/>
          <c:showPercent val="0"/>
          <c:showBubbleSize val="0"/>
          <c:showLeaderLines val="1"/>
        </c:dLbls>
        <c:firstSliceAng val="15"/>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legend>
    <c:plotVisOnly val="1"/>
    <c:dispBlanksAs val="gap"/>
    <c:showDLblsOverMax val="0"/>
  </c:chart>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round/>
    </a:ln>
    <a:effectLst>
      <a:outerShdw blurRad="40000" dist="20000" dir="5400000" rotWithShape="0">
        <a:srgbClr val="000000">
          <a:alpha val="38000"/>
        </a:srgbClr>
      </a:outerShdw>
    </a:effectLst>
  </c:spPr>
  <c:txPr>
    <a:bodyPr/>
    <a:lstStyle/>
    <a:p>
      <a:pPr>
        <a:defRPr lang="zh-CN">
          <a:solidFill>
            <a:schemeClr val="dk1"/>
          </a:solidFill>
          <a:latin typeface="+mn-lt"/>
          <a:ea typeface="+mn-ea"/>
          <a:cs typeface="+mn-cs"/>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dk1"/>
                </a:solidFill>
                <a:latin typeface="+mn-lt"/>
                <a:ea typeface="+mn-ea"/>
                <a:cs typeface="+mn-cs"/>
              </a:defRPr>
            </a:pPr>
            <a:r>
              <a:rPr lang="zh-CN" altLang="en-US"/>
              <a:t> </a:t>
            </a:r>
            <a:r>
              <a:rPr lang="en-US" altLang="zh-CN"/>
              <a:t>"</a:t>
            </a:r>
            <a:r>
              <a:rPr lang="zh-CN" altLang="en-US"/>
              <a:t>三公”经费财政拨款 支出结构图</a:t>
            </a:r>
            <a:endParaRPr lang="zh-CN" altLang="en-US"/>
          </a:p>
        </c:rich>
      </c:tx>
      <c:layout/>
      <c:overlay val="0"/>
    </c:title>
    <c:autoTitleDeleted val="0"/>
    <c:plotArea>
      <c:layout/>
      <c:pieChart>
        <c:varyColors val="1"/>
        <c:ser>
          <c:idx val="0"/>
          <c:order val="0"/>
          <c:tx>
            <c:strRef>
              <c:f>'[2决算公开附图.xlsx]“三公”经费财政拨款支出结构图7 '!$B$9</c:f>
              <c:strCache>
                <c:ptCount val="1"/>
                <c:pt idx="0">
                  <c:v>占比</c:v>
                </c:pt>
              </c:strCache>
            </c:strRef>
          </c:tx>
          <c:explosion val="0"/>
          <c:dPt>
            <c:idx val="0"/>
            <c:bubble3D val="0"/>
          </c:dPt>
          <c:dPt>
            <c:idx val="1"/>
            <c:bubble3D val="0"/>
          </c:dPt>
          <c:dPt>
            <c:idx val="2"/>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'[2决算公开附图.xlsx]“三公”经费财政拨款支出结构图7 '!$A$10:$A$12</c:f>
              <c:strCache>
                <c:ptCount val="3"/>
                <c:pt idx="0">
                  <c:v>因公出国（境）费支出0万元</c:v>
                </c:pt>
                <c:pt idx="1">
                  <c:v>公务用车购置及运行维护费支出14.86万元</c:v>
                </c:pt>
                <c:pt idx="2">
                  <c:v>公务接待费支出0万元</c:v>
                </c:pt>
              </c:strCache>
            </c:strRef>
          </c:cat>
          <c:val>
            <c:numRef>
              <c:f>'[2决算公开附图.xlsx]“三公”经费财政拨款支出结构图7 '!$B$10:$B$12</c:f>
              <c:numCache>
                <c:formatCode>0.00%</c:formatCode>
                <c:ptCount val="3"/>
                <c:pt idx="0">
                  <c:v>0</c:v>
                </c:pt>
                <c:pt idx="1">
                  <c:v>1</c:v>
                </c:pt>
                <c:pt idx="2">
                  <c:v>0</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legend>
    <c:plotVisOnly val="1"/>
    <c:dispBlanksAs val="gap"/>
    <c:showDLblsOverMax val="0"/>
  </c:chart>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round/>
    </a:ln>
    <a:effectLst>
      <a:outerShdw blurRad="40000" dist="20000" dir="5400000" rotWithShape="0">
        <a:srgbClr val="000000">
          <a:alpha val="38000"/>
        </a:srgbClr>
      </a:outerShdw>
    </a:effectLst>
  </c:spPr>
  <c:txPr>
    <a:bodyPr/>
    <a:lstStyle/>
    <a:p>
      <a:pPr>
        <a:defRPr lang="zh-CN">
          <a:solidFill>
            <a:schemeClr val="dk1"/>
          </a:solidFill>
          <a:latin typeface="+mn-lt"/>
          <a:ea typeface="+mn-ea"/>
          <a:cs typeface="+mn-cs"/>
        </a:defRPr>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30</Pages>
  <Words>11057</Words>
  <Characters>11978</Characters>
  <Lines>62</Lines>
  <Paragraphs>17</Paragraphs>
  <TotalTime>1</TotalTime>
  <ScaleCrop>false</ScaleCrop>
  <LinksUpToDate>false</LinksUpToDate>
  <CharactersWithSpaces>12535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Administrator</cp:lastModifiedBy>
  <cp:lastPrinted>2023-10-16T06:16:00Z</cp:lastPrinted>
  <dcterms:modified xsi:type="dcterms:W3CDTF">2023-10-20T03:33:51Z</dcterms:modified>
  <dc:title>四川省***</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6D3534679992478CB76BCCBE640653C9</vt:lpwstr>
  </property>
</Properties>
</file>