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96476"/>
      <w:bookmarkStart w:id="9" w:name="_Toc15378442"/>
      <w:bookmarkStart w:id="10" w:name="_Toc15396598"/>
      <w:r>
        <w:rPr>
          <w:rFonts w:hint="eastAsia" w:ascii="方正小标宋简体" w:hAnsi="方正小标宋简体" w:eastAsia="方正小标宋简体" w:cs="方正小标宋简体"/>
          <w:sz w:val="72"/>
          <w:szCs w:val="72"/>
        </w:rPr>
        <w:t>乐山市市中区</w:t>
      </w:r>
      <w:bookmarkEnd w:id="5"/>
      <w:bookmarkStart w:id="11" w:name="_Toc15306268"/>
      <w:r>
        <w:rPr>
          <w:rFonts w:hint="eastAsia" w:ascii="方正小标宋简体" w:hAnsi="方正小标宋简体" w:eastAsia="方正小标宋简体" w:cs="方正小标宋简体"/>
          <w:sz w:val="72"/>
          <w:szCs w:val="72"/>
        </w:rPr>
        <w:t>棉竹镇人民政府单位决算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公开时间：2023年10月7日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 xml:space="preserve">单位概况 </w:t>
      </w:r>
      <w:r>
        <w:rPr>
          <w:rFonts w:hint="eastAsia" w:ascii="宋体" w:hAnsi="宋体" w:cs="宋体"/>
          <w:sz w:val="24"/>
        </w:rPr>
        <w:t>…………………………………………………………………4</w:t>
      </w:r>
    </w:p>
    <w:p>
      <w:pPr>
        <w:pStyle w:val="12"/>
        <w:adjustRightInd w:val="0"/>
        <w:snapToGrid w:val="0"/>
        <w:spacing w:line="440" w:lineRule="exact"/>
        <w:jc w:val="left"/>
        <w:rPr>
          <w:rFonts w:ascii="仿宋" w:hAnsi="仿宋" w:eastAsia="仿宋"/>
          <w:sz w:val="24"/>
        </w:rPr>
      </w:pPr>
      <w:r>
        <w:rPr>
          <w:rFonts w:hint="eastAsia"/>
          <w:sz w:val="24"/>
        </w:rPr>
        <w:t>一、主要职责</w:t>
      </w:r>
      <w:r>
        <w:rPr>
          <w:rFonts w:hint="eastAsia" w:ascii="宋体" w:hAnsi="宋体" w:cs="宋体"/>
          <w:sz w:val="24"/>
        </w:rPr>
        <w:t>……………………………………………………………………4</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r>
        <w:rPr>
          <w:rFonts w:hint="eastAsia" w:ascii="宋体" w:hAnsi="宋体" w:cs="宋体"/>
          <w:sz w:val="24"/>
        </w:rPr>
        <w:t>……………………………………………………………………5</w:t>
      </w:r>
    </w:p>
    <w:p>
      <w:pPr>
        <w:pStyle w:val="11"/>
        <w:adjustRightInd w:val="0"/>
        <w:snapToGrid w:val="0"/>
        <w:spacing w:before="0" w:line="440" w:lineRule="exact"/>
        <w:jc w:val="left"/>
        <w:rPr>
          <w:sz w:val="24"/>
          <w:szCs w:val="24"/>
        </w:rPr>
      </w:pPr>
      <w:r>
        <w:rPr>
          <w:rFonts w:hint="eastAsia"/>
          <w:sz w:val="24"/>
        </w:rPr>
        <w:t>第二部分 2022年度单位决算情况说明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宋体" w:hAnsi="宋体" w:cs="宋体"/>
          <w:sz w:val="24"/>
        </w:rPr>
        <w:t>…………………………………………………………7</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ascii="宋体" w:hAnsi="宋体" w:cs="宋体"/>
          <w:sz w:val="24"/>
        </w:rPr>
        <w:t>……………………………………7</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宋体" w:hAnsi="宋体" w:cs="宋体"/>
          <w:sz w:val="24"/>
        </w:rPr>
        <w:t>………………………………8</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ascii="宋体" w:hAnsi="宋体" w:cs="宋体"/>
          <w:sz w:val="24"/>
        </w:rPr>
        <w:t>…………………………14</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ascii="宋体" w:hAnsi="宋体" w:cs="宋体"/>
          <w:sz w:val="24"/>
        </w:rPr>
        <w:t>………………………………14</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ascii="宋体" w:hAnsi="宋体" w:cs="宋体"/>
          <w:sz w:val="24"/>
        </w:rPr>
        <w:t>………………………………………16</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ascii="宋体" w:hAnsi="宋体" w:cs="宋体"/>
          <w:sz w:val="24"/>
        </w:rPr>
        <w:t>……………………………………16</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宋体" w:hAnsi="宋体" w:cs="宋体"/>
          <w:sz w:val="24"/>
        </w:rPr>
        <w:t>…………………………………………………16</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ascii="宋体" w:hAnsi="宋体" w:cs="宋体"/>
          <w:sz w:val="24"/>
        </w:rPr>
        <w:t>…………………………………………………………………18</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ascii="宋体" w:hAnsi="宋体" w:cs="宋体"/>
          <w:sz w:val="24"/>
        </w:rPr>
        <w:t>………………………………………………………………………22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一、收入支出决算总表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二、收入决算表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三、支出决算表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四、财政拨款收入支出决算总表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五、财政拨款支出决算明细表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六、一般公共预算财政拨款支出决算表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七、一般公共预算财政拨款支出决算明细表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八、一般公共预算财政拨款基本支出决算明细表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九、一般公共预算财政拨款项目支出决算表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十、政府性基金预算财政拨款收入支出决算表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十一、国有资本经营预算财政拨款收入支出决算表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十二、国有资本经营预算财政拨款支出决算表</w:t>
      </w:r>
      <w:r>
        <w:rPr>
          <w:rFonts w:hint="eastAsia" w:ascii="宋体" w:hAnsi="宋体" w:cs="宋体"/>
          <w:sz w:val="24"/>
        </w:rPr>
        <w:t>………………………………32</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hint="eastAsia" w:ascii="宋体" w:hAnsi="宋体" w:cs="宋体"/>
          <w:sz w:val="24"/>
        </w:rPr>
        <w:t>……………………………………32</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单位概况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主要职责</w:t>
      </w:r>
    </w:p>
    <w:p>
      <w:pPr>
        <w:pStyle w:val="13"/>
        <w:widowControl/>
        <w:spacing w:before="0" w:beforeAutospacing="0" w:after="0" w:afterAutospacing="0"/>
        <w:ind w:firstLine="640" w:firstLineChars="200"/>
        <w:jc w:val="both"/>
        <w:outlineLvl w:val="0"/>
        <w:rPr>
          <w:rFonts w:ascii="仿宋" w:hAnsi="仿宋" w:eastAsia="仿宋"/>
          <w:kern w:val="2"/>
          <w:sz w:val="32"/>
          <w:szCs w:val="32"/>
        </w:rPr>
      </w:pPr>
      <w:r>
        <w:rPr>
          <w:rFonts w:hint="eastAsia" w:ascii="仿宋" w:hAnsi="仿宋" w:eastAsia="仿宋"/>
          <w:kern w:val="2"/>
          <w:sz w:val="32"/>
          <w:szCs w:val="32"/>
        </w:rPr>
        <w:t>按照《地方各级人民代表大会和地方各级人民政府组织法》的规定，本单位的主要职能为贯彻执行党和国家的路线，执行区委、区政府的决定，研究决定辖区内政治、经济、文化、社会、生态文明等领域事业发展的重大事项并组织实施。落实全面从严治党主体责任，负责加强基层党组织建设和基层政权建设。加强基层宣传思想文化工作，推进基层精神文明建设，负责教育、科技、文化旅游、体育、广播电视、民政、卫生健康、医疗保障、残疾人保障、社会保障、退役军人服务、拥军优属、优抚安置等工作，推进便民服务中心规范化建设。负责农业产业升级转型、美丽乡村建设、农村文化生活繁荣、农村基础设施和公共服务能力提升、农村综合改革、脱贫攻坚等工作。负责城乡基层治理工作，承担社会治理、信访维稳、法治建设、防邪、禁毒、民族宗教等工作，负责应急管理和安全生产工作、自然资源、生态环境保护工作。负责编制和执行本级预算、决算，加强本级财政、所属事业机构以及村（社区）财务的核算和监督。根据法定职责或受委托承担辖区内审批服务、公共服务、各类社会事务服务等职责，推进党务政务公开，接受群众监督，增加公信力，履行法律、法规、规章规定的其他职责。</w:t>
      </w:r>
    </w:p>
    <w:p>
      <w:pPr>
        <w:pStyle w:val="4"/>
        <w:rPr>
          <w:rStyle w:val="29"/>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spacing w:line="600" w:lineRule="exact"/>
        <w:ind w:firstLine="640" w:firstLineChars="200"/>
        <w:rPr>
          <w:rFonts w:ascii="仿宋" w:hAnsi="仿宋" w:eastAsia="仿宋"/>
          <w:sz w:val="32"/>
          <w:szCs w:val="32"/>
        </w:rPr>
      </w:pPr>
      <w:r>
        <w:rPr>
          <w:rFonts w:hint="eastAsia" w:ascii="仿宋" w:hAnsi="仿宋" w:eastAsia="仿宋"/>
          <w:sz w:val="32"/>
          <w:szCs w:val="32"/>
        </w:rPr>
        <w:t>按机构设置方案，本单位机构设置为党政办公室（财政所）、党建办公室、社会事务办公室（社会治理办公室）、规划建设管理办公室（自然资源和生态环境保护办公室）、综合执法办公室、乡村振兴办公室（脱贫攻坚办公室）。便民服务中心、农业综合服务中心、文化旅游服务中心、村（社区）治理服务中心。核定人员编制43人，其中行政编制29人，事业编制</w:t>
      </w:r>
      <w:r>
        <w:rPr>
          <w:rFonts w:ascii="仿宋" w:hAnsi="仿宋" w:eastAsia="仿宋"/>
          <w:sz w:val="32"/>
          <w:szCs w:val="32"/>
        </w:rPr>
        <w:t>1</w:t>
      </w:r>
      <w:r>
        <w:rPr>
          <w:rFonts w:hint="eastAsia" w:ascii="仿宋" w:hAnsi="仿宋" w:eastAsia="仿宋"/>
          <w:sz w:val="32"/>
          <w:szCs w:val="32"/>
        </w:rPr>
        <w:t>4人。</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纳入本部门2022年度部门决算编制范围的直属事业机构4个：便民服务中心、农业综合服务中心、村（社区）治理服务中心和文化旅游服务中心，全部未单独核算。</w:t>
      </w: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2022年度收、支总计1560.21万元。与2021年相比，收、支总计各增加138.19万元，增长9.72</w:t>
      </w:r>
      <w:r>
        <w:rPr>
          <w:rFonts w:ascii="仿宋" w:hAnsi="仿宋" w:eastAsia="仿宋"/>
          <w:sz w:val="32"/>
          <w:szCs w:val="32"/>
        </w:rPr>
        <w:t>%</w:t>
      </w:r>
      <w:r>
        <w:rPr>
          <w:rFonts w:hint="eastAsia" w:ascii="仿宋" w:hAnsi="仿宋" w:eastAsia="仿宋"/>
          <w:sz w:val="32"/>
          <w:szCs w:val="32"/>
        </w:rPr>
        <w:t>。主要变动原因是农林水支出中增加巩固脱贫衔接乡村振兴项目支出151.26万元，品迭各项收、支增加138.19万元。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rFonts w:hint="eastAsia" w:eastAsiaTheme="minorEastAsia"/>
        </w:rPr>
        <w:drawing>
          <wp:inline distT="0" distB="0" distL="114300" distR="114300">
            <wp:extent cx="5080000" cy="3810000"/>
            <wp:effectExtent l="19050" t="0" r="2540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22年本年收入1440.72万元，其中：一般公共预算财政拨款收入1418.71万元，占98.47</w:t>
      </w:r>
      <w:r>
        <w:rPr>
          <w:rFonts w:ascii="仿宋" w:hAnsi="仿宋" w:eastAsia="仿宋"/>
          <w:sz w:val="32"/>
          <w:szCs w:val="32"/>
        </w:rPr>
        <w:t>%</w:t>
      </w:r>
      <w:r>
        <w:rPr>
          <w:rFonts w:hint="eastAsia" w:ascii="仿宋" w:hAnsi="仿宋" w:eastAsia="仿宋"/>
          <w:sz w:val="32"/>
          <w:szCs w:val="32"/>
        </w:rPr>
        <w:t>；其他收入22.01万元，占1.53</w:t>
      </w:r>
      <w:r>
        <w:rPr>
          <w:rFonts w:ascii="仿宋" w:hAnsi="仿宋" w:eastAsia="仿宋"/>
          <w:sz w:val="32"/>
          <w:szCs w:val="32"/>
        </w:rPr>
        <w:t>%</w:t>
      </w:r>
      <w:r>
        <w:rPr>
          <w:rFonts w:hint="eastAsia" w:ascii="仿宋" w:hAnsi="仿宋" w:eastAsia="仿宋"/>
          <w:sz w:val="32"/>
          <w:szCs w:val="32"/>
        </w:rPr>
        <w:t>。（图2：收入决算结构图）（饼状图）</w:t>
      </w:r>
    </w:p>
    <w:p>
      <w:pPr>
        <w:pStyle w:val="2"/>
        <w:spacing w:before="93"/>
      </w:pPr>
      <w:r>
        <w:rPr>
          <w:rFonts w:hint="eastAsia" w:eastAsiaTheme="minorEastAsia"/>
        </w:rPr>
        <w:drawing>
          <wp:inline distT="0" distB="0" distL="114300" distR="114300">
            <wp:extent cx="5486400" cy="3116580"/>
            <wp:effectExtent l="19050" t="0" r="1905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22年本年支出1553.01万元，其中：基本支出814.62万元，占52.45</w:t>
      </w:r>
      <w:r>
        <w:rPr>
          <w:rFonts w:ascii="仿宋" w:hAnsi="仿宋" w:eastAsia="仿宋"/>
          <w:sz w:val="32"/>
          <w:szCs w:val="32"/>
        </w:rPr>
        <w:t>%</w:t>
      </w:r>
      <w:r>
        <w:rPr>
          <w:rFonts w:hint="eastAsia" w:ascii="仿宋" w:hAnsi="仿宋" w:eastAsia="仿宋"/>
          <w:sz w:val="32"/>
          <w:szCs w:val="32"/>
        </w:rPr>
        <w:t>；项目支出738.39万元，占47.55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r>
        <w:rPr>
          <w:rFonts w:hint="eastAsia" w:eastAsiaTheme="minorEastAsia"/>
        </w:rPr>
        <w:drawing>
          <wp:inline distT="0" distB="0" distL="114300" distR="114300">
            <wp:extent cx="5486400" cy="3116580"/>
            <wp:effectExtent l="5080" t="4445" r="10160"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22年财政拨款收、支总计1441.42万元。与</w:t>
      </w:r>
      <w:r>
        <w:rPr>
          <w:rFonts w:ascii="仿宋" w:hAnsi="仿宋" w:eastAsia="仿宋"/>
          <w:sz w:val="32"/>
          <w:szCs w:val="32"/>
        </w:rPr>
        <w:t>20</w:t>
      </w:r>
      <w:r>
        <w:rPr>
          <w:rFonts w:hint="eastAsia" w:ascii="仿宋" w:hAnsi="仿宋" w:eastAsia="仿宋"/>
          <w:sz w:val="32"/>
          <w:szCs w:val="32"/>
        </w:rPr>
        <w:t>21年相比，财政拨款收、支总计各增加261.9万元，增长22.2</w:t>
      </w:r>
      <w:r>
        <w:rPr>
          <w:rFonts w:ascii="仿宋" w:hAnsi="仿宋" w:eastAsia="仿宋"/>
          <w:sz w:val="32"/>
          <w:szCs w:val="32"/>
        </w:rPr>
        <w:t>%</w:t>
      </w:r>
      <w:r>
        <w:rPr>
          <w:rFonts w:hint="eastAsia" w:ascii="仿宋" w:hAnsi="仿宋" w:eastAsia="仿宋"/>
          <w:sz w:val="32"/>
          <w:szCs w:val="32"/>
        </w:rPr>
        <w:t>。主要变动原因是一般公共服务支出增加48.46万元、文化旅游体育与传媒支出增加5万元、社会保障和就业支出增加39.88万元、灾害防治及应急管理支出增加3.36万元、农林水支出中增加巩固脱贫衔接乡村振兴项目支出151.26万元，品迭各项收、支增加261.9万元。</w:t>
      </w:r>
    </w:p>
    <w:p>
      <w:pPr>
        <w:spacing w:line="600" w:lineRule="exact"/>
        <w:ind w:firstLine="321" w:firstLineChars="100"/>
        <w:rPr>
          <w:rFonts w:ascii="仿宋" w:hAnsi="仿宋" w:eastAsia="仿宋"/>
          <w:sz w:val="32"/>
          <w:szCs w:val="32"/>
        </w:rPr>
      </w:pPr>
      <w:r>
        <w:rPr>
          <w:rFonts w:hint="eastAsia" w:ascii="仿宋" w:hAnsi="仿宋" w:eastAsia="仿宋"/>
          <w:b/>
          <w:sz w:val="32"/>
          <w:szCs w:val="32"/>
        </w:rPr>
        <w:t>（</w:t>
      </w:r>
      <w:r>
        <w:rPr>
          <w:rFonts w:hint="eastAsia" w:ascii="仿宋" w:hAnsi="仿宋" w:eastAsia="仿宋"/>
          <w:sz w:val="32"/>
          <w:szCs w:val="32"/>
        </w:rPr>
        <w:t>图4：财政拨款收、支决算总计变动情况）（柱状图）</w:t>
      </w:r>
    </w:p>
    <w:p>
      <w:pPr>
        <w:pStyle w:val="2"/>
        <w:spacing w:before="93"/>
      </w:pPr>
      <w:r>
        <w:rPr>
          <w:rFonts w:hint="eastAsia" w:eastAsiaTheme="minorEastAsia"/>
        </w:rPr>
        <w:drawing>
          <wp:inline distT="0" distB="0" distL="114300" distR="114300">
            <wp:extent cx="5080000" cy="4822190"/>
            <wp:effectExtent l="4445" t="4445" r="571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22年一般公共预算财政拨款支出1441.42万元，占本年支出合计的100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21年相比，一般公共预算财政拨款支出增加261.9万元，增长22.2</w:t>
      </w:r>
      <w:r>
        <w:rPr>
          <w:rFonts w:ascii="仿宋" w:hAnsi="仿宋" w:eastAsia="仿宋"/>
          <w:sz w:val="32"/>
          <w:szCs w:val="32"/>
        </w:rPr>
        <w:t>%</w:t>
      </w:r>
      <w:r>
        <w:rPr>
          <w:rFonts w:hint="eastAsia" w:ascii="仿宋" w:hAnsi="仿宋" w:eastAsia="仿宋"/>
          <w:sz w:val="32"/>
          <w:szCs w:val="32"/>
        </w:rPr>
        <w:t>。主要变动原因是一般公共服务支出增加48.46万元、文化旅游体育与传媒支出增加5万元、社会保障和就业支出增加39.88万元、灾害防治及应急管理支出增加3.36万元、住房保障支出增加9.3万元、农林水支出中增加巩固脱贫衔接乡村振兴项目支出151.26万元，品迭各项支出增加261.9万元。</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rPr>
          <w:rFonts w:hint="eastAsia" w:eastAsiaTheme="minorEastAsia"/>
        </w:rPr>
        <w:drawing>
          <wp:inline distT="0" distB="0" distL="114300" distR="114300">
            <wp:extent cx="5080000" cy="4070350"/>
            <wp:effectExtent l="4445" t="4445" r="5715"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22年一般公共预算财政拨款支出1441.42万元，主要用于以下方面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549.85万元，占38.15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sz w:val="32"/>
          <w:szCs w:val="32"/>
        </w:rPr>
        <w:t>3.27万元，占0.23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文化旅游体育与传媒</w:t>
      </w:r>
      <w:r>
        <w:rPr>
          <w:rFonts w:hint="eastAsia" w:ascii="仿宋" w:hAnsi="仿宋" w:eastAsia="仿宋"/>
          <w:b/>
          <w:bCs/>
          <w:sz w:val="32"/>
          <w:szCs w:val="32"/>
        </w:rPr>
        <w:t>支出</w:t>
      </w:r>
      <w:r>
        <w:rPr>
          <w:rFonts w:hint="eastAsia" w:ascii="仿宋" w:hAnsi="仿宋" w:eastAsia="仿宋"/>
          <w:sz w:val="32"/>
          <w:szCs w:val="32"/>
        </w:rPr>
        <w:t>14.76万元，占1.02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206.72万元，占14.34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43.34万元，占3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城乡社区10.49万元，</w:t>
      </w:r>
      <w:r>
        <w:rPr>
          <w:rFonts w:hint="eastAsia" w:ascii="仿宋" w:hAnsi="仿宋" w:eastAsia="仿宋"/>
          <w:sz w:val="32"/>
          <w:szCs w:val="32"/>
        </w:rPr>
        <w:t>占0.73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537.77万元，占37.31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交通运输支出</w:t>
      </w:r>
      <w:r>
        <w:rPr>
          <w:rFonts w:hint="eastAsia" w:ascii="仿宋" w:hAnsi="仿宋" w:eastAsia="仿宋"/>
          <w:sz w:val="32"/>
          <w:szCs w:val="32"/>
        </w:rPr>
        <w:t>0.4万元，占0.03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支出房保障支出</w:t>
      </w:r>
      <w:r>
        <w:rPr>
          <w:rFonts w:hint="eastAsia" w:ascii="仿宋" w:hAnsi="仿宋" w:eastAsia="仿宋"/>
          <w:sz w:val="32"/>
          <w:szCs w:val="32"/>
        </w:rPr>
        <w:t>71.47万元，占4.96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3.36万元，占0.23</w:t>
      </w:r>
      <w:r>
        <w:rPr>
          <w:rFonts w:ascii="仿宋" w:hAnsi="仿宋" w:eastAsia="仿宋"/>
          <w:sz w:val="32"/>
          <w:szCs w:val="32"/>
        </w:rPr>
        <w:t>%</w:t>
      </w:r>
      <w:r>
        <w:rPr>
          <w:rFonts w:hint="eastAsia" w:ascii="仿宋" w:hAnsi="仿宋" w:eastAsia="仿宋"/>
          <w:sz w:val="32"/>
          <w:szCs w:val="32"/>
        </w:rPr>
        <w:t>。</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r>
        <w:rPr>
          <w:rFonts w:hint="eastAsia" w:eastAsiaTheme="minorEastAsia"/>
        </w:rPr>
        <w:drawing>
          <wp:inline distT="0" distB="0" distL="114300" distR="114300">
            <wp:extent cx="5374005" cy="5169535"/>
            <wp:effectExtent l="4445" t="4445" r="16510"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pStyle w:val="2"/>
        <w:spacing w:before="93"/>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Style w:val="17"/>
          <w:bCs/>
        </w:rPr>
      </w:pPr>
      <w:bookmarkStart w:id="31" w:name="_Toc15377213"/>
      <w:bookmarkStart w:id="32" w:name="_Toc15378460"/>
      <w:bookmarkStart w:id="33" w:name="_Toc15377444"/>
      <w:r>
        <w:rPr>
          <w:rStyle w:val="17"/>
          <w:rFonts w:hint="eastAsia" w:ascii="仿宋" w:hAnsi="仿宋" w:eastAsia="仿宋"/>
          <w:b w:val="0"/>
          <w:bCs/>
          <w:sz w:val="32"/>
          <w:szCs w:val="32"/>
        </w:rPr>
        <w:t>2022年一般公共预算支出决算数为1441.42万元，完成预算100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。其中：</w:t>
      </w:r>
      <w:bookmarkEnd w:id="31"/>
      <w:bookmarkEnd w:id="32"/>
      <w:bookmarkEnd w:id="33"/>
    </w:p>
    <w:p>
      <w:pPr>
        <w:spacing w:line="560" w:lineRule="exact"/>
        <w:ind w:firstLine="639" w:firstLineChars="199"/>
        <w:rPr>
          <w:rStyle w:val="17"/>
          <w:rFonts w:ascii="仿宋" w:hAnsi="仿宋" w:eastAsia="仿宋"/>
          <w:b w:val="0"/>
          <w:bCs/>
          <w:sz w:val="32"/>
          <w:szCs w:val="32"/>
        </w:rPr>
      </w:pPr>
      <w:r>
        <w:rPr>
          <w:rFonts w:ascii="仿宋" w:hAnsi="仿宋" w:eastAsia="仿宋"/>
          <w:b/>
          <w:color w:val="000000"/>
          <w:sz w:val="32"/>
          <w:szCs w:val="32"/>
        </w:rPr>
        <w:t xml:space="preserve"> 1</w:t>
      </w:r>
      <w:r>
        <w:rPr>
          <w:rFonts w:hint="eastAsia" w:ascii="仿宋" w:hAnsi="仿宋" w:eastAsia="仿宋"/>
          <w:b/>
          <w:color w:val="000000"/>
          <w:sz w:val="32"/>
          <w:szCs w:val="32"/>
        </w:rPr>
        <w:t>、一</w:t>
      </w:r>
      <w:r>
        <w:rPr>
          <w:rFonts w:ascii="仿宋" w:hAnsi="仿宋" w:eastAsia="仿宋"/>
          <w:b/>
          <w:color w:val="000000"/>
          <w:sz w:val="32"/>
          <w:szCs w:val="32"/>
        </w:rPr>
        <w:t>般公共</w:t>
      </w:r>
      <w:r>
        <w:rPr>
          <w:rFonts w:hint="eastAsia" w:ascii="仿宋" w:hAnsi="仿宋" w:eastAsia="仿宋"/>
          <w:b/>
          <w:color w:val="000000"/>
          <w:sz w:val="32"/>
          <w:szCs w:val="32"/>
        </w:rPr>
        <w:t>服务（类）</w:t>
      </w:r>
      <w:r>
        <w:rPr>
          <w:rStyle w:val="17"/>
          <w:rFonts w:hint="eastAsia" w:ascii="仿宋" w:hAnsi="仿宋" w:eastAsia="仿宋"/>
          <w:b w:val="0"/>
          <w:bCs/>
          <w:sz w:val="32"/>
          <w:szCs w:val="32"/>
        </w:rPr>
        <w:t>支出决算数为501.39万元，其中：</w:t>
      </w:r>
    </w:p>
    <w:p>
      <w:pPr>
        <w:spacing w:line="560" w:lineRule="exact"/>
        <w:ind w:firstLine="639" w:firstLineChars="199"/>
        <w:rPr>
          <w:rStyle w:val="17"/>
          <w:rFonts w:ascii="仿宋" w:hAnsi="仿宋" w:eastAsia="仿宋"/>
          <w:b w:val="0"/>
          <w:bCs/>
          <w:sz w:val="32"/>
          <w:szCs w:val="32"/>
        </w:rPr>
      </w:pPr>
      <w:r>
        <w:rPr>
          <w:rFonts w:hint="eastAsia" w:ascii="仿宋" w:hAnsi="仿宋" w:eastAsia="仿宋"/>
          <w:b/>
          <w:color w:val="000000"/>
          <w:sz w:val="32"/>
          <w:szCs w:val="32"/>
        </w:rPr>
        <w:t>人</w:t>
      </w:r>
      <w:r>
        <w:rPr>
          <w:rFonts w:ascii="仿宋" w:hAnsi="仿宋" w:eastAsia="仿宋"/>
          <w:b/>
          <w:color w:val="000000"/>
          <w:sz w:val="32"/>
          <w:szCs w:val="32"/>
        </w:rPr>
        <w:t>大事务支</w:t>
      </w:r>
      <w:r>
        <w:rPr>
          <w:rFonts w:hint="eastAsia" w:ascii="仿宋" w:hAnsi="仿宋" w:eastAsia="仿宋"/>
          <w:b/>
          <w:color w:val="000000"/>
          <w:sz w:val="32"/>
          <w:szCs w:val="32"/>
        </w:rPr>
        <w:t>出（款）一</w:t>
      </w:r>
      <w:r>
        <w:rPr>
          <w:rFonts w:ascii="仿宋" w:hAnsi="仿宋" w:eastAsia="仿宋"/>
          <w:b/>
          <w:color w:val="000000"/>
          <w:sz w:val="32"/>
          <w:szCs w:val="32"/>
        </w:rPr>
        <w:t>般</w:t>
      </w:r>
      <w:r>
        <w:rPr>
          <w:rFonts w:hint="eastAsia" w:ascii="仿宋" w:hAnsi="仿宋" w:eastAsia="仿宋"/>
          <w:b/>
          <w:color w:val="000000"/>
          <w:sz w:val="32"/>
          <w:szCs w:val="32"/>
        </w:rPr>
        <w:t>行</w:t>
      </w:r>
      <w:r>
        <w:rPr>
          <w:rFonts w:ascii="仿宋" w:hAnsi="仿宋" w:eastAsia="仿宋"/>
          <w:b/>
          <w:color w:val="000000"/>
          <w:sz w:val="32"/>
          <w:szCs w:val="32"/>
        </w:rPr>
        <w:t>政</w:t>
      </w:r>
      <w:r>
        <w:rPr>
          <w:rFonts w:hint="eastAsia" w:ascii="仿宋" w:hAnsi="仿宋" w:eastAsia="仿宋"/>
          <w:b/>
          <w:color w:val="000000"/>
          <w:sz w:val="32"/>
          <w:szCs w:val="32"/>
        </w:rPr>
        <w:t>管理</w:t>
      </w:r>
      <w:r>
        <w:rPr>
          <w:rFonts w:ascii="仿宋" w:hAnsi="仿宋" w:eastAsia="仿宋"/>
          <w:b/>
          <w:color w:val="000000"/>
          <w:sz w:val="32"/>
          <w:szCs w:val="32"/>
        </w:rPr>
        <w:t>事务支出</w:t>
      </w:r>
      <w:r>
        <w:rPr>
          <w:rFonts w:hint="eastAsia" w:ascii="仿宋" w:hAnsi="仿宋" w:eastAsia="仿宋"/>
          <w:b/>
          <w:color w:val="000000"/>
          <w:sz w:val="32"/>
          <w:szCs w:val="32"/>
        </w:rPr>
        <w:t>（项）</w:t>
      </w:r>
      <w:r>
        <w:rPr>
          <w:rStyle w:val="17"/>
          <w:rFonts w:ascii="仿宋" w:hAnsi="仿宋" w:eastAsia="仿宋"/>
          <w:b w:val="0"/>
          <w:bCs/>
          <w:sz w:val="32"/>
          <w:szCs w:val="32"/>
        </w:rPr>
        <w:t>支出数为</w:t>
      </w:r>
      <w:r>
        <w:rPr>
          <w:rStyle w:val="17"/>
          <w:rFonts w:hint="eastAsia" w:ascii="仿宋" w:hAnsi="仿宋" w:eastAsia="仿宋"/>
          <w:b w:val="0"/>
          <w:bCs/>
          <w:sz w:val="32"/>
          <w:szCs w:val="32"/>
        </w:rPr>
        <w:t>2.16万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p>
    <w:p>
      <w:pPr>
        <w:spacing w:line="560" w:lineRule="exact"/>
        <w:ind w:firstLine="643" w:firstLineChars="200"/>
        <w:rPr>
          <w:rStyle w:val="17"/>
          <w:b w:val="0"/>
          <w:bCs/>
        </w:rPr>
      </w:pPr>
      <w:r>
        <w:rPr>
          <w:rFonts w:hint="eastAsia" w:ascii="仿宋" w:hAnsi="仿宋" w:eastAsia="仿宋"/>
          <w:b/>
          <w:color w:val="000000"/>
          <w:sz w:val="32"/>
          <w:szCs w:val="32"/>
        </w:rPr>
        <w:t>政府办公厅（室）及相关机构事务（款）</w:t>
      </w:r>
      <w:r>
        <w:rPr>
          <w:rStyle w:val="17"/>
          <w:rFonts w:hint="eastAsia" w:ascii="仿宋" w:hAnsi="仿宋" w:eastAsia="仿宋"/>
          <w:b w:val="0"/>
          <w:bCs/>
          <w:sz w:val="32"/>
          <w:szCs w:val="32"/>
        </w:rPr>
        <w:t>支出决算数为540.05万元：</w:t>
      </w:r>
      <w:r>
        <w:rPr>
          <w:rFonts w:hint="eastAsia" w:ascii="仿宋" w:hAnsi="仿宋" w:eastAsia="仿宋"/>
          <w:b/>
          <w:color w:val="000000"/>
          <w:sz w:val="32"/>
          <w:szCs w:val="32"/>
        </w:rPr>
        <w:t>行政运行（项）</w:t>
      </w:r>
      <w:r>
        <w:rPr>
          <w:rStyle w:val="17"/>
          <w:rFonts w:ascii="仿宋" w:hAnsi="仿宋" w:eastAsia="仿宋"/>
          <w:b w:val="0"/>
          <w:bCs/>
          <w:sz w:val="32"/>
          <w:szCs w:val="32"/>
        </w:rPr>
        <w:t>支出数为</w:t>
      </w:r>
      <w:r>
        <w:rPr>
          <w:rStyle w:val="17"/>
          <w:rFonts w:hint="eastAsia" w:ascii="仿宋" w:hAnsi="仿宋" w:eastAsia="仿宋"/>
          <w:b w:val="0"/>
          <w:bCs/>
          <w:sz w:val="32"/>
          <w:szCs w:val="32"/>
        </w:rPr>
        <w:t>308.37万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r>
        <w:rPr>
          <w:rFonts w:hint="eastAsia" w:ascii="仿宋" w:hAnsi="仿宋" w:eastAsia="仿宋"/>
          <w:b/>
          <w:color w:val="000000"/>
          <w:sz w:val="32"/>
          <w:szCs w:val="32"/>
        </w:rPr>
        <w:t>一般行政管理事务（项）</w:t>
      </w:r>
      <w:r>
        <w:rPr>
          <w:rStyle w:val="17"/>
          <w:rFonts w:ascii="仿宋" w:hAnsi="仿宋" w:eastAsia="仿宋"/>
          <w:b w:val="0"/>
          <w:bCs/>
          <w:sz w:val="32"/>
          <w:szCs w:val="32"/>
        </w:rPr>
        <w:t>支出数为</w:t>
      </w:r>
      <w:r>
        <w:rPr>
          <w:rStyle w:val="17"/>
          <w:rFonts w:hint="eastAsia" w:ascii="仿宋" w:hAnsi="仿宋" w:eastAsia="仿宋"/>
          <w:b w:val="0"/>
          <w:bCs/>
          <w:sz w:val="32"/>
          <w:szCs w:val="32"/>
        </w:rPr>
        <w:t>25.9万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r>
        <w:rPr>
          <w:rFonts w:hint="eastAsia" w:ascii="仿宋" w:hAnsi="仿宋" w:eastAsia="仿宋"/>
          <w:b/>
          <w:color w:val="000000"/>
          <w:sz w:val="32"/>
          <w:szCs w:val="32"/>
        </w:rPr>
        <w:t>信访事务（项）</w:t>
      </w:r>
      <w:r>
        <w:rPr>
          <w:rStyle w:val="17"/>
          <w:rFonts w:hint="eastAsia" w:ascii="仿宋" w:hAnsi="仿宋" w:eastAsia="仿宋"/>
          <w:b w:val="0"/>
          <w:bCs/>
          <w:sz w:val="32"/>
          <w:szCs w:val="32"/>
        </w:rPr>
        <w:t>支出数为4万元；</w:t>
      </w:r>
      <w:r>
        <w:rPr>
          <w:rFonts w:hint="eastAsia" w:ascii="仿宋" w:hAnsi="仿宋" w:eastAsia="仿宋"/>
          <w:b/>
          <w:color w:val="000000"/>
          <w:sz w:val="32"/>
          <w:szCs w:val="32"/>
        </w:rPr>
        <w:t>事业运行（项）</w:t>
      </w:r>
      <w:r>
        <w:rPr>
          <w:rStyle w:val="17"/>
          <w:rFonts w:hint="eastAsia" w:ascii="仿宋" w:hAnsi="仿宋" w:eastAsia="仿宋"/>
          <w:b w:val="0"/>
          <w:bCs/>
          <w:sz w:val="32"/>
          <w:szCs w:val="32"/>
        </w:rPr>
        <w:t>支出数为201.78万元，完成预算数100%。</w:t>
      </w:r>
    </w:p>
    <w:p>
      <w:pPr>
        <w:spacing w:line="560" w:lineRule="exact"/>
        <w:ind w:firstLine="643" w:firstLineChars="200"/>
        <w:rPr>
          <w:rStyle w:val="17"/>
          <w:bCs/>
        </w:rPr>
      </w:pPr>
      <w:r>
        <w:rPr>
          <w:rFonts w:hint="eastAsia" w:ascii="仿宋" w:hAnsi="仿宋" w:eastAsia="仿宋"/>
          <w:b/>
          <w:color w:val="000000"/>
          <w:sz w:val="32"/>
          <w:szCs w:val="32"/>
        </w:rPr>
        <w:t>组织事务</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一般行政管理事务</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数为7.6万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数100%。</w:t>
      </w:r>
    </w:p>
    <w:p>
      <w:pPr>
        <w:spacing w:line="560" w:lineRule="exact"/>
        <w:ind w:left="639"/>
        <w:rPr>
          <w:rStyle w:val="17"/>
          <w:bCs/>
        </w:rPr>
      </w:pPr>
      <w:r>
        <w:rPr>
          <w:rFonts w:hint="eastAsia" w:ascii="仿宋" w:hAnsi="仿宋" w:eastAsia="仿宋"/>
          <w:b/>
          <w:color w:val="000000"/>
          <w:sz w:val="32"/>
          <w:szCs w:val="32"/>
        </w:rPr>
        <w:t>2.公共</w:t>
      </w:r>
      <w:r>
        <w:rPr>
          <w:rFonts w:ascii="仿宋" w:hAnsi="仿宋" w:eastAsia="仿宋"/>
          <w:b/>
          <w:color w:val="000000"/>
          <w:sz w:val="32"/>
          <w:szCs w:val="32"/>
        </w:rPr>
        <w:t>安全</w:t>
      </w:r>
      <w:r>
        <w:rPr>
          <w:rFonts w:hint="eastAsia" w:ascii="仿宋" w:hAnsi="仿宋" w:eastAsia="仿宋"/>
          <w:b/>
          <w:color w:val="000000"/>
          <w:sz w:val="32"/>
          <w:szCs w:val="32"/>
        </w:rPr>
        <w:t>支出（类）</w:t>
      </w:r>
      <w:r>
        <w:rPr>
          <w:rStyle w:val="17"/>
          <w:rFonts w:hint="eastAsia" w:ascii="仿宋" w:hAnsi="仿宋" w:eastAsia="仿宋"/>
          <w:b w:val="0"/>
          <w:bCs/>
          <w:sz w:val="32"/>
          <w:szCs w:val="32"/>
        </w:rPr>
        <w:t>支出决算数为3.27万元，其中：</w:t>
      </w:r>
    </w:p>
    <w:p>
      <w:pPr>
        <w:spacing w:line="560" w:lineRule="exact"/>
        <w:ind w:left="638" w:leftChars="304"/>
        <w:rPr>
          <w:rStyle w:val="17"/>
          <w:rFonts w:ascii="仿宋" w:hAnsi="仿宋" w:eastAsia="仿宋"/>
          <w:b w:val="0"/>
          <w:bCs/>
          <w:sz w:val="32"/>
          <w:szCs w:val="32"/>
        </w:rPr>
      </w:pPr>
      <w:r>
        <w:rPr>
          <w:rFonts w:hint="eastAsia" w:ascii="仿宋" w:hAnsi="仿宋" w:eastAsia="仿宋"/>
          <w:b/>
          <w:color w:val="000000"/>
          <w:sz w:val="32"/>
          <w:szCs w:val="32"/>
        </w:rPr>
        <w:t>公</w:t>
      </w:r>
      <w:r>
        <w:rPr>
          <w:rFonts w:ascii="仿宋" w:hAnsi="仿宋" w:eastAsia="仿宋"/>
          <w:b/>
          <w:color w:val="000000"/>
          <w:sz w:val="32"/>
          <w:szCs w:val="32"/>
        </w:rPr>
        <w:t>安（</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其他公安支出</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hint="eastAsia" w:ascii="仿宋" w:hAnsi="仿宋" w:eastAsia="仿宋"/>
          <w:b w:val="0"/>
          <w:bCs/>
          <w:sz w:val="32"/>
          <w:szCs w:val="32"/>
        </w:rPr>
        <w:t>支</w:t>
      </w:r>
      <w:r>
        <w:rPr>
          <w:rStyle w:val="17"/>
          <w:rFonts w:ascii="仿宋" w:hAnsi="仿宋" w:eastAsia="仿宋"/>
          <w:b w:val="0"/>
          <w:bCs/>
          <w:sz w:val="32"/>
          <w:szCs w:val="32"/>
        </w:rPr>
        <w:t>出</w:t>
      </w:r>
      <w:r>
        <w:rPr>
          <w:rStyle w:val="17"/>
          <w:rFonts w:hint="eastAsia" w:ascii="仿宋" w:hAnsi="仿宋" w:eastAsia="仿宋"/>
          <w:b w:val="0"/>
          <w:bCs/>
          <w:sz w:val="32"/>
          <w:szCs w:val="32"/>
        </w:rPr>
        <w:t>数2.88万</w:t>
      </w:r>
      <w:r>
        <w:rPr>
          <w:rStyle w:val="17"/>
          <w:rFonts w:ascii="仿宋" w:hAnsi="仿宋" w:eastAsia="仿宋"/>
          <w:b w:val="0"/>
          <w:bCs/>
          <w:sz w:val="32"/>
          <w:szCs w:val="32"/>
        </w:rPr>
        <w:t>元，完</w:t>
      </w:r>
    </w:p>
    <w:p>
      <w:pPr>
        <w:spacing w:line="560" w:lineRule="exact"/>
        <w:rPr>
          <w:rStyle w:val="17"/>
          <w:bCs/>
        </w:rPr>
      </w:pPr>
      <w:r>
        <w:rPr>
          <w:rStyle w:val="17"/>
          <w:rFonts w:ascii="仿宋" w:hAnsi="仿宋" w:eastAsia="仿宋"/>
          <w:b w:val="0"/>
          <w:bCs/>
          <w:sz w:val="32"/>
          <w:szCs w:val="32"/>
        </w:rPr>
        <w:t>成预算</w:t>
      </w:r>
      <w:r>
        <w:rPr>
          <w:rStyle w:val="17"/>
          <w:rFonts w:hint="eastAsia" w:ascii="仿宋" w:hAnsi="仿宋" w:eastAsia="仿宋"/>
          <w:b w:val="0"/>
          <w:bCs/>
          <w:sz w:val="32"/>
          <w:szCs w:val="32"/>
        </w:rPr>
        <w:t>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司法</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社区矫正</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数0.39万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3、文化旅游体育与传媒</w:t>
      </w:r>
      <w:r>
        <w:rPr>
          <w:rFonts w:ascii="仿宋" w:hAnsi="仿宋" w:eastAsia="仿宋"/>
          <w:b/>
          <w:color w:val="000000"/>
          <w:sz w:val="32"/>
          <w:szCs w:val="32"/>
        </w:rPr>
        <w:t>（</w:t>
      </w:r>
      <w:r>
        <w:rPr>
          <w:rFonts w:hint="eastAsia" w:ascii="仿宋" w:hAnsi="仿宋" w:eastAsia="仿宋"/>
          <w:b/>
          <w:color w:val="000000"/>
          <w:sz w:val="32"/>
          <w:szCs w:val="32"/>
        </w:rPr>
        <w:t>类</w:t>
      </w:r>
      <w:r>
        <w:rPr>
          <w:rFonts w:ascii="仿宋" w:hAnsi="仿宋" w:eastAsia="仿宋"/>
          <w:b/>
          <w:color w:val="000000"/>
          <w:sz w:val="32"/>
          <w:szCs w:val="32"/>
        </w:rPr>
        <w:t>）</w:t>
      </w:r>
      <w:r>
        <w:rPr>
          <w:rStyle w:val="17"/>
          <w:rFonts w:hint="eastAsia" w:ascii="仿宋" w:hAnsi="仿宋" w:eastAsia="仿宋"/>
          <w:b w:val="0"/>
          <w:bCs/>
          <w:sz w:val="32"/>
          <w:szCs w:val="32"/>
        </w:rPr>
        <w:t>支出决算数14.76万元，其中：</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文化和旅游</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其他文化和旅游支出（项）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数14万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数100%。</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广播电视</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其他广播电视支</w:t>
      </w:r>
      <w:r>
        <w:rPr>
          <w:rFonts w:ascii="仿宋" w:hAnsi="仿宋" w:eastAsia="仿宋"/>
          <w:b/>
          <w:color w:val="000000"/>
          <w:sz w:val="32"/>
          <w:szCs w:val="32"/>
        </w:rPr>
        <w:t>出（</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数0.76万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Style w:val="17"/>
          <w:rFonts w:hint="eastAsia"/>
          <w:bCs/>
        </w:rPr>
        <w:t xml:space="preserve">    </w:t>
      </w:r>
      <w:r>
        <w:rPr>
          <w:rFonts w:hint="eastAsia" w:ascii="仿宋" w:hAnsi="仿宋" w:eastAsia="仿宋"/>
          <w:b/>
          <w:color w:val="000000"/>
          <w:sz w:val="32"/>
          <w:szCs w:val="32"/>
        </w:rPr>
        <w:t xml:space="preserve">         </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4、社会</w:t>
      </w:r>
      <w:r>
        <w:rPr>
          <w:rFonts w:ascii="仿宋" w:hAnsi="仿宋" w:eastAsia="仿宋"/>
          <w:b/>
          <w:color w:val="000000"/>
          <w:sz w:val="32"/>
          <w:szCs w:val="32"/>
        </w:rPr>
        <w:t>保障和就业（</w:t>
      </w:r>
      <w:r>
        <w:rPr>
          <w:rFonts w:hint="eastAsia" w:ascii="仿宋" w:hAnsi="仿宋" w:eastAsia="仿宋"/>
          <w:b/>
          <w:color w:val="000000"/>
          <w:sz w:val="32"/>
          <w:szCs w:val="32"/>
        </w:rPr>
        <w:t>类</w:t>
      </w:r>
      <w:r>
        <w:rPr>
          <w:rFonts w:ascii="仿宋" w:hAnsi="仿宋" w:eastAsia="仿宋"/>
          <w:b/>
          <w:color w:val="000000"/>
          <w:sz w:val="32"/>
          <w:szCs w:val="32"/>
        </w:rPr>
        <w:t>）</w:t>
      </w:r>
      <w:r>
        <w:rPr>
          <w:rStyle w:val="17"/>
          <w:rFonts w:hint="eastAsia" w:ascii="仿宋" w:hAnsi="仿宋" w:eastAsia="仿宋"/>
          <w:b w:val="0"/>
          <w:bCs/>
          <w:sz w:val="32"/>
          <w:szCs w:val="32"/>
        </w:rPr>
        <w:t>支出决算数206.72万元，其中：</w:t>
      </w:r>
    </w:p>
    <w:p>
      <w:pPr>
        <w:spacing w:line="560" w:lineRule="exact"/>
        <w:ind w:firstLine="643" w:firstLineChars="200"/>
        <w:rPr>
          <w:rStyle w:val="17"/>
          <w:bCs/>
        </w:rPr>
      </w:pPr>
      <w:r>
        <w:rPr>
          <w:rFonts w:hint="eastAsia" w:ascii="仿宋" w:hAnsi="仿宋" w:eastAsia="仿宋"/>
          <w:b/>
          <w:color w:val="000000"/>
          <w:sz w:val="32"/>
          <w:szCs w:val="32"/>
        </w:rPr>
        <w:t>民政</w:t>
      </w:r>
      <w:r>
        <w:rPr>
          <w:rFonts w:ascii="仿宋" w:hAnsi="仿宋" w:eastAsia="仿宋"/>
          <w:b/>
          <w:color w:val="000000"/>
          <w:sz w:val="32"/>
          <w:szCs w:val="32"/>
        </w:rPr>
        <w:t>管理事务</w:t>
      </w:r>
      <w:r>
        <w:rPr>
          <w:rFonts w:hint="eastAsia" w:ascii="仿宋" w:hAnsi="仿宋" w:eastAsia="仿宋"/>
          <w:b/>
          <w:color w:val="000000"/>
          <w:sz w:val="32"/>
          <w:szCs w:val="32"/>
        </w:rPr>
        <w:t>（款）基层政权建设</w:t>
      </w:r>
      <w:r>
        <w:rPr>
          <w:rFonts w:ascii="仿宋" w:hAnsi="仿宋" w:eastAsia="仿宋"/>
          <w:b/>
          <w:color w:val="000000"/>
          <w:sz w:val="32"/>
          <w:szCs w:val="32"/>
        </w:rPr>
        <w:t>和社区</w:t>
      </w:r>
      <w:r>
        <w:rPr>
          <w:rFonts w:hint="eastAsia" w:ascii="仿宋" w:hAnsi="仿宋" w:eastAsia="仿宋"/>
          <w:b/>
          <w:color w:val="000000"/>
          <w:sz w:val="32"/>
          <w:szCs w:val="32"/>
        </w:rPr>
        <w:t>治理（项）</w:t>
      </w:r>
      <w:r>
        <w:rPr>
          <w:rStyle w:val="17"/>
          <w:rFonts w:ascii="仿宋" w:hAnsi="仿宋" w:eastAsia="仿宋"/>
          <w:b w:val="0"/>
          <w:bCs/>
          <w:sz w:val="32"/>
          <w:szCs w:val="32"/>
        </w:rPr>
        <w:t>支出</w:t>
      </w:r>
      <w:r>
        <w:rPr>
          <w:rStyle w:val="17"/>
          <w:rFonts w:hint="eastAsia" w:ascii="仿宋" w:hAnsi="仿宋" w:eastAsia="仿宋"/>
          <w:b w:val="0"/>
          <w:bCs/>
          <w:sz w:val="32"/>
          <w:szCs w:val="32"/>
        </w:rPr>
        <w:t>数105.25万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行政事业</w:t>
      </w:r>
      <w:r>
        <w:rPr>
          <w:rFonts w:ascii="仿宋" w:hAnsi="仿宋" w:eastAsia="仿宋"/>
          <w:b/>
          <w:color w:val="000000"/>
          <w:sz w:val="32"/>
          <w:szCs w:val="32"/>
        </w:rPr>
        <w:t>单位</w:t>
      </w:r>
      <w:r>
        <w:rPr>
          <w:rFonts w:hint="eastAsia" w:ascii="仿宋" w:hAnsi="仿宋" w:eastAsia="仿宋"/>
          <w:b/>
          <w:color w:val="000000"/>
          <w:sz w:val="32"/>
          <w:szCs w:val="32"/>
        </w:rPr>
        <w:t>养老支出（款）</w:t>
      </w:r>
      <w:r>
        <w:rPr>
          <w:rStyle w:val="17"/>
          <w:rFonts w:hint="eastAsia" w:ascii="仿宋" w:hAnsi="仿宋" w:eastAsia="仿宋"/>
          <w:b w:val="0"/>
          <w:bCs/>
          <w:sz w:val="32"/>
          <w:szCs w:val="32"/>
        </w:rPr>
        <w:t>支出决算数为84.94万元：</w:t>
      </w:r>
      <w:r>
        <w:rPr>
          <w:rFonts w:hint="eastAsia" w:ascii="仿宋" w:hAnsi="仿宋" w:eastAsia="仿宋"/>
          <w:b/>
          <w:color w:val="000000"/>
          <w:sz w:val="32"/>
          <w:szCs w:val="32"/>
        </w:rPr>
        <w:t>机关事业单位基本养老保险缴费支出（项）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数54.07万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机关事业单位职业年金缴费支出（项）</w:t>
      </w:r>
      <w:r>
        <w:rPr>
          <w:rStyle w:val="17"/>
          <w:rFonts w:hint="eastAsia" w:ascii="仿宋" w:hAnsi="仿宋" w:eastAsia="仿宋"/>
          <w:b w:val="0"/>
          <w:bCs/>
          <w:sz w:val="32"/>
          <w:szCs w:val="32"/>
        </w:rPr>
        <w:t>支出数30.87万元，完成预算数100%。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就业补助（款）公益性岗位补贴（项）</w:t>
      </w:r>
      <w:r>
        <w:rPr>
          <w:rStyle w:val="17"/>
          <w:rFonts w:hint="eastAsia" w:ascii="仿宋" w:hAnsi="仿宋" w:eastAsia="仿宋"/>
          <w:b w:val="0"/>
          <w:bCs/>
          <w:sz w:val="32"/>
          <w:szCs w:val="32"/>
        </w:rPr>
        <w:t>支出数11.16万元，完成预算数100%。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抚恤（款）其它优抚支出（项）</w:t>
      </w:r>
      <w:r>
        <w:rPr>
          <w:rStyle w:val="17"/>
          <w:rFonts w:hint="eastAsia" w:ascii="仿宋" w:hAnsi="仿宋" w:eastAsia="仿宋"/>
          <w:b w:val="0"/>
          <w:bCs/>
          <w:sz w:val="32"/>
          <w:szCs w:val="32"/>
        </w:rPr>
        <w:t>支出数0.89万元，完成预算数100%。</w:t>
      </w:r>
    </w:p>
    <w:p>
      <w:pPr>
        <w:spacing w:line="560" w:lineRule="exact"/>
        <w:ind w:firstLine="643" w:firstLineChars="200"/>
        <w:rPr>
          <w:rStyle w:val="17"/>
          <w:bCs/>
        </w:rPr>
      </w:pPr>
      <w:r>
        <w:rPr>
          <w:rFonts w:hint="eastAsia" w:ascii="仿宋" w:hAnsi="仿宋" w:eastAsia="仿宋"/>
          <w:b/>
          <w:color w:val="000000"/>
          <w:sz w:val="32"/>
          <w:szCs w:val="32"/>
        </w:rPr>
        <w:t>退役安置（款）其它退役安置（项）</w:t>
      </w:r>
      <w:r>
        <w:rPr>
          <w:rStyle w:val="17"/>
          <w:rFonts w:hint="eastAsia" w:ascii="仿宋" w:hAnsi="仿宋" w:eastAsia="仿宋"/>
          <w:b w:val="0"/>
          <w:bCs/>
          <w:sz w:val="32"/>
          <w:szCs w:val="32"/>
        </w:rPr>
        <w:t>支出决算数0.02万元，完成预算数100%</w:t>
      </w:r>
      <w:r>
        <w:rPr>
          <w:rStyle w:val="17"/>
          <w:rFonts w:hint="eastAsia"/>
          <w:bCs/>
        </w:rPr>
        <w:t>。</w:t>
      </w:r>
    </w:p>
    <w:p>
      <w:pPr>
        <w:spacing w:line="560" w:lineRule="exact"/>
        <w:ind w:firstLine="643" w:firstLineChars="200"/>
        <w:rPr>
          <w:b/>
          <w:bCs/>
        </w:rPr>
      </w:pPr>
      <w:r>
        <w:rPr>
          <w:rFonts w:hint="eastAsia" w:ascii="仿宋" w:hAnsi="仿宋" w:eastAsia="仿宋"/>
          <w:b/>
          <w:color w:val="000000"/>
          <w:sz w:val="32"/>
          <w:szCs w:val="32"/>
        </w:rPr>
        <w:t>社会福利（款）养老服务（项）</w:t>
      </w:r>
      <w:r>
        <w:rPr>
          <w:rStyle w:val="17"/>
          <w:rFonts w:hint="eastAsia" w:ascii="仿宋" w:hAnsi="仿宋" w:eastAsia="仿宋"/>
          <w:b w:val="0"/>
          <w:bCs/>
          <w:sz w:val="32"/>
          <w:szCs w:val="32"/>
        </w:rPr>
        <w:t>支出决算数0.3万元，完成预算数100%</w:t>
      </w:r>
      <w:r>
        <w:rPr>
          <w:rStyle w:val="17"/>
          <w:rFonts w:hint="eastAsia"/>
          <w:bCs/>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残疾人事业（款）其他残疾人事业支出（项）</w:t>
      </w:r>
      <w:r>
        <w:rPr>
          <w:rStyle w:val="17"/>
          <w:rFonts w:ascii="仿宋" w:hAnsi="仿宋" w:eastAsia="仿宋"/>
          <w:b w:val="0"/>
          <w:bCs/>
          <w:sz w:val="32"/>
          <w:szCs w:val="32"/>
        </w:rPr>
        <w:t>支出数</w:t>
      </w:r>
      <w:r>
        <w:rPr>
          <w:rStyle w:val="17"/>
          <w:rFonts w:hint="eastAsia" w:ascii="仿宋" w:hAnsi="仿宋" w:eastAsia="仿宋"/>
          <w:b w:val="0"/>
          <w:bCs/>
          <w:sz w:val="32"/>
          <w:szCs w:val="32"/>
        </w:rPr>
        <w:t>4.16万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Style w:val="17"/>
          <w:bCs/>
        </w:rPr>
      </w:pPr>
      <w:r>
        <w:rPr>
          <w:rFonts w:hint="eastAsia" w:ascii="仿宋" w:hAnsi="仿宋" w:eastAsia="仿宋"/>
          <w:b/>
          <w:color w:val="000000"/>
          <w:sz w:val="32"/>
          <w:szCs w:val="32"/>
        </w:rPr>
        <w:t>5、卫生健康支出（类）</w:t>
      </w:r>
      <w:r>
        <w:rPr>
          <w:rStyle w:val="17"/>
          <w:rFonts w:hint="eastAsia" w:ascii="仿宋" w:hAnsi="仿宋" w:eastAsia="仿宋"/>
          <w:b w:val="0"/>
          <w:bCs/>
          <w:sz w:val="32"/>
          <w:szCs w:val="32"/>
        </w:rPr>
        <w:t>支出决算数为43.35万元，其中</w:t>
      </w:r>
      <w:r>
        <w:rPr>
          <w:rStyle w:val="17"/>
          <w:rFonts w:hint="eastAsia"/>
          <w:bCs/>
        </w:rPr>
        <w:t>：</w:t>
      </w:r>
    </w:p>
    <w:p>
      <w:pPr>
        <w:spacing w:line="560" w:lineRule="exact"/>
        <w:ind w:firstLine="643" w:firstLineChars="200"/>
        <w:rPr>
          <w:rStyle w:val="17"/>
          <w:bCs/>
        </w:rPr>
      </w:pPr>
      <w:r>
        <w:rPr>
          <w:rFonts w:hint="eastAsia" w:ascii="仿宋" w:hAnsi="仿宋" w:eastAsia="仿宋"/>
          <w:b/>
          <w:color w:val="000000"/>
          <w:sz w:val="32"/>
          <w:szCs w:val="32"/>
        </w:rPr>
        <w:t>公共卫生（款）重大公共卫生服务（项）</w:t>
      </w:r>
      <w:r>
        <w:rPr>
          <w:rStyle w:val="17"/>
          <w:rFonts w:hint="eastAsia" w:ascii="仿宋" w:hAnsi="仿宋" w:eastAsia="仿宋"/>
          <w:b w:val="0"/>
          <w:bCs/>
          <w:sz w:val="32"/>
          <w:szCs w:val="32"/>
        </w:rPr>
        <w:t>支出决算数6.15万元，完成预算数100%</w:t>
      </w:r>
      <w:r>
        <w:rPr>
          <w:rStyle w:val="17"/>
          <w:rFonts w:hint="eastAsia"/>
          <w:bCs/>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行政事业单位医疗（款）支出决算数27.97万元：行政单位医疗（项）</w:t>
      </w:r>
      <w:r>
        <w:rPr>
          <w:rStyle w:val="17"/>
          <w:rFonts w:ascii="仿宋" w:hAnsi="仿宋" w:eastAsia="仿宋"/>
          <w:b w:val="0"/>
          <w:bCs/>
          <w:sz w:val="32"/>
          <w:szCs w:val="32"/>
        </w:rPr>
        <w:t>支出</w:t>
      </w:r>
      <w:r>
        <w:rPr>
          <w:rStyle w:val="17"/>
          <w:rFonts w:hint="eastAsia" w:ascii="仿宋" w:hAnsi="仿宋" w:eastAsia="仿宋"/>
          <w:b w:val="0"/>
          <w:bCs/>
          <w:sz w:val="32"/>
          <w:szCs w:val="32"/>
        </w:rPr>
        <w:t>数14.08万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事业单位医疗（项）</w:t>
      </w:r>
      <w:r>
        <w:rPr>
          <w:rStyle w:val="17"/>
          <w:rFonts w:ascii="仿宋" w:hAnsi="仿宋" w:eastAsia="仿宋"/>
          <w:b w:val="0"/>
          <w:bCs/>
          <w:sz w:val="32"/>
          <w:szCs w:val="32"/>
        </w:rPr>
        <w:t>支出数</w:t>
      </w:r>
      <w:r>
        <w:rPr>
          <w:rStyle w:val="17"/>
          <w:rFonts w:hint="eastAsia" w:ascii="仿宋" w:hAnsi="仿宋" w:eastAsia="仿宋"/>
          <w:b w:val="0"/>
          <w:bCs/>
          <w:sz w:val="32"/>
          <w:szCs w:val="32"/>
        </w:rPr>
        <w:t>8.34万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公务员医疗补助（项）</w:t>
      </w:r>
      <w:r>
        <w:rPr>
          <w:rStyle w:val="17"/>
          <w:rFonts w:ascii="仿宋" w:hAnsi="仿宋" w:eastAsia="仿宋"/>
          <w:b w:val="0"/>
          <w:bCs/>
          <w:sz w:val="32"/>
          <w:szCs w:val="32"/>
        </w:rPr>
        <w:t>支出数</w:t>
      </w:r>
      <w:r>
        <w:rPr>
          <w:rStyle w:val="17"/>
          <w:rFonts w:hint="eastAsia" w:ascii="仿宋" w:hAnsi="仿宋" w:eastAsia="仿宋"/>
          <w:b w:val="0"/>
          <w:bCs/>
          <w:sz w:val="32"/>
          <w:szCs w:val="32"/>
        </w:rPr>
        <w:t>5.55万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rPr>
          <w:rStyle w:val="17"/>
          <w:rFonts w:ascii="仿宋" w:hAnsi="仿宋" w:eastAsia="仿宋"/>
          <w:b w:val="0"/>
          <w:bCs/>
          <w:sz w:val="32"/>
          <w:szCs w:val="32"/>
        </w:rPr>
      </w:pPr>
      <w:r>
        <w:rPr>
          <w:rFonts w:hint="eastAsia" w:ascii="仿宋" w:hAnsi="仿宋" w:eastAsia="仿宋"/>
          <w:b/>
          <w:color w:val="000000"/>
          <w:sz w:val="32"/>
          <w:szCs w:val="32"/>
        </w:rPr>
        <w:t>　 其他卫生健康支出（款）其他卫生健康支出（项）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数9.23万</w:t>
      </w:r>
      <w:r>
        <w:rPr>
          <w:rStyle w:val="17"/>
          <w:rFonts w:ascii="仿宋" w:hAnsi="仿宋" w:eastAsia="仿宋"/>
          <w:b w:val="0"/>
          <w:bCs/>
          <w:sz w:val="32"/>
          <w:szCs w:val="32"/>
        </w:rPr>
        <w:t>元，</w:t>
      </w:r>
      <w:r>
        <w:rPr>
          <w:rStyle w:val="17"/>
          <w:rFonts w:hint="eastAsia" w:ascii="仿宋" w:hAnsi="仿宋" w:eastAsia="仿宋"/>
          <w:b w:val="0"/>
          <w:bCs/>
          <w:sz w:val="32"/>
          <w:szCs w:val="32"/>
        </w:rPr>
        <w:t>完成预算100%。</w:t>
      </w:r>
    </w:p>
    <w:p>
      <w:pPr>
        <w:spacing w:line="560" w:lineRule="exact"/>
        <w:ind w:left="638" w:leftChars="304" w:firstLine="1"/>
        <w:rPr>
          <w:rStyle w:val="17"/>
          <w:bCs/>
        </w:rPr>
      </w:pPr>
      <w:r>
        <w:rPr>
          <w:rFonts w:hint="eastAsia" w:ascii="仿宋" w:hAnsi="仿宋" w:eastAsia="仿宋"/>
          <w:b/>
          <w:color w:val="000000"/>
          <w:sz w:val="32"/>
          <w:szCs w:val="32"/>
        </w:rPr>
        <w:t>6、城乡社区支出（类）</w:t>
      </w:r>
      <w:r>
        <w:rPr>
          <w:rStyle w:val="17"/>
          <w:rFonts w:hint="eastAsia" w:ascii="仿宋" w:hAnsi="仿宋" w:eastAsia="仿宋"/>
          <w:b w:val="0"/>
          <w:bCs/>
          <w:sz w:val="32"/>
          <w:szCs w:val="32"/>
        </w:rPr>
        <w:t>支出决算数10.48万元，其中：</w:t>
      </w:r>
    </w:p>
    <w:p>
      <w:pPr>
        <w:spacing w:line="560" w:lineRule="exact"/>
        <w:ind w:firstLine="630" w:firstLineChars="196"/>
        <w:rPr>
          <w:rStyle w:val="17"/>
          <w:rFonts w:ascii="仿宋" w:hAnsi="仿宋" w:eastAsia="仿宋"/>
          <w:b w:val="0"/>
          <w:bCs/>
          <w:sz w:val="32"/>
          <w:szCs w:val="32"/>
        </w:rPr>
      </w:pPr>
      <w:r>
        <w:rPr>
          <w:rFonts w:hint="eastAsia" w:ascii="仿宋" w:hAnsi="仿宋" w:eastAsia="仿宋"/>
          <w:b/>
          <w:color w:val="000000"/>
          <w:sz w:val="32"/>
          <w:szCs w:val="32"/>
        </w:rPr>
        <w:t>城乡社区管理事务（款）其它城乡社区管理事务（项）</w:t>
      </w:r>
      <w:r>
        <w:rPr>
          <w:rStyle w:val="17"/>
          <w:rFonts w:ascii="仿宋" w:hAnsi="仿宋" w:eastAsia="仿宋"/>
          <w:b w:val="0"/>
          <w:bCs/>
          <w:sz w:val="32"/>
          <w:szCs w:val="32"/>
        </w:rPr>
        <w:t>支出</w:t>
      </w:r>
      <w:r>
        <w:rPr>
          <w:rStyle w:val="17"/>
          <w:rFonts w:hint="eastAsia" w:ascii="仿宋" w:hAnsi="仿宋" w:eastAsia="仿宋"/>
          <w:b w:val="0"/>
          <w:bCs/>
          <w:sz w:val="32"/>
          <w:szCs w:val="32"/>
        </w:rPr>
        <w:t>数9.57万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30" w:firstLineChars="196"/>
        <w:rPr>
          <w:rStyle w:val="17"/>
          <w:rFonts w:ascii="仿宋" w:hAnsi="仿宋" w:eastAsia="仿宋"/>
          <w:b w:val="0"/>
          <w:bCs/>
          <w:sz w:val="32"/>
          <w:szCs w:val="32"/>
        </w:rPr>
      </w:pPr>
      <w:r>
        <w:rPr>
          <w:rFonts w:hint="eastAsia" w:ascii="仿宋" w:hAnsi="仿宋" w:eastAsia="仿宋"/>
          <w:b/>
          <w:color w:val="000000"/>
          <w:sz w:val="32"/>
          <w:szCs w:val="32"/>
        </w:rPr>
        <w:t>其它城乡社区支出（款）其它城乡社区支出（项）</w:t>
      </w:r>
      <w:r>
        <w:rPr>
          <w:rStyle w:val="17"/>
          <w:rFonts w:hint="eastAsia" w:ascii="仿宋" w:hAnsi="仿宋" w:eastAsia="仿宋"/>
          <w:b w:val="0"/>
          <w:bCs/>
          <w:sz w:val="32"/>
          <w:szCs w:val="32"/>
        </w:rPr>
        <w:t>支出决算数0.91万元，完成预算数100%。</w:t>
      </w:r>
    </w:p>
    <w:p>
      <w:pPr>
        <w:numPr>
          <w:ilvl w:val="0"/>
          <w:numId w:val="3"/>
        </w:numPr>
        <w:spacing w:line="560" w:lineRule="exact"/>
        <w:ind w:left="638" w:leftChars="304" w:firstLine="1"/>
        <w:rPr>
          <w:rStyle w:val="17"/>
          <w:rFonts w:ascii="仿宋" w:hAnsi="仿宋" w:eastAsia="仿宋"/>
          <w:b w:val="0"/>
          <w:bCs/>
          <w:sz w:val="32"/>
          <w:szCs w:val="32"/>
        </w:rPr>
      </w:pPr>
      <w:r>
        <w:rPr>
          <w:rFonts w:hint="eastAsia" w:ascii="仿宋" w:hAnsi="仿宋" w:eastAsia="仿宋"/>
          <w:b/>
          <w:color w:val="000000"/>
          <w:sz w:val="32"/>
          <w:szCs w:val="32"/>
        </w:rPr>
        <w:t>农林水支出（类）</w:t>
      </w:r>
      <w:r>
        <w:rPr>
          <w:rStyle w:val="17"/>
          <w:rFonts w:hint="eastAsia" w:ascii="仿宋" w:hAnsi="仿宋" w:eastAsia="仿宋"/>
          <w:b w:val="0"/>
          <w:bCs/>
          <w:sz w:val="32"/>
          <w:szCs w:val="32"/>
        </w:rPr>
        <w:t>支出决算数为537.77万元，其中：</w:t>
      </w:r>
    </w:p>
    <w:p>
      <w:pPr>
        <w:spacing w:line="560" w:lineRule="exact"/>
        <w:ind w:left="638" w:leftChars="304"/>
        <w:rPr>
          <w:rFonts w:ascii="仿宋" w:hAnsi="仿宋" w:eastAsia="仿宋"/>
          <w:b/>
          <w:color w:val="000000"/>
          <w:sz w:val="32"/>
          <w:szCs w:val="32"/>
        </w:rPr>
      </w:pPr>
      <w:r>
        <w:rPr>
          <w:rFonts w:hint="eastAsia" w:ascii="仿宋" w:hAnsi="仿宋" w:eastAsia="仿宋"/>
          <w:b/>
          <w:color w:val="000000"/>
          <w:sz w:val="32"/>
          <w:szCs w:val="32"/>
        </w:rPr>
        <w:t>农业农村（款）</w:t>
      </w:r>
      <w:r>
        <w:rPr>
          <w:rStyle w:val="17"/>
          <w:rFonts w:hint="eastAsia" w:ascii="仿宋" w:hAnsi="仿宋" w:eastAsia="仿宋"/>
          <w:b w:val="0"/>
          <w:bCs/>
          <w:sz w:val="32"/>
          <w:szCs w:val="32"/>
        </w:rPr>
        <w:t>支出决算数154.51万元：</w:t>
      </w:r>
      <w:r>
        <w:rPr>
          <w:rFonts w:hint="eastAsia" w:ascii="仿宋" w:hAnsi="仿宋" w:eastAsia="仿宋"/>
          <w:b/>
          <w:color w:val="000000"/>
          <w:sz w:val="32"/>
          <w:szCs w:val="32"/>
        </w:rPr>
        <w:t>事业运行（项）：</w:t>
      </w:r>
    </w:p>
    <w:p>
      <w:pPr>
        <w:spacing w:line="560" w:lineRule="exact"/>
        <w:rPr>
          <w:rStyle w:val="17"/>
          <w:rFonts w:ascii="仿宋" w:hAnsi="仿宋" w:eastAsia="仿宋"/>
          <w:color w:val="000000"/>
          <w:sz w:val="32"/>
          <w:szCs w:val="32"/>
        </w:rPr>
      </w:pPr>
      <w:r>
        <w:rPr>
          <w:rStyle w:val="17"/>
          <w:rFonts w:hint="eastAsia" w:ascii="仿宋" w:hAnsi="仿宋" w:eastAsia="仿宋"/>
          <w:b w:val="0"/>
          <w:bCs/>
          <w:sz w:val="32"/>
          <w:szCs w:val="32"/>
        </w:rPr>
        <w:t>支出决算数115.06万元，完成预算数100%；</w:t>
      </w:r>
      <w:r>
        <w:rPr>
          <w:rFonts w:hint="eastAsia" w:ascii="仿宋" w:hAnsi="仿宋" w:eastAsia="仿宋"/>
          <w:b/>
          <w:color w:val="000000"/>
          <w:sz w:val="32"/>
          <w:szCs w:val="32"/>
        </w:rPr>
        <w:t>农村道路建设（项）</w:t>
      </w:r>
      <w:r>
        <w:rPr>
          <w:rStyle w:val="17"/>
          <w:rFonts w:hint="eastAsia" w:ascii="仿宋" w:hAnsi="仿宋" w:eastAsia="仿宋"/>
          <w:b w:val="0"/>
          <w:bCs/>
          <w:sz w:val="32"/>
          <w:szCs w:val="32"/>
        </w:rPr>
        <w:t>支出决算数2.21万元，完成预算数100%；</w:t>
      </w:r>
      <w:r>
        <w:rPr>
          <w:rFonts w:hint="eastAsia" w:ascii="仿宋" w:hAnsi="仿宋" w:eastAsia="仿宋"/>
          <w:b/>
          <w:color w:val="000000"/>
          <w:sz w:val="32"/>
          <w:szCs w:val="32"/>
        </w:rPr>
        <w:t>对高校毕业生到基层任职补助（项）</w:t>
      </w:r>
      <w:r>
        <w:rPr>
          <w:rStyle w:val="17"/>
          <w:rFonts w:hint="eastAsia" w:ascii="仿宋" w:hAnsi="仿宋" w:eastAsia="仿宋"/>
          <w:b w:val="0"/>
          <w:bCs/>
          <w:sz w:val="32"/>
          <w:szCs w:val="32"/>
        </w:rPr>
        <w:t>支出决算数12.88万元，完成预算数100%；</w:t>
      </w:r>
      <w:r>
        <w:rPr>
          <w:rFonts w:hint="eastAsia" w:ascii="仿宋" w:hAnsi="仿宋" w:eastAsia="仿宋"/>
          <w:b/>
          <w:color w:val="000000"/>
          <w:sz w:val="32"/>
          <w:szCs w:val="32"/>
        </w:rPr>
        <w:t>其它农业农村支出（项）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数24.36万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Style w:val="17"/>
          <w:rFonts w:ascii="仿宋" w:hAnsi="仿宋" w:eastAsia="仿宋"/>
          <w:b w:val="0"/>
          <w:bCs/>
          <w:sz w:val="32"/>
          <w:szCs w:val="32"/>
        </w:rPr>
        <w:t xml:space="preserve"> </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水利（款）其它水利支出（项）</w:t>
      </w:r>
      <w:r>
        <w:rPr>
          <w:rStyle w:val="17"/>
          <w:rFonts w:hint="eastAsia" w:ascii="仿宋" w:hAnsi="仿宋" w:eastAsia="仿宋"/>
          <w:b w:val="0"/>
          <w:bCs/>
          <w:sz w:val="32"/>
          <w:szCs w:val="32"/>
        </w:rPr>
        <w:t>支出数0.36万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Fonts w:ascii="仿宋" w:hAnsi="仿宋" w:eastAsia="仿宋"/>
          <w:bCs/>
          <w:sz w:val="32"/>
          <w:szCs w:val="32"/>
        </w:rPr>
      </w:pPr>
      <w:r>
        <w:rPr>
          <w:rFonts w:hint="eastAsia" w:ascii="仿宋" w:hAnsi="仿宋" w:eastAsia="仿宋"/>
          <w:b/>
          <w:color w:val="000000"/>
          <w:sz w:val="32"/>
          <w:szCs w:val="32"/>
        </w:rPr>
        <w:t>巩固脱贫衔接乡村振兴（款）其它巩固脱贫衔接乡村振兴支出（项）</w:t>
      </w:r>
      <w:r>
        <w:rPr>
          <w:rStyle w:val="17"/>
          <w:rFonts w:hint="eastAsia" w:ascii="仿宋" w:hAnsi="仿宋" w:eastAsia="仿宋"/>
          <w:b w:val="0"/>
          <w:bCs/>
          <w:sz w:val="32"/>
          <w:szCs w:val="32"/>
        </w:rPr>
        <w:t>支出数151.26万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农村综合改革（款）对村民委员会和村党支部的补助（项）</w:t>
      </w:r>
      <w:r>
        <w:rPr>
          <w:rStyle w:val="17"/>
          <w:rFonts w:hint="eastAsia" w:ascii="仿宋" w:hAnsi="仿宋" w:eastAsia="仿宋"/>
          <w:b w:val="0"/>
          <w:bCs/>
          <w:sz w:val="32"/>
          <w:szCs w:val="32"/>
        </w:rPr>
        <w:t>支出决算数229.64万元，完成预算100%。</w:t>
      </w:r>
    </w:p>
    <w:p>
      <w:pPr>
        <w:pStyle w:val="27"/>
        <w:spacing w:line="560" w:lineRule="exact"/>
        <w:ind w:left="420" w:firstLine="161" w:firstLineChars="50"/>
        <w:rPr>
          <w:b/>
          <w:bCs/>
        </w:rPr>
      </w:pPr>
      <w:r>
        <w:rPr>
          <w:rFonts w:hint="eastAsia" w:ascii="仿宋" w:hAnsi="仿宋" w:eastAsia="仿宋"/>
          <w:b/>
          <w:color w:val="000000"/>
          <w:sz w:val="32"/>
          <w:szCs w:val="32"/>
        </w:rPr>
        <w:t>8 交通运输(类）公路水路运输（款）海事管理（项）</w:t>
      </w:r>
    </w:p>
    <w:p>
      <w:pPr>
        <w:spacing w:line="560" w:lineRule="exact"/>
        <w:rPr>
          <w:rStyle w:val="17"/>
          <w:rFonts w:ascii="仿宋" w:hAnsi="仿宋" w:eastAsia="仿宋"/>
          <w:b w:val="0"/>
          <w:bCs/>
          <w:sz w:val="32"/>
          <w:szCs w:val="32"/>
        </w:rPr>
      </w:pPr>
      <w:r>
        <w:rPr>
          <w:rStyle w:val="17"/>
          <w:rFonts w:hint="eastAsia" w:ascii="仿宋" w:hAnsi="仿宋" w:eastAsia="仿宋"/>
          <w:b w:val="0"/>
          <w:bCs/>
          <w:sz w:val="32"/>
          <w:szCs w:val="32"/>
        </w:rPr>
        <w:t>支出决算数0.4万元，完成预算数100%。</w:t>
      </w:r>
    </w:p>
    <w:p>
      <w:pPr>
        <w:spacing w:line="560" w:lineRule="exact"/>
        <w:ind w:firstLine="643" w:firstLineChars="200"/>
        <w:rPr>
          <w:rStyle w:val="17"/>
          <w:bCs/>
        </w:rPr>
      </w:pPr>
      <w:r>
        <w:rPr>
          <w:rFonts w:hint="eastAsia" w:ascii="仿宋" w:hAnsi="仿宋" w:eastAsia="仿宋"/>
          <w:b/>
          <w:color w:val="000000"/>
          <w:sz w:val="32"/>
          <w:szCs w:val="32"/>
        </w:rPr>
        <w:t>9、住房保障支出（类）住房改革支出（款）住房公积</w:t>
      </w:r>
      <w:r>
        <w:rPr>
          <w:rFonts w:ascii="仿宋" w:hAnsi="仿宋" w:eastAsia="仿宋"/>
          <w:b/>
          <w:color w:val="000000"/>
          <w:sz w:val="32"/>
          <w:szCs w:val="32"/>
        </w:rPr>
        <w:t>金</w:t>
      </w:r>
      <w:r>
        <w:rPr>
          <w:rFonts w:hint="eastAsia" w:ascii="仿宋" w:hAnsi="仿宋" w:eastAsia="仿宋"/>
          <w:b/>
          <w:color w:val="000000"/>
          <w:sz w:val="32"/>
          <w:szCs w:val="32"/>
        </w:rPr>
        <w:t>（项）</w:t>
      </w:r>
      <w:r>
        <w:rPr>
          <w:rStyle w:val="17"/>
          <w:rFonts w:ascii="仿宋" w:hAnsi="仿宋" w:eastAsia="仿宋"/>
          <w:b w:val="0"/>
          <w:bCs/>
          <w:sz w:val="32"/>
          <w:szCs w:val="32"/>
        </w:rPr>
        <w:t>支出数</w:t>
      </w:r>
      <w:r>
        <w:rPr>
          <w:rStyle w:val="17"/>
          <w:rFonts w:hint="eastAsia" w:ascii="仿宋" w:hAnsi="仿宋" w:eastAsia="仿宋"/>
          <w:b w:val="0"/>
          <w:bCs/>
          <w:sz w:val="32"/>
          <w:szCs w:val="32"/>
        </w:rPr>
        <w:t>71.47万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10</w:t>
      </w:r>
      <w:r>
        <w:rPr>
          <w:rStyle w:val="17"/>
          <w:rFonts w:ascii="仿宋" w:hAnsi="仿宋" w:eastAsia="仿宋"/>
          <w:bCs/>
          <w:sz w:val="32"/>
          <w:szCs w:val="32"/>
        </w:rPr>
        <w:t>.</w:t>
      </w:r>
      <w:r>
        <w:rPr>
          <w:rStyle w:val="17"/>
          <w:rFonts w:hint="eastAsia" w:ascii="仿宋" w:hAnsi="仿宋" w:eastAsia="仿宋"/>
          <w:bCs/>
          <w:sz w:val="32"/>
          <w:szCs w:val="32"/>
        </w:rPr>
        <w:t>灾害防治及应急管理支出（类）应急事务（款）应急管理（项）</w:t>
      </w:r>
      <w:r>
        <w:rPr>
          <w:rStyle w:val="17"/>
          <w:rFonts w:hint="eastAsia" w:ascii="仿宋" w:hAnsi="仿宋" w:eastAsia="仿宋"/>
          <w:b w:val="0"/>
          <w:bCs/>
          <w:sz w:val="32"/>
          <w:szCs w:val="32"/>
        </w:rPr>
        <w:t>支出决算为3.36万元，完成预算100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22年一般公共预算财政拨款基本支出814.62万元，其中：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715.12万元，主要包括：基本工资、津贴补贴、奖金、伙食补助费、绩效工资、机关事业单位基本养老保险缴费、职业年金缴费、职工基本医疗保险缴费、公务员医疗补助缴费、其他社会保障缴费、住房公积金、对个人和家庭的补助、生活补助、奖励金支出等。</w:t>
      </w:r>
      <w:r>
        <w:rPr>
          <w:rFonts w:ascii="仿宋" w:hAnsi="仿宋" w:eastAsia="仿宋"/>
          <w:sz w:val="32"/>
          <w:szCs w:val="32"/>
        </w:rPr>
        <w:br w:type="textWrapping"/>
      </w:r>
      <w:r>
        <w:rPr>
          <w:rFonts w:hint="eastAsia" w:ascii="仿宋" w:hAnsi="仿宋" w:eastAsia="仿宋"/>
          <w:sz w:val="32"/>
          <w:szCs w:val="32"/>
        </w:rPr>
        <w:t>　　公用经费99.50万元，主要包括：办公费、水费、电费、邮电费、差旅费、会议费、公务接待费、工会经费、福利费、公务用车运行维护费、其他交通费和其他商品和服务支出等。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22年“三公”经费财政拨款支出决算为3.73万元，完成预算100</w:t>
      </w:r>
      <w:r>
        <w:rPr>
          <w:rFonts w:ascii="仿宋" w:hAnsi="仿宋" w:eastAsia="仿宋"/>
          <w:sz w:val="32"/>
          <w:szCs w:val="32"/>
        </w:rPr>
        <w:t>%</w:t>
      </w:r>
      <w:r>
        <w:rPr>
          <w:rFonts w:hint="eastAsia" w:ascii="仿宋" w:hAnsi="仿宋" w:eastAsia="仿宋"/>
          <w:sz w:val="32"/>
          <w:szCs w:val="32"/>
        </w:rPr>
        <w:t>，较上年增加0.49万元，增长15.12%。决算数与预算数持平。“三公”经费较上年增长主要原因是公务用车运行维护费较上年增加，因车辆使用时间增加，维修维护费用增加，“三公”经费增加。</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22年“三公”经费财政拨款支出决算中，公务用车购置及运行维护费支出决算3.51万元，占94.10</w:t>
      </w:r>
      <w:r>
        <w:rPr>
          <w:rFonts w:ascii="仿宋" w:hAnsi="仿宋" w:eastAsia="仿宋"/>
          <w:sz w:val="32"/>
          <w:szCs w:val="32"/>
        </w:rPr>
        <w:t>%</w:t>
      </w:r>
      <w:r>
        <w:rPr>
          <w:rFonts w:hint="eastAsia" w:ascii="仿宋" w:hAnsi="仿宋" w:eastAsia="仿宋"/>
          <w:sz w:val="32"/>
          <w:szCs w:val="32"/>
        </w:rPr>
        <w:t>；公务接待费支出决算0.22万元，占5.90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pPr>
      <w:r>
        <w:rPr>
          <w:rFonts w:hint="eastAsia" w:ascii="仿宋" w:hAnsi="仿宋" w:eastAsia="仿宋"/>
          <w:sz w:val="32"/>
          <w:szCs w:val="32"/>
        </w:rPr>
        <w:t>（图7：“三公”经费财政拨款支出结构）（饼状图）</w:t>
      </w:r>
    </w:p>
    <w:p>
      <w:pPr>
        <w:pStyle w:val="2"/>
        <w:spacing w:before="93"/>
      </w:pPr>
      <w:r>
        <w:rPr>
          <w:rFonts w:hint="eastAsia" w:eastAsiaTheme="minorEastAsia"/>
        </w:rPr>
        <w:drawing>
          <wp:inline distT="0" distB="0" distL="114300" distR="114300">
            <wp:extent cx="5208270" cy="4563745"/>
            <wp:effectExtent l="4445" t="4445" r="1460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公务用车购置及运行维护费支出</w:t>
      </w:r>
      <w:r>
        <w:rPr>
          <w:rFonts w:hint="eastAsia" w:ascii="仿宋_GB2312" w:eastAsia="仿宋_GB2312"/>
          <w:sz w:val="32"/>
          <w:szCs w:val="32"/>
        </w:rPr>
        <w:t>3.51万元,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21年增加0.75万元，增长27.17</w:t>
      </w:r>
      <w:r>
        <w:rPr>
          <w:rFonts w:ascii="仿宋_GB2312" w:eastAsia="仿宋_GB2312"/>
          <w:sz w:val="32"/>
          <w:szCs w:val="32"/>
        </w:rPr>
        <w:t>%</w:t>
      </w:r>
      <w:r>
        <w:rPr>
          <w:rFonts w:hint="eastAsia" w:ascii="仿宋_GB2312" w:eastAsia="仿宋_GB2312"/>
          <w:sz w:val="32"/>
          <w:szCs w:val="32"/>
        </w:rPr>
        <w:t>。主要原因是车辆使用时间增加，维修维护费用增加。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0万元，2022年度未更新购置车辆。截至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月底，单位共有公务用车2辆，其中：轿车2辆。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3.51万元。主要用于生态环境保护、消防、地质灾害、企业生产安全巡查等重点工作和森林防灭火、防汛减灾等各类应急事务管理所需的公务用车燃料费、维修费、过路过桥费、保险费等支出。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0.22万元，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21年减少0.26万元，下降54.17</w:t>
      </w:r>
      <w:r>
        <w:rPr>
          <w:rFonts w:ascii="仿宋_GB2312" w:eastAsia="仿宋_GB2312"/>
          <w:sz w:val="32"/>
          <w:szCs w:val="32"/>
        </w:rPr>
        <w:t>%</w:t>
      </w:r>
      <w:r>
        <w:rPr>
          <w:rFonts w:hint="eastAsia" w:ascii="仿宋_GB2312" w:eastAsia="仿宋_GB2312"/>
          <w:sz w:val="32"/>
          <w:szCs w:val="32"/>
        </w:rPr>
        <w:t>。主要原因是接待人次减少。其中：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0.22</w:t>
      </w:r>
      <w:r>
        <w:rPr>
          <w:rFonts w:hint="eastAsia" w:ascii="仿宋_GB2312" w:eastAsia="仿宋_GB2312"/>
          <w:sz w:val="32"/>
          <w:szCs w:val="32"/>
        </w:rPr>
        <w:t>万元，主要用于开展农村集体经济交流和结队共建帮扶活动开支的用餐费。国内公务接待2批次，22人次（不包括陪同人员），共计支出0.22万元，具体内容包括：绿心街道到本镇交流农村集体经济发展经验接待餐费0.1万元和峨边县沙坪镇来我镇开展结队帮扶工作接待餐费0.12万元。</w:t>
      </w:r>
    </w:p>
    <w:p>
      <w:pPr>
        <w:spacing w:line="600" w:lineRule="exact"/>
        <w:ind w:firstLine="640"/>
        <w:outlineLvl w:val="1"/>
        <w:rPr>
          <w:rStyle w:val="29"/>
          <w:rFonts w:ascii="黑体" w:hAnsi="黑体" w:eastAsia="黑体"/>
        </w:rPr>
      </w:pPr>
      <w:bookmarkStart w:id="40" w:name="_Toc15396610"/>
      <w:bookmarkStart w:id="41" w:name="_Toc15377218"/>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4"/>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22年，本部门机关运行经费支出99.50万元，比</w:t>
      </w:r>
      <w:r>
        <w:rPr>
          <w:rFonts w:ascii="仿宋_GB2312" w:eastAsia="仿宋_GB2312"/>
          <w:sz w:val="32"/>
          <w:szCs w:val="32"/>
        </w:rPr>
        <w:t>20</w:t>
      </w:r>
      <w:r>
        <w:rPr>
          <w:rFonts w:hint="eastAsia" w:ascii="仿宋_GB2312" w:eastAsia="仿宋_GB2312"/>
          <w:sz w:val="32"/>
          <w:szCs w:val="32"/>
        </w:rPr>
        <w:t>21年增加0.03万元，增长0.03</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21年决算数持平。</w:t>
      </w:r>
      <w:r>
        <w:rPr>
          <w:rFonts w:hint="eastAsia" w:ascii="仿宋" w:hAnsi="仿宋" w:eastAsia="仿宋"/>
          <w:sz w:val="32"/>
          <w:szCs w:val="32"/>
        </w:rPr>
        <w:t>主要原因新增安置退伍人员，人员增加，运行经费增加。</w:t>
      </w:r>
      <w:bookmarkStart w:id="71" w:name="_GoBack"/>
      <w:bookmarkEnd w:id="71"/>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22年，本单位政府采购支出总额142.06万元，其中：政府采购货物支出1.9万元、政府采购工程支出140.16万元。主要用于原仙米寺段产业路提升工程采购。授予中小企业合同金额142.06万元，占政府采购支出总额的100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日，本单位共有车辆2辆，其中：应急保障用车2辆，主要是用于应急巡查等公务保障。无单价</w:t>
      </w:r>
      <w:r>
        <w:rPr>
          <w:rFonts w:ascii="仿宋_GB2312" w:eastAsia="仿宋_GB2312"/>
          <w:sz w:val="32"/>
          <w:szCs w:val="32"/>
        </w:rPr>
        <w:t>100</w:t>
      </w:r>
      <w:r>
        <w:rPr>
          <w:rFonts w:hint="eastAsia" w:ascii="仿宋_GB2312" w:eastAsia="仿宋_GB2312"/>
          <w:sz w:val="32"/>
          <w:szCs w:val="32"/>
        </w:rPr>
        <w:t>万元以上专用设备。</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根据预算绩效管理要求，本单位在2022年度预算编制阶段，组织对</w:t>
      </w:r>
      <w:r>
        <w:rPr>
          <w:rFonts w:hint="eastAsia" w:ascii="仿宋_GB2312" w:hAnsi="Calibri" w:eastAsia="仿宋_GB2312"/>
          <w:sz w:val="32"/>
          <w:szCs w:val="32"/>
          <w:lang w:val="zh-CN"/>
        </w:rPr>
        <w:t>基层组织活动和公共服务运行、专职网格员、三支一扶人员经费、人居环境治理环卫包干和</w:t>
      </w:r>
      <w:r>
        <w:rPr>
          <w:rFonts w:hint="eastAsia" w:ascii="仿宋_GB2312" w:hAnsi="Calibri" w:eastAsia="仿宋_GB2312"/>
          <w:sz w:val="32"/>
          <w:szCs w:val="32"/>
        </w:rPr>
        <w:t>棉竹镇仙米寺段产业提升道路项目</w:t>
      </w:r>
      <w:r>
        <w:rPr>
          <w:rFonts w:hint="eastAsia" w:ascii="仿宋_GB2312" w:hAnsi="Calibri" w:eastAsia="仿宋_GB2312"/>
          <w:sz w:val="32"/>
          <w:szCs w:val="32"/>
          <w:lang w:val="zh-CN"/>
        </w:rPr>
        <w:t>项目5</w:t>
      </w:r>
      <w:r>
        <w:rPr>
          <w:rFonts w:hint="eastAsia" w:ascii="仿宋_GB2312" w:hAnsi="仿宋_GB2312" w:eastAsia="仿宋_GB2312" w:cs="仿宋_GB2312"/>
          <w:sz w:val="32"/>
          <w:szCs w:val="32"/>
        </w:rPr>
        <w:t>个项目开展了预算事前绩效评估，对32个项目编制了绩效目标，预算执行过程中，选取5个项目开展绩效监控。</w:t>
      </w:r>
    </w:p>
    <w:p>
      <w:pPr>
        <w:ind w:firstLine="480" w:firstLineChars="1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组织对本单位2022年度一般公共预算资金全面开展绩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效评价，形成2022年棉竹镇整体支出绩效评价报告、三支一扶人员经费项目支出绩效自评表、专职网格员项目自评表、</w:t>
      </w:r>
      <w:r>
        <w:rPr>
          <w:rFonts w:hint="eastAsia" w:ascii="仿宋_GB2312" w:hAnsi="Calibri" w:eastAsia="仿宋_GB2312"/>
          <w:sz w:val="32"/>
          <w:szCs w:val="32"/>
          <w:lang w:val="zh-CN"/>
        </w:rPr>
        <w:t>人居环境治理环卫包干项目自评表</w:t>
      </w:r>
      <w:r>
        <w:rPr>
          <w:rFonts w:hint="eastAsia" w:ascii="仿宋_GB2312" w:hAnsi="仿宋_GB2312" w:eastAsia="仿宋_GB2312" w:cs="仿宋_GB2312"/>
          <w:sz w:val="32"/>
          <w:szCs w:val="32"/>
        </w:rPr>
        <w:t>。从评价情况来看，本年度整体支出绩效评价指标体系自评分为99分，预算安排控制较好，均控制在预算编制以内。预算执行方面，支出总额控制在预算总额以内，不存在截留或滞留专项资金情况。（绩效自评报告详见附件。</w:t>
      </w:r>
      <w:bookmarkStart w:id="49" w:name="_Toc15377225"/>
      <w:bookmarkStart w:id="50" w:name="_Toc15396613"/>
      <w:r>
        <w:rPr>
          <w:rFonts w:hint="eastAsia" w:ascii="仿宋_GB2312" w:hAnsi="仿宋_GB2312" w:eastAsia="仿宋_GB2312" w:cs="仿宋_GB2312"/>
          <w:sz w:val="32"/>
          <w:szCs w:val="32"/>
        </w:rPr>
        <w:t>）</w:t>
      </w:r>
    </w:p>
    <w:bookmarkEnd w:id="49"/>
    <w:bookmarkEnd w:id="50"/>
    <w:p>
      <w:pPr>
        <w:widowControl/>
        <w:jc w:val="center"/>
        <w:rPr>
          <w:rStyle w:val="35"/>
          <w:rFonts w:ascii="黑体" w:hAnsi="黑体" w:eastAsia="黑体"/>
          <w:sz w:val="48"/>
          <w:szCs w:val="48"/>
        </w:rPr>
      </w:pPr>
    </w:p>
    <w:p>
      <w:pPr>
        <w:widowControl/>
        <w:jc w:val="center"/>
        <w:rPr>
          <w:rFonts w:ascii="黑体" w:hAnsi="黑体" w:eastAsia="黑体"/>
          <w:b/>
          <w:bCs/>
          <w:kern w:val="44"/>
          <w:sz w:val="48"/>
          <w:szCs w:val="48"/>
        </w:rPr>
      </w:pPr>
      <w:r>
        <w:rPr>
          <w:rStyle w:val="35"/>
          <w:rFonts w:hint="eastAsia" w:ascii="黑体" w:hAnsi="黑体" w:eastAsia="黑体"/>
          <w:sz w:val="48"/>
          <w:szCs w:val="48"/>
        </w:rPr>
        <w:t>第三部分  名词解释</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 xml:space="preserve"> 其他收入：指除上述“财政拨款收入”、“事业收入”、“经营收入”等以外的收入。主要是单位历年各</w:t>
      </w:r>
      <w:r>
        <w:rPr>
          <w:rFonts w:ascii="仿宋_GB2312" w:eastAsia="仿宋_GB2312"/>
          <w:color w:val="auto"/>
          <w:sz w:val="32"/>
          <w:szCs w:val="32"/>
        </w:rPr>
        <w:t>项工作经费结余</w:t>
      </w:r>
      <w:r>
        <w:rPr>
          <w:rFonts w:hint="eastAsia" w:ascii="仿宋_GB2312" w:eastAsia="仿宋_GB2312"/>
          <w:color w:val="auto"/>
          <w:sz w:val="32"/>
          <w:szCs w:val="32"/>
        </w:rPr>
        <w:t>、待</w:t>
      </w:r>
      <w:r>
        <w:rPr>
          <w:rFonts w:ascii="仿宋_GB2312" w:eastAsia="仿宋_GB2312"/>
          <w:color w:val="auto"/>
          <w:sz w:val="32"/>
          <w:szCs w:val="32"/>
        </w:rPr>
        <w:t>拨付各</w:t>
      </w:r>
      <w:r>
        <w:rPr>
          <w:rFonts w:hint="eastAsia" w:ascii="仿宋_GB2312" w:eastAsia="仿宋_GB2312"/>
          <w:color w:val="auto"/>
          <w:sz w:val="32"/>
          <w:szCs w:val="32"/>
        </w:rPr>
        <w:t>村（社</w:t>
      </w:r>
      <w:r>
        <w:rPr>
          <w:rFonts w:ascii="仿宋_GB2312" w:eastAsia="仿宋_GB2312"/>
          <w:color w:val="auto"/>
          <w:sz w:val="32"/>
          <w:szCs w:val="32"/>
        </w:rPr>
        <w:t>区</w:t>
      </w:r>
      <w:r>
        <w:rPr>
          <w:rFonts w:hint="eastAsia" w:ascii="仿宋_GB2312" w:eastAsia="仿宋_GB2312"/>
          <w:color w:val="auto"/>
          <w:sz w:val="32"/>
          <w:szCs w:val="32"/>
        </w:rPr>
        <w:t>）、</w:t>
      </w:r>
      <w:r>
        <w:rPr>
          <w:rFonts w:ascii="仿宋_GB2312" w:eastAsia="仿宋_GB2312"/>
          <w:color w:val="auto"/>
          <w:sz w:val="32"/>
          <w:szCs w:val="32"/>
        </w:rPr>
        <w:t>社</w:t>
      </w:r>
      <w:r>
        <w:rPr>
          <w:rFonts w:hint="eastAsia" w:ascii="仿宋_GB2312" w:eastAsia="仿宋_GB2312"/>
          <w:color w:val="auto"/>
          <w:sz w:val="32"/>
          <w:szCs w:val="32"/>
        </w:rPr>
        <w:t>的</w:t>
      </w:r>
      <w:r>
        <w:rPr>
          <w:rFonts w:ascii="仿宋_GB2312" w:eastAsia="仿宋_GB2312"/>
          <w:color w:val="auto"/>
          <w:sz w:val="32"/>
          <w:szCs w:val="32"/>
        </w:rPr>
        <w:t>各项目</w:t>
      </w:r>
      <w:r>
        <w:rPr>
          <w:rFonts w:hint="eastAsia" w:ascii="仿宋_GB2312" w:eastAsia="仿宋_GB2312"/>
          <w:color w:val="auto"/>
          <w:sz w:val="32"/>
          <w:szCs w:val="32"/>
        </w:rPr>
        <w:t>征</w:t>
      </w:r>
      <w:r>
        <w:rPr>
          <w:rFonts w:ascii="仿宋_GB2312" w:eastAsia="仿宋_GB2312"/>
          <w:color w:val="auto"/>
          <w:sz w:val="32"/>
          <w:szCs w:val="32"/>
        </w:rPr>
        <w:t>地拆迁工作经费</w:t>
      </w:r>
      <w:r>
        <w:rPr>
          <w:rFonts w:hint="eastAsia" w:ascii="仿宋_GB2312" w:eastAsia="仿宋_GB2312"/>
          <w:color w:val="auto"/>
          <w:sz w:val="32"/>
          <w:szCs w:val="32"/>
        </w:rPr>
        <w:t>等。</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 xml:space="preserve">. </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 xml:space="preserve">. </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hint="eastAsia" w:ascii="仿宋_GB2312" w:eastAsia="仿宋_GB2312"/>
          <w:color w:val="auto"/>
        </w:rPr>
        <w:t xml:space="preserve"> </w:t>
      </w:r>
      <w:r>
        <w:rPr>
          <w:rFonts w:hint="eastAsia" w:ascii="仿宋_GB2312" w:eastAsia="仿宋_GB2312"/>
          <w:color w:val="auto"/>
          <w:sz w:val="32"/>
          <w:szCs w:val="32"/>
        </w:rPr>
        <w:t>一</w:t>
      </w:r>
      <w:r>
        <w:rPr>
          <w:rFonts w:ascii="仿宋_GB2312" w:eastAsia="仿宋_GB2312"/>
          <w:color w:val="auto"/>
          <w:sz w:val="32"/>
          <w:szCs w:val="32"/>
        </w:rPr>
        <w:t>般公共</w:t>
      </w:r>
      <w:r>
        <w:rPr>
          <w:rFonts w:hint="eastAsia" w:ascii="仿宋_GB2312" w:eastAsia="仿宋_GB2312"/>
          <w:color w:val="auto"/>
          <w:sz w:val="32"/>
          <w:szCs w:val="32"/>
        </w:rPr>
        <w:t>服务（类）人</w:t>
      </w:r>
      <w:r>
        <w:rPr>
          <w:rFonts w:ascii="仿宋_GB2312" w:eastAsia="仿宋_GB2312"/>
          <w:color w:val="auto"/>
          <w:sz w:val="32"/>
          <w:szCs w:val="32"/>
        </w:rPr>
        <w:t>大事务支</w:t>
      </w:r>
      <w:r>
        <w:rPr>
          <w:rFonts w:hint="eastAsia" w:ascii="仿宋_GB2312" w:eastAsia="仿宋_GB2312"/>
          <w:color w:val="auto"/>
          <w:sz w:val="32"/>
          <w:szCs w:val="32"/>
        </w:rPr>
        <w:t>出（款）一</w:t>
      </w:r>
      <w:r>
        <w:rPr>
          <w:rFonts w:ascii="仿宋_GB2312" w:eastAsia="仿宋_GB2312"/>
          <w:color w:val="auto"/>
          <w:sz w:val="32"/>
          <w:szCs w:val="32"/>
        </w:rPr>
        <w:t>般</w:t>
      </w:r>
      <w:r>
        <w:rPr>
          <w:rFonts w:hint="eastAsia" w:ascii="仿宋_GB2312" w:eastAsia="仿宋_GB2312"/>
          <w:color w:val="auto"/>
          <w:sz w:val="32"/>
          <w:szCs w:val="32"/>
        </w:rPr>
        <w:t>行</w:t>
      </w:r>
      <w:r>
        <w:rPr>
          <w:rFonts w:ascii="仿宋_GB2312" w:eastAsia="仿宋_GB2312"/>
          <w:color w:val="auto"/>
          <w:sz w:val="32"/>
          <w:szCs w:val="32"/>
        </w:rPr>
        <w:t>政</w:t>
      </w:r>
      <w:r>
        <w:rPr>
          <w:rFonts w:hint="eastAsia" w:ascii="仿宋_GB2312" w:eastAsia="仿宋_GB2312"/>
          <w:color w:val="auto"/>
          <w:sz w:val="32"/>
          <w:szCs w:val="32"/>
        </w:rPr>
        <w:t>管理</w:t>
      </w:r>
      <w:r>
        <w:rPr>
          <w:rFonts w:ascii="仿宋_GB2312" w:eastAsia="仿宋_GB2312"/>
          <w:color w:val="auto"/>
          <w:sz w:val="32"/>
          <w:szCs w:val="32"/>
        </w:rPr>
        <w:t>事务支出</w:t>
      </w:r>
      <w:r>
        <w:rPr>
          <w:rFonts w:hint="eastAsia" w:ascii="仿宋_GB2312" w:eastAsia="仿宋_GB2312"/>
          <w:color w:val="auto"/>
          <w:sz w:val="32"/>
          <w:szCs w:val="32"/>
        </w:rPr>
        <w:t>（项）：指用</w:t>
      </w:r>
      <w:r>
        <w:rPr>
          <w:rFonts w:ascii="仿宋_GB2312" w:eastAsia="仿宋_GB2312"/>
          <w:color w:val="auto"/>
          <w:sz w:val="32"/>
          <w:szCs w:val="32"/>
        </w:rPr>
        <w:t>于</w:t>
      </w:r>
      <w:r>
        <w:rPr>
          <w:rFonts w:hint="eastAsia" w:ascii="仿宋_GB2312" w:eastAsia="仿宋_GB2312"/>
          <w:color w:val="auto"/>
          <w:sz w:val="32"/>
          <w:szCs w:val="32"/>
        </w:rPr>
        <w:t>人大</w:t>
      </w:r>
      <w:r>
        <w:rPr>
          <w:rFonts w:ascii="仿宋_GB2312" w:eastAsia="仿宋_GB2312"/>
          <w:color w:val="auto"/>
          <w:sz w:val="32"/>
          <w:szCs w:val="32"/>
        </w:rPr>
        <w:t>代表</w:t>
      </w:r>
      <w:r>
        <w:rPr>
          <w:rFonts w:hint="eastAsia" w:ascii="仿宋_GB2312" w:eastAsia="仿宋_GB2312"/>
          <w:color w:val="auto"/>
          <w:sz w:val="32"/>
          <w:szCs w:val="32"/>
        </w:rPr>
        <w:t>工作日常支出；代表工作（项）：指用于人大代表</w:t>
      </w:r>
      <w:r>
        <w:rPr>
          <w:rFonts w:ascii="仿宋_GB2312" w:eastAsia="仿宋_GB2312"/>
          <w:color w:val="auto"/>
          <w:sz w:val="32"/>
          <w:szCs w:val="32"/>
        </w:rPr>
        <w:t>活动经费</w:t>
      </w:r>
      <w:r>
        <w:rPr>
          <w:rFonts w:hint="eastAsia" w:ascii="仿宋_GB2312" w:eastAsia="仿宋_GB2312"/>
          <w:color w:val="auto"/>
          <w:sz w:val="32"/>
          <w:szCs w:val="32"/>
        </w:rPr>
        <w:t>支</w:t>
      </w:r>
      <w:r>
        <w:rPr>
          <w:rFonts w:ascii="仿宋_GB2312" w:eastAsia="仿宋_GB2312"/>
          <w:color w:val="auto"/>
          <w:sz w:val="32"/>
          <w:szCs w:val="32"/>
        </w:rPr>
        <w:t>出</w:t>
      </w:r>
      <w:r>
        <w:rPr>
          <w:rFonts w:hint="eastAsia" w:ascii="仿宋_GB2312" w:eastAsia="仿宋_GB2312"/>
          <w:color w:val="auto"/>
          <w:sz w:val="32"/>
          <w:szCs w:val="32"/>
        </w:rPr>
        <w:t>。</w:t>
      </w:r>
    </w:p>
    <w:p>
      <w:pPr>
        <w:spacing w:line="56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一</w:t>
      </w:r>
      <w:r>
        <w:rPr>
          <w:rFonts w:ascii="仿宋_GB2312" w:hAnsi="Calibri" w:eastAsia="仿宋_GB2312" w:cs="仿宋"/>
          <w:kern w:val="0"/>
          <w:sz w:val="32"/>
          <w:szCs w:val="32"/>
        </w:rPr>
        <w:t>般公共</w:t>
      </w:r>
      <w:r>
        <w:rPr>
          <w:rFonts w:hint="eastAsia" w:ascii="仿宋_GB2312" w:hAnsi="Calibri" w:eastAsia="仿宋_GB2312" w:cs="仿宋"/>
          <w:kern w:val="0"/>
          <w:sz w:val="32"/>
          <w:szCs w:val="32"/>
        </w:rPr>
        <w:t>服务（类）政府办公厅（室）及相关机构事务（款）行政运行（项）：指主要用于政府机</w:t>
      </w:r>
      <w:r>
        <w:rPr>
          <w:rFonts w:ascii="仿宋_GB2312" w:hAnsi="Calibri" w:eastAsia="仿宋_GB2312" w:cs="仿宋"/>
          <w:kern w:val="0"/>
          <w:sz w:val="32"/>
          <w:szCs w:val="32"/>
        </w:rPr>
        <w:t>关</w:t>
      </w:r>
      <w:r>
        <w:rPr>
          <w:rFonts w:hint="eastAsia" w:ascii="仿宋_GB2312" w:hAnsi="Calibri" w:eastAsia="仿宋_GB2312" w:cs="仿宋"/>
          <w:kern w:val="0"/>
          <w:sz w:val="32"/>
          <w:szCs w:val="32"/>
        </w:rPr>
        <w:t>单位人员工资、日常运转以及为完成特定行政工作任务和事业发展目标而安排的年度项目支出;一般行政管理事务（项）：指</w:t>
      </w:r>
      <w:r>
        <w:rPr>
          <w:rFonts w:ascii="仿宋_GB2312" w:hAnsi="Calibri" w:eastAsia="仿宋_GB2312" w:cs="仿宋"/>
          <w:kern w:val="0"/>
          <w:sz w:val="32"/>
          <w:szCs w:val="32"/>
        </w:rPr>
        <w:t>用于</w:t>
      </w:r>
      <w:r>
        <w:rPr>
          <w:rFonts w:hint="eastAsia" w:ascii="仿宋_GB2312" w:hAnsi="Calibri" w:eastAsia="仿宋_GB2312" w:cs="仿宋"/>
          <w:kern w:val="0"/>
          <w:sz w:val="32"/>
          <w:szCs w:val="32"/>
        </w:rPr>
        <w:t>关心</w:t>
      </w:r>
      <w:r>
        <w:rPr>
          <w:rFonts w:ascii="仿宋_GB2312" w:hAnsi="Calibri" w:eastAsia="仿宋_GB2312" w:cs="仿宋"/>
          <w:kern w:val="0"/>
          <w:sz w:val="32"/>
          <w:szCs w:val="32"/>
        </w:rPr>
        <w:t>下一代工作、</w:t>
      </w:r>
      <w:r>
        <w:rPr>
          <w:rFonts w:hint="eastAsia" w:ascii="仿宋_GB2312" w:hAnsi="Calibri" w:eastAsia="仿宋_GB2312" w:cs="仿宋"/>
          <w:kern w:val="0"/>
          <w:sz w:val="32"/>
          <w:szCs w:val="32"/>
        </w:rPr>
        <w:t>维稳</w:t>
      </w:r>
      <w:r>
        <w:rPr>
          <w:rFonts w:ascii="仿宋_GB2312" w:hAnsi="Calibri" w:eastAsia="仿宋_GB2312" w:cs="仿宋"/>
          <w:kern w:val="0"/>
          <w:sz w:val="32"/>
          <w:szCs w:val="32"/>
        </w:rPr>
        <w:t>工作</w:t>
      </w:r>
      <w:r>
        <w:rPr>
          <w:rFonts w:hint="eastAsia" w:ascii="仿宋_GB2312" w:hAnsi="Calibri" w:eastAsia="仿宋_GB2312" w:cs="仿宋"/>
          <w:kern w:val="0"/>
          <w:sz w:val="32"/>
          <w:szCs w:val="32"/>
        </w:rPr>
        <w:t>等</w:t>
      </w:r>
      <w:r>
        <w:rPr>
          <w:rFonts w:ascii="仿宋_GB2312" w:hAnsi="Calibri" w:eastAsia="仿宋_GB2312" w:cs="仿宋"/>
          <w:kern w:val="0"/>
          <w:sz w:val="32"/>
          <w:szCs w:val="32"/>
        </w:rPr>
        <w:t>乡镇工</w:t>
      </w:r>
      <w:r>
        <w:rPr>
          <w:rFonts w:hint="eastAsia" w:ascii="仿宋_GB2312" w:hAnsi="Calibri" w:eastAsia="仿宋_GB2312" w:cs="仿宋"/>
          <w:kern w:val="0"/>
          <w:sz w:val="32"/>
          <w:szCs w:val="32"/>
        </w:rPr>
        <w:t>作</w:t>
      </w:r>
      <w:r>
        <w:rPr>
          <w:rFonts w:ascii="仿宋_GB2312" w:hAnsi="Calibri" w:eastAsia="仿宋_GB2312" w:cs="仿宋"/>
          <w:kern w:val="0"/>
          <w:sz w:val="32"/>
          <w:szCs w:val="32"/>
        </w:rPr>
        <w:t>经费支出</w:t>
      </w:r>
      <w:r>
        <w:rPr>
          <w:rFonts w:hint="eastAsia" w:ascii="仿宋_GB2312" w:hAnsi="Calibri" w:eastAsia="仿宋_GB2312" w:cs="仿宋"/>
          <w:kern w:val="0"/>
          <w:sz w:val="32"/>
          <w:szCs w:val="32"/>
        </w:rPr>
        <w:t>；信访事务（项）：指用于信访工作相关经费支出。事业运行（项）：指用于事业单位人员工资支出。</w:t>
      </w:r>
    </w:p>
    <w:p>
      <w:pPr>
        <w:spacing w:line="56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一</w:t>
      </w:r>
      <w:r>
        <w:rPr>
          <w:rFonts w:ascii="仿宋_GB2312" w:hAnsi="Calibri" w:eastAsia="仿宋_GB2312" w:cs="仿宋"/>
          <w:kern w:val="0"/>
          <w:sz w:val="32"/>
          <w:szCs w:val="32"/>
        </w:rPr>
        <w:t>般公共</w:t>
      </w:r>
      <w:r>
        <w:rPr>
          <w:rFonts w:hint="eastAsia" w:ascii="仿宋_GB2312" w:hAnsi="Calibri" w:eastAsia="仿宋_GB2312" w:cs="仿宋"/>
          <w:kern w:val="0"/>
          <w:sz w:val="32"/>
          <w:szCs w:val="32"/>
        </w:rPr>
        <w:t>服务（类）组织事务（款）一般行政管理事务（项）：指用于组织部门选调生到村任职相关经费支出。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 xml:space="preserve">6. </w:t>
      </w:r>
      <w:r>
        <w:rPr>
          <w:rFonts w:hint="eastAsia" w:ascii="仿宋_GB2312" w:hAnsi="Calibri" w:eastAsia="仿宋_GB2312" w:cs="仿宋"/>
          <w:kern w:val="0"/>
          <w:sz w:val="32"/>
          <w:szCs w:val="32"/>
        </w:rPr>
        <w:t>公共</w:t>
      </w:r>
      <w:r>
        <w:rPr>
          <w:rFonts w:ascii="仿宋_GB2312" w:hAnsi="Calibri" w:eastAsia="仿宋_GB2312" w:cs="仿宋"/>
          <w:kern w:val="0"/>
          <w:sz w:val="32"/>
          <w:szCs w:val="32"/>
        </w:rPr>
        <w:t>安全</w:t>
      </w:r>
      <w:r>
        <w:rPr>
          <w:rFonts w:hint="eastAsia" w:ascii="仿宋_GB2312" w:hAnsi="Calibri" w:eastAsia="仿宋_GB2312" w:cs="仿宋"/>
          <w:kern w:val="0"/>
          <w:sz w:val="32"/>
          <w:szCs w:val="32"/>
        </w:rPr>
        <w:t>（类）公</w:t>
      </w:r>
      <w:r>
        <w:rPr>
          <w:rFonts w:ascii="仿宋_GB2312" w:hAnsi="Calibri" w:eastAsia="仿宋_GB2312" w:cs="仿宋"/>
          <w:kern w:val="0"/>
          <w:sz w:val="32"/>
          <w:szCs w:val="32"/>
        </w:rPr>
        <w:t>安（</w:t>
      </w:r>
      <w:r>
        <w:rPr>
          <w:rFonts w:hint="eastAsia" w:ascii="仿宋_GB2312" w:hAnsi="Calibri" w:eastAsia="仿宋_GB2312" w:cs="仿宋"/>
          <w:kern w:val="0"/>
          <w:sz w:val="32"/>
          <w:szCs w:val="32"/>
        </w:rPr>
        <w:t>款</w:t>
      </w:r>
      <w:r>
        <w:rPr>
          <w:rFonts w:ascii="仿宋_GB2312" w:hAnsi="Calibri" w:eastAsia="仿宋_GB2312" w:cs="仿宋"/>
          <w:kern w:val="0"/>
          <w:sz w:val="32"/>
          <w:szCs w:val="32"/>
        </w:rPr>
        <w:t>）</w:t>
      </w:r>
      <w:r>
        <w:rPr>
          <w:rFonts w:hint="eastAsia" w:ascii="仿宋_GB2312" w:hAnsi="Calibri" w:eastAsia="仿宋_GB2312" w:cs="仿宋"/>
          <w:kern w:val="0"/>
          <w:sz w:val="32"/>
          <w:szCs w:val="32"/>
        </w:rPr>
        <w:t>其他公安支出</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w:t>
      </w:r>
      <w:r>
        <w:rPr>
          <w:rFonts w:ascii="仿宋_GB2312" w:hAnsi="Calibri" w:eastAsia="仿宋_GB2312" w:cs="仿宋"/>
          <w:kern w:val="0"/>
          <w:sz w:val="32"/>
          <w:szCs w:val="32"/>
        </w:rPr>
        <w:t>）</w:t>
      </w:r>
      <w:r>
        <w:rPr>
          <w:rFonts w:hint="eastAsia" w:ascii="仿宋_GB2312" w:hAnsi="Calibri" w:eastAsia="仿宋_GB2312" w:cs="仿宋"/>
          <w:kern w:val="0"/>
          <w:sz w:val="32"/>
          <w:szCs w:val="32"/>
        </w:rPr>
        <w:t>：指用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交</w:t>
      </w:r>
      <w:r>
        <w:rPr>
          <w:rFonts w:ascii="仿宋_GB2312" w:hAnsi="Calibri" w:eastAsia="仿宋_GB2312" w:cs="仿宋"/>
          <w:kern w:val="0"/>
          <w:sz w:val="32"/>
          <w:szCs w:val="32"/>
        </w:rPr>
        <w:t>通协管</w:t>
      </w:r>
      <w:r>
        <w:rPr>
          <w:rFonts w:hint="eastAsia" w:ascii="仿宋_GB2312" w:hAnsi="Calibri" w:eastAsia="仿宋_GB2312" w:cs="仿宋"/>
          <w:kern w:val="0"/>
          <w:sz w:val="32"/>
          <w:szCs w:val="32"/>
        </w:rPr>
        <w:t>站</w:t>
      </w:r>
      <w:r>
        <w:rPr>
          <w:rFonts w:ascii="仿宋_GB2312" w:hAnsi="Calibri" w:eastAsia="仿宋_GB2312" w:cs="仿宋"/>
          <w:kern w:val="0"/>
          <w:sz w:val="32"/>
          <w:szCs w:val="32"/>
        </w:rPr>
        <w:t>日常巡查</w:t>
      </w:r>
      <w:r>
        <w:rPr>
          <w:rFonts w:hint="eastAsia" w:ascii="仿宋_GB2312" w:hAnsi="Calibri" w:eastAsia="仿宋_GB2312" w:cs="仿宋"/>
          <w:kern w:val="0"/>
          <w:sz w:val="32"/>
          <w:szCs w:val="32"/>
        </w:rPr>
        <w:t>等</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公共</w:t>
      </w:r>
      <w:r>
        <w:rPr>
          <w:rFonts w:ascii="仿宋_GB2312" w:hAnsi="Calibri" w:eastAsia="仿宋_GB2312" w:cs="仿宋"/>
          <w:kern w:val="0"/>
          <w:sz w:val="32"/>
          <w:szCs w:val="32"/>
        </w:rPr>
        <w:t>安全支出</w:t>
      </w:r>
      <w:r>
        <w:rPr>
          <w:rFonts w:hint="eastAsia" w:ascii="仿宋_GB2312" w:hAnsi="Calibri" w:eastAsia="仿宋_GB2312" w:cs="仿宋"/>
          <w:kern w:val="0"/>
          <w:sz w:val="32"/>
          <w:szCs w:val="32"/>
        </w:rPr>
        <w:t>（类）司法</w:t>
      </w:r>
      <w:r>
        <w:rPr>
          <w:rFonts w:ascii="仿宋_GB2312" w:hAnsi="Calibri" w:eastAsia="仿宋_GB2312" w:cs="仿宋"/>
          <w:kern w:val="0"/>
          <w:sz w:val="32"/>
          <w:szCs w:val="32"/>
        </w:rPr>
        <w:t>（</w:t>
      </w:r>
      <w:r>
        <w:rPr>
          <w:rFonts w:hint="eastAsia" w:ascii="仿宋_GB2312" w:hAnsi="Calibri" w:eastAsia="仿宋_GB2312" w:cs="仿宋"/>
          <w:kern w:val="0"/>
          <w:sz w:val="32"/>
          <w:szCs w:val="32"/>
        </w:rPr>
        <w:t>款</w:t>
      </w:r>
      <w:r>
        <w:rPr>
          <w:rFonts w:ascii="仿宋_GB2312" w:hAnsi="Calibri" w:eastAsia="仿宋_GB2312" w:cs="仿宋"/>
          <w:kern w:val="0"/>
          <w:sz w:val="32"/>
          <w:szCs w:val="32"/>
        </w:rPr>
        <w:t>）</w:t>
      </w:r>
      <w:r>
        <w:rPr>
          <w:rFonts w:hint="eastAsia" w:ascii="仿宋_GB2312" w:hAnsi="Calibri" w:eastAsia="仿宋_GB2312" w:cs="仿宋"/>
          <w:kern w:val="0"/>
          <w:sz w:val="32"/>
          <w:szCs w:val="32"/>
        </w:rPr>
        <w:t>社区矫正</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w:t>
      </w:r>
      <w:r>
        <w:rPr>
          <w:rFonts w:ascii="仿宋_GB2312" w:hAnsi="Calibri" w:eastAsia="仿宋_GB2312" w:cs="仿宋"/>
          <w:kern w:val="0"/>
          <w:sz w:val="32"/>
          <w:szCs w:val="32"/>
        </w:rPr>
        <w:t>）</w:t>
      </w:r>
      <w:r>
        <w:rPr>
          <w:rFonts w:hint="eastAsia" w:ascii="仿宋_GB2312" w:hAnsi="Calibri" w:eastAsia="仿宋_GB2312" w:cs="仿宋"/>
          <w:kern w:val="0"/>
          <w:sz w:val="32"/>
          <w:szCs w:val="32"/>
        </w:rPr>
        <w:t>：用于</w:t>
      </w:r>
      <w:r>
        <w:rPr>
          <w:rFonts w:ascii="仿宋_GB2312" w:hAnsi="Calibri" w:eastAsia="仿宋_GB2312" w:cs="仿宋"/>
          <w:kern w:val="0"/>
          <w:sz w:val="32"/>
          <w:szCs w:val="32"/>
        </w:rPr>
        <w:t>社区矫正工作支出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7.</w:t>
      </w:r>
      <w:r>
        <w:rPr>
          <w:rFonts w:hint="eastAsia" w:ascii="仿宋_GB2312" w:hAnsi="Calibri" w:eastAsia="仿宋_GB2312" w:cs="仿宋"/>
          <w:kern w:val="0"/>
          <w:sz w:val="32"/>
          <w:szCs w:val="32"/>
        </w:rPr>
        <w:t xml:space="preserve"> 文化旅游体育</w:t>
      </w:r>
      <w:r>
        <w:rPr>
          <w:rFonts w:ascii="仿宋_GB2312" w:hAnsi="Calibri" w:eastAsia="仿宋_GB2312" w:cs="仿宋"/>
          <w:kern w:val="0"/>
          <w:sz w:val="32"/>
          <w:szCs w:val="32"/>
        </w:rPr>
        <w:t>与传媒（</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文化和旅游</w:t>
      </w:r>
      <w:r>
        <w:rPr>
          <w:rFonts w:ascii="仿宋_GB2312" w:hAnsi="Calibri" w:eastAsia="仿宋_GB2312" w:cs="仿宋"/>
          <w:kern w:val="0"/>
          <w:sz w:val="32"/>
          <w:szCs w:val="32"/>
        </w:rPr>
        <w:t>（</w:t>
      </w:r>
      <w:r>
        <w:rPr>
          <w:rFonts w:hint="eastAsia" w:ascii="仿宋_GB2312" w:hAnsi="Calibri" w:eastAsia="仿宋_GB2312" w:cs="仿宋"/>
          <w:kern w:val="0"/>
          <w:sz w:val="32"/>
          <w:szCs w:val="32"/>
        </w:rPr>
        <w:t>款</w:t>
      </w:r>
      <w:r>
        <w:rPr>
          <w:rFonts w:ascii="仿宋_GB2312" w:hAnsi="Calibri" w:eastAsia="仿宋_GB2312" w:cs="仿宋"/>
          <w:kern w:val="0"/>
          <w:sz w:val="32"/>
          <w:szCs w:val="32"/>
        </w:rPr>
        <w:t>）</w:t>
      </w:r>
      <w:r>
        <w:rPr>
          <w:rFonts w:hint="eastAsia" w:ascii="仿宋_GB2312" w:hAnsi="Calibri" w:eastAsia="仿宋_GB2312" w:cs="仿宋"/>
          <w:kern w:val="0"/>
          <w:sz w:val="32"/>
          <w:szCs w:val="32"/>
        </w:rPr>
        <w:t>其他文化和旅游支出</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w:t>
      </w:r>
      <w:r>
        <w:rPr>
          <w:rFonts w:ascii="仿宋_GB2312" w:hAnsi="Calibri" w:eastAsia="仿宋_GB2312" w:cs="仿宋"/>
          <w:kern w:val="0"/>
          <w:sz w:val="32"/>
          <w:szCs w:val="32"/>
        </w:rPr>
        <w:t>）</w:t>
      </w:r>
      <w:r>
        <w:rPr>
          <w:rFonts w:hint="eastAsia" w:ascii="仿宋_GB2312" w:hAnsi="Calibri" w:eastAsia="仿宋_GB2312" w:cs="仿宋"/>
          <w:kern w:val="0"/>
          <w:sz w:val="32"/>
          <w:szCs w:val="32"/>
        </w:rPr>
        <w:t>：指用于开</w:t>
      </w:r>
      <w:r>
        <w:rPr>
          <w:rFonts w:ascii="仿宋_GB2312" w:hAnsi="Calibri" w:eastAsia="仿宋_GB2312" w:cs="仿宋"/>
          <w:kern w:val="0"/>
          <w:sz w:val="32"/>
          <w:szCs w:val="32"/>
        </w:rPr>
        <w:t>展</w:t>
      </w:r>
      <w:r>
        <w:rPr>
          <w:rFonts w:hint="eastAsia" w:ascii="仿宋_GB2312" w:hAnsi="Calibri" w:eastAsia="仿宋_GB2312" w:cs="仿宋"/>
          <w:kern w:val="0"/>
          <w:sz w:val="32"/>
          <w:szCs w:val="32"/>
        </w:rPr>
        <w:t>文化</w:t>
      </w:r>
      <w:r>
        <w:rPr>
          <w:rFonts w:ascii="仿宋_GB2312" w:hAnsi="Calibri" w:eastAsia="仿宋_GB2312" w:cs="仿宋"/>
          <w:kern w:val="0"/>
          <w:sz w:val="32"/>
          <w:szCs w:val="32"/>
        </w:rPr>
        <w:t>活动</w:t>
      </w:r>
      <w:r>
        <w:rPr>
          <w:rFonts w:hint="eastAsia" w:ascii="仿宋_GB2312" w:hAnsi="Calibri" w:eastAsia="仿宋_GB2312" w:cs="仿宋"/>
          <w:kern w:val="0"/>
          <w:sz w:val="32"/>
          <w:szCs w:val="32"/>
        </w:rPr>
        <w:t>、</w:t>
      </w:r>
      <w:r>
        <w:rPr>
          <w:rFonts w:ascii="仿宋_GB2312" w:hAnsi="Calibri" w:eastAsia="仿宋_GB2312" w:cs="仿宋"/>
          <w:kern w:val="0"/>
          <w:sz w:val="32"/>
          <w:szCs w:val="32"/>
        </w:rPr>
        <w:t>文化站</w:t>
      </w:r>
      <w:r>
        <w:rPr>
          <w:rFonts w:hint="eastAsia" w:ascii="仿宋_GB2312" w:hAnsi="Calibri" w:eastAsia="仿宋_GB2312" w:cs="仿宋"/>
          <w:kern w:val="0"/>
          <w:sz w:val="32"/>
          <w:szCs w:val="32"/>
        </w:rPr>
        <w:t>建设、</w:t>
      </w:r>
      <w:r>
        <w:rPr>
          <w:rFonts w:ascii="仿宋_GB2312" w:hAnsi="Calibri" w:eastAsia="仿宋_GB2312" w:cs="仿宋"/>
          <w:kern w:val="0"/>
          <w:sz w:val="32"/>
          <w:szCs w:val="32"/>
        </w:rPr>
        <w:t>文化</w:t>
      </w:r>
      <w:r>
        <w:rPr>
          <w:rFonts w:hint="eastAsia" w:ascii="仿宋_GB2312" w:hAnsi="Calibri" w:eastAsia="仿宋_GB2312" w:cs="仿宋"/>
          <w:kern w:val="0"/>
          <w:sz w:val="32"/>
          <w:szCs w:val="32"/>
        </w:rPr>
        <w:t>站免费</w:t>
      </w:r>
      <w:r>
        <w:rPr>
          <w:rFonts w:ascii="仿宋_GB2312" w:hAnsi="Calibri" w:eastAsia="仿宋_GB2312" w:cs="仿宋"/>
          <w:kern w:val="0"/>
          <w:sz w:val="32"/>
          <w:szCs w:val="32"/>
        </w:rPr>
        <w:t>开放</w:t>
      </w:r>
      <w:r>
        <w:rPr>
          <w:rFonts w:hint="eastAsia" w:ascii="仿宋_GB2312" w:hAnsi="Calibri" w:eastAsia="仿宋_GB2312" w:cs="仿宋"/>
          <w:kern w:val="0"/>
          <w:sz w:val="32"/>
          <w:szCs w:val="32"/>
        </w:rPr>
        <w:t>等支</w:t>
      </w:r>
      <w:r>
        <w:rPr>
          <w:rFonts w:ascii="仿宋_GB2312" w:hAnsi="Calibri" w:eastAsia="仿宋_GB2312" w:cs="仿宋"/>
          <w:kern w:val="0"/>
          <w:sz w:val="32"/>
          <w:szCs w:val="32"/>
        </w:rPr>
        <w:t>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文化旅游体育</w:t>
      </w:r>
      <w:r>
        <w:rPr>
          <w:rFonts w:ascii="仿宋_GB2312" w:hAnsi="Calibri" w:eastAsia="仿宋_GB2312" w:cs="仿宋"/>
          <w:kern w:val="0"/>
          <w:sz w:val="32"/>
          <w:szCs w:val="32"/>
        </w:rPr>
        <w:t>与传媒（</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广播电视</w:t>
      </w:r>
      <w:r>
        <w:rPr>
          <w:rFonts w:ascii="仿宋_GB2312" w:hAnsi="Calibri" w:eastAsia="仿宋_GB2312" w:cs="仿宋"/>
          <w:kern w:val="0"/>
          <w:sz w:val="32"/>
          <w:szCs w:val="32"/>
        </w:rPr>
        <w:t>（</w:t>
      </w:r>
      <w:r>
        <w:rPr>
          <w:rFonts w:hint="eastAsia" w:ascii="仿宋_GB2312" w:hAnsi="Calibri" w:eastAsia="仿宋_GB2312" w:cs="仿宋"/>
          <w:kern w:val="0"/>
          <w:sz w:val="32"/>
          <w:szCs w:val="32"/>
        </w:rPr>
        <w:t>款</w:t>
      </w:r>
      <w:r>
        <w:rPr>
          <w:rFonts w:ascii="仿宋_GB2312" w:hAnsi="Calibri" w:eastAsia="仿宋_GB2312" w:cs="仿宋"/>
          <w:kern w:val="0"/>
          <w:sz w:val="32"/>
          <w:szCs w:val="32"/>
        </w:rPr>
        <w:t>）</w:t>
      </w:r>
      <w:r>
        <w:rPr>
          <w:rFonts w:hint="eastAsia" w:ascii="仿宋_GB2312" w:hAnsi="Calibri" w:eastAsia="仿宋_GB2312" w:cs="仿宋"/>
          <w:kern w:val="0"/>
          <w:sz w:val="32"/>
          <w:szCs w:val="32"/>
        </w:rPr>
        <w:t>其他广播电视支出</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w:t>
      </w:r>
      <w:r>
        <w:rPr>
          <w:rFonts w:ascii="仿宋_GB2312" w:hAnsi="Calibri" w:eastAsia="仿宋_GB2312" w:cs="仿宋"/>
          <w:kern w:val="0"/>
          <w:sz w:val="32"/>
          <w:szCs w:val="32"/>
        </w:rPr>
        <w:t>）</w:t>
      </w:r>
      <w:r>
        <w:rPr>
          <w:rFonts w:hint="eastAsia" w:ascii="仿宋_GB2312" w:hAnsi="Calibri" w:eastAsia="仿宋_GB2312" w:cs="仿宋"/>
          <w:kern w:val="0"/>
          <w:sz w:val="32"/>
          <w:szCs w:val="32"/>
        </w:rPr>
        <w:t>：指用</w:t>
      </w:r>
      <w:r>
        <w:rPr>
          <w:rFonts w:ascii="仿宋_GB2312" w:hAnsi="Calibri" w:eastAsia="仿宋_GB2312" w:cs="仿宋"/>
          <w:kern w:val="0"/>
          <w:sz w:val="32"/>
          <w:szCs w:val="32"/>
        </w:rPr>
        <w:t>于广播运行维</w:t>
      </w:r>
      <w:r>
        <w:rPr>
          <w:rFonts w:hint="eastAsia" w:ascii="仿宋_GB2312" w:hAnsi="Calibri" w:eastAsia="仿宋_GB2312" w:cs="仿宋"/>
          <w:kern w:val="0"/>
          <w:sz w:val="32"/>
          <w:szCs w:val="32"/>
        </w:rPr>
        <w:t>护</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8</w:t>
      </w:r>
      <w:r>
        <w:rPr>
          <w:rFonts w:hint="eastAsia" w:ascii="仿宋_GB2312" w:hAnsi="Calibri" w:eastAsia="仿宋_GB2312" w:cs="仿宋"/>
          <w:kern w:val="0"/>
          <w:sz w:val="32"/>
          <w:szCs w:val="32"/>
        </w:rPr>
        <w:t>. 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民政</w:t>
      </w:r>
      <w:r>
        <w:rPr>
          <w:rFonts w:ascii="仿宋_GB2312" w:hAnsi="Calibri" w:eastAsia="仿宋_GB2312" w:cs="仿宋"/>
          <w:kern w:val="0"/>
          <w:sz w:val="32"/>
          <w:szCs w:val="32"/>
        </w:rPr>
        <w:t>管理事务</w:t>
      </w:r>
      <w:r>
        <w:rPr>
          <w:rFonts w:hint="eastAsia" w:ascii="仿宋_GB2312" w:hAnsi="Calibri" w:eastAsia="仿宋_GB2312" w:cs="仿宋"/>
          <w:kern w:val="0"/>
          <w:sz w:val="32"/>
          <w:szCs w:val="32"/>
        </w:rPr>
        <w:t>（款）基层政权</w:t>
      </w:r>
      <w:r>
        <w:rPr>
          <w:rFonts w:ascii="仿宋_GB2312" w:hAnsi="Calibri" w:eastAsia="仿宋_GB2312" w:cs="仿宋"/>
          <w:kern w:val="0"/>
          <w:sz w:val="32"/>
          <w:szCs w:val="32"/>
        </w:rPr>
        <w:t>和社区</w:t>
      </w:r>
      <w:r>
        <w:rPr>
          <w:rFonts w:hint="eastAsia" w:ascii="仿宋_GB2312" w:hAnsi="Calibri" w:eastAsia="仿宋_GB2312" w:cs="仿宋"/>
          <w:kern w:val="0"/>
          <w:sz w:val="32"/>
          <w:szCs w:val="32"/>
        </w:rPr>
        <w:t>治理（项）：指</w:t>
      </w:r>
      <w:r>
        <w:rPr>
          <w:rFonts w:ascii="仿宋_GB2312" w:hAnsi="Calibri" w:eastAsia="仿宋_GB2312" w:cs="仿宋"/>
          <w:kern w:val="0"/>
          <w:sz w:val="32"/>
          <w:szCs w:val="32"/>
        </w:rPr>
        <w:t>用于社区干部生活补助</w:t>
      </w:r>
      <w:r>
        <w:rPr>
          <w:rFonts w:hint="eastAsia" w:ascii="仿宋_GB2312" w:hAnsi="Calibri" w:eastAsia="仿宋_GB2312" w:cs="仿宋"/>
          <w:kern w:val="0"/>
          <w:sz w:val="32"/>
          <w:szCs w:val="32"/>
        </w:rPr>
        <w:t>和</w:t>
      </w:r>
      <w:r>
        <w:rPr>
          <w:rFonts w:ascii="仿宋_GB2312" w:hAnsi="Calibri" w:eastAsia="仿宋_GB2312" w:cs="仿宋"/>
          <w:kern w:val="0"/>
          <w:sz w:val="32"/>
          <w:szCs w:val="32"/>
        </w:rPr>
        <w:t>社会保障缴费支出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行政事业</w:t>
      </w:r>
      <w:r>
        <w:rPr>
          <w:rFonts w:ascii="仿宋_GB2312" w:hAnsi="Calibri" w:eastAsia="仿宋_GB2312" w:cs="仿宋"/>
          <w:kern w:val="0"/>
          <w:sz w:val="32"/>
          <w:szCs w:val="32"/>
        </w:rPr>
        <w:t>单位</w:t>
      </w:r>
      <w:r>
        <w:rPr>
          <w:rFonts w:hint="eastAsia" w:ascii="仿宋_GB2312" w:hAnsi="Calibri" w:eastAsia="仿宋_GB2312" w:cs="仿宋"/>
          <w:kern w:val="0"/>
          <w:sz w:val="32"/>
          <w:szCs w:val="32"/>
        </w:rPr>
        <w:t>养老支出（款）机关事业单位基本养老保险缴费支出（项）：指用</w:t>
      </w:r>
      <w:r>
        <w:rPr>
          <w:rFonts w:ascii="仿宋_GB2312" w:hAnsi="Calibri" w:eastAsia="仿宋_GB2312" w:cs="仿宋"/>
          <w:kern w:val="0"/>
          <w:sz w:val="32"/>
          <w:szCs w:val="32"/>
        </w:rPr>
        <w:t>于机关事业单位基本养老保险金缴费支出</w:t>
      </w:r>
      <w:r>
        <w:rPr>
          <w:rFonts w:hint="eastAsia" w:ascii="仿宋_GB2312" w:hAnsi="Calibri" w:eastAsia="仿宋_GB2312" w:cs="仿宋"/>
          <w:kern w:val="0"/>
          <w:sz w:val="32"/>
          <w:szCs w:val="32"/>
        </w:rPr>
        <w:t>；机关事业单位职业年金缴费支出（项）：指用</w:t>
      </w:r>
      <w:r>
        <w:rPr>
          <w:rFonts w:ascii="仿宋_GB2312" w:hAnsi="Calibri" w:eastAsia="仿宋_GB2312" w:cs="仿宋"/>
          <w:kern w:val="0"/>
          <w:sz w:val="32"/>
          <w:szCs w:val="32"/>
        </w:rPr>
        <w:t>于机关事业单位职</w:t>
      </w:r>
      <w:r>
        <w:rPr>
          <w:rFonts w:hint="eastAsia" w:ascii="仿宋_GB2312" w:hAnsi="Calibri" w:eastAsia="仿宋_GB2312" w:cs="仿宋"/>
          <w:kern w:val="0"/>
          <w:sz w:val="32"/>
          <w:szCs w:val="32"/>
        </w:rPr>
        <w:t>业</w:t>
      </w:r>
      <w:r>
        <w:rPr>
          <w:rFonts w:ascii="仿宋_GB2312" w:hAnsi="Calibri" w:eastAsia="仿宋_GB2312" w:cs="仿宋"/>
          <w:kern w:val="0"/>
          <w:sz w:val="32"/>
          <w:szCs w:val="32"/>
        </w:rPr>
        <w:t>年金缴费支出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就业补助（款）公益性岗位补贴（项）：指用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公益性岗位人员工资和社会保障缴费</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抚恤（款）其它优抚支出（项）：指用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遗属补助</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退役安置（款）其他退役安置支出（项）：指用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天空山村军转干活动经费支出。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社会福利（款）养老服务（项）：指用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棉竹镇社区养老综合体工程建设支出。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社会</w:t>
      </w:r>
      <w:r>
        <w:rPr>
          <w:rFonts w:ascii="仿宋_GB2312" w:hAnsi="Calibri" w:eastAsia="仿宋_GB2312" w:cs="仿宋"/>
          <w:kern w:val="0"/>
          <w:sz w:val="32"/>
          <w:szCs w:val="32"/>
        </w:rPr>
        <w:t>保障和就业（</w:t>
      </w:r>
      <w:r>
        <w:rPr>
          <w:rFonts w:hint="eastAsia" w:ascii="仿宋_GB2312" w:hAnsi="Calibri" w:eastAsia="仿宋_GB2312" w:cs="仿宋"/>
          <w:kern w:val="0"/>
          <w:sz w:val="32"/>
          <w:szCs w:val="32"/>
        </w:rPr>
        <w:t>类</w:t>
      </w:r>
      <w:r>
        <w:rPr>
          <w:rFonts w:ascii="仿宋_GB2312" w:hAnsi="Calibri" w:eastAsia="仿宋_GB2312" w:cs="仿宋"/>
          <w:kern w:val="0"/>
          <w:sz w:val="32"/>
          <w:szCs w:val="32"/>
        </w:rPr>
        <w:t>）</w:t>
      </w:r>
      <w:r>
        <w:rPr>
          <w:rFonts w:hint="eastAsia" w:ascii="仿宋_GB2312" w:hAnsi="Calibri" w:eastAsia="仿宋_GB2312" w:cs="仿宋"/>
          <w:kern w:val="0"/>
          <w:sz w:val="32"/>
          <w:szCs w:val="32"/>
        </w:rPr>
        <w:t>残疾人事业（款）其他残疾人事业支出（项）：指用</w:t>
      </w:r>
      <w:r>
        <w:rPr>
          <w:rFonts w:ascii="仿宋_GB2312" w:hAnsi="Calibri" w:eastAsia="仿宋_GB2312" w:cs="仿宋"/>
          <w:kern w:val="0"/>
          <w:sz w:val="32"/>
          <w:szCs w:val="32"/>
        </w:rPr>
        <w:t>于行政事业单位</w:t>
      </w:r>
      <w:r>
        <w:rPr>
          <w:rFonts w:hint="eastAsia" w:ascii="仿宋_GB2312" w:hAnsi="Calibri" w:eastAsia="仿宋_GB2312" w:cs="仿宋"/>
          <w:kern w:val="0"/>
          <w:sz w:val="32"/>
          <w:szCs w:val="32"/>
        </w:rPr>
        <w:t>残疾</w:t>
      </w:r>
      <w:r>
        <w:rPr>
          <w:rFonts w:ascii="仿宋_GB2312" w:hAnsi="Calibri" w:eastAsia="仿宋_GB2312" w:cs="仿宋"/>
          <w:kern w:val="0"/>
          <w:sz w:val="32"/>
          <w:szCs w:val="32"/>
        </w:rPr>
        <w:t>人保障</w:t>
      </w:r>
      <w:r>
        <w:rPr>
          <w:rFonts w:hint="eastAsia" w:ascii="仿宋_GB2312" w:hAnsi="Calibri" w:eastAsia="仿宋_GB2312" w:cs="仿宋"/>
          <w:kern w:val="0"/>
          <w:sz w:val="32"/>
          <w:szCs w:val="32"/>
        </w:rPr>
        <w:t>金</w:t>
      </w:r>
      <w:r>
        <w:rPr>
          <w:rFonts w:ascii="仿宋_GB2312" w:hAnsi="Calibri" w:eastAsia="仿宋_GB2312" w:cs="仿宋"/>
          <w:kern w:val="0"/>
          <w:sz w:val="32"/>
          <w:szCs w:val="32"/>
        </w:rPr>
        <w:t>缴费支出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9.</w:t>
      </w:r>
      <w:r>
        <w:rPr>
          <w:rFonts w:hint="eastAsia" w:ascii="仿宋_GB2312" w:hAnsi="Calibri" w:eastAsia="仿宋_GB2312" w:cs="仿宋"/>
          <w:kern w:val="0"/>
          <w:sz w:val="32"/>
          <w:szCs w:val="32"/>
        </w:rPr>
        <w:t xml:space="preserve"> 卫生健康支出（类）公共卫生（款）重大公共卫生服务（项）：指用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疫情防控相关</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卫生健康支出（类）行政事业单位医疗（款）行政单位医疗（项）：指用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行政</w:t>
      </w:r>
      <w:r>
        <w:rPr>
          <w:rFonts w:ascii="仿宋_GB2312" w:hAnsi="Calibri" w:eastAsia="仿宋_GB2312" w:cs="仿宋"/>
          <w:kern w:val="0"/>
          <w:sz w:val="32"/>
          <w:szCs w:val="32"/>
        </w:rPr>
        <w:t>单位医疗保险缴费支出</w:t>
      </w:r>
      <w:r>
        <w:rPr>
          <w:rFonts w:hint="eastAsia" w:ascii="仿宋_GB2312" w:hAnsi="Calibri" w:eastAsia="仿宋_GB2312" w:cs="仿宋"/>
          <w:kern w:val="0"/>
          <w:sz w:val="32"/>
          <w:szCs w:val="32"/>
        </w:rPr>
        <w:t>；事业单位医疗（项）：指用事业</w:t>
      </w:r>
      <w:r>
        <w:rPr>
          <w:rFonts w:ascii="仿宋_GB2312" w:hAnsi="Calibri" w:eastAsia="仿宋_GB2312" w:cs="仿宋"/>
          <w:kern w:val="0"/>
          <w:sz w:val="32"/>
          <w:szCs w:val="32"/>
        </w:rPr>
        <w:t>单位医疗保险缴费支出</w:t>
      </w:r>
      <w:r>
        <w:rPr>
          <w:rFonts w:hint="eastAsia" w:ascii="仿宋_GB2312" w:hAnsi="Calibri" w:eastAsia="仿宋_GB2312" w:cs="仿宋"/>
          <w:kern w:val="0"/>
          <w:sz w:val="32"/>
          <w:szCs w:val="32"/>
        </w:rPr>
        <w:t>。公务员医疗补助（项）：指用于行政单位公务员医疗补助费支出。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卫生健康（类）其他卫生健康（款）其他卫生健康支出（项）：指用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疫情防控、献血补助等支出。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10、城乡社区支出（类）城乡社区管理事务（款）其它城乡社区管理事务支出（项）：指</w:t>
      </w:r>
      <w:r>
        <w:rPr>
          <w:rFonts w:ascii="仿宋_GB2312" w:hAnsi="Calibri" w:eastAsia="仿宋_GB2312" w:cs="仿宋"/>
          <w:kern w:val="0"/>
          <w:sz w:val="32"/>
          <w:szCs w:val="32"/>
        </w:rPr>
        <w:t>用于</w:t>
      </w:r>
      <w:r>
        <w:rPr>
          <w:rFonts w:hint="eastAsia" w:ascii="仿宋_GB2312" w:hAnsi="Calibri" w:eastAsia="仿宋_GB2312" w:cs="仿宋"/>
          <w:kern w:val="0"/>
          <w:sz w:val="32"/>
          <w:szCs w:val="32"/>
        </w:rPr>
        <w:t>专职网格员工资、社会保障缴费等支</w:t>
      </w:r>
      <w:r>
        <w:rPr>
          <w:rFonts w:ascii="仿宋_GB2312" w:hAnsi="Calibri" w:eastAsia="仿宋_GB2312" w:cs="仿宋"/>
          <w:kern w:val="0"/>
          <w:sz w:val="32"/>
          <w:szCs w:val="32"/>
        </w:rPr>
        <w:t>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城乡社区支出（类）其它城乡社区支出（款）其它城乡社区支出（项）：指</w:t>
      </w:r>
      <w:r>
        <w:rPr>
          <w:rFonts w:ascii="仿宋_GB2312" w:hAnsi="Calibri" w:eastAsia="仿宋_GB2312" w:cs="仿宋"/>
          <w:kern w:val="0"/>
          <w:sz w:val="32"/>
          <w:szCs w:val="32"/>
        </w:rPr>
        <w:t>用于</w:t>
      </w:r>
      <w:r>
        <w:rPr>
          <w:rFonts w:hint="eastAsia" w:ascii="仿宋_GB2312" w:hAnsi="Calibri" w:eastAsia="仿宋_GB2312" w:cs="仿宋"/>
          <w:kern w:val="0"/>
          <w:sz w:val="32"/>
          <w:szCs w:val="32"/>
        </w:rPr>
        <w:t>大棚房专项整治经费等支</w:t>
      </w:r>
      <w:r>
        <w:rPr>
          <w:rFonts w:ascii="仿宋_GB2312" w:hAnsi="Calibri" w:eastAsia="仿宋_GB2312" w:cs="仿宋"/>
          <w:kern w:val="0"/>
          <w:sz w:val="32"/>
          <w:szCs w:val="32"/>
        </w:rPr>
        <w:t>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11、农林水支出（类）农业农村（款）事业运行（项）：指用于内设事业中心人员工资支出；农村道路建设（项）：指用于各村道路维修维护相关支出；对高校毕业生到基层任职补助（项）：指用</w:t>
      </w:r>
      <w:r>
        <w:rPr>
          <w:rFonts w:ascii="仿宋_GB2312" w:hAnsi="Calibri" w:eastAsia="仿宋_GB2312" w:cs="仿宋"/>
          <w:kern w:val="0"/>
          <w:sz w:val="32"/>
          <w:szCs w:val="32"/>
        </w:rPr>
        <w:t>于三支一</w:t>
      </w:r>
      <w:r>
        <w:rPr>
          <w:rFonts w:hint="eastAsia" w:ascii="仿宋_GB2312" w:hAnsi="Calibri" w:eastAsia="仿宋_GB2312" w:cs="仿宋"/>
          <w:kern w:val="0"/>
          <w:sz w:val="32"/>
          <w:szCs w:val="32"/>
        </w:rPr>
        <w:t>扶</w:t>
      </w:r>
      <w:r>
        <w:rPr>
          <w:rFonts w:ascii="仿宋_GB2312" w:hAnsi="Calibri" w:eastAsia="仿宋_GB2312" w:cs="仿宋"/>
          <w:kern w:val="0"/>
          <w:sz w:val="32"/>
          <w:szCs w:val="32"/>
        </w:rPr>
        <w:t>人员</w:t>
      </w:r>
      <w:r>
        <w:rPr>
          <w:rFonts w:hint="eastAsia" w:ascii="仿宋_GB2312" w:hAnsi="Calibri" w:eastAsia="仿宋_GB2312" w:cs="仿宋"/>
          <w:kern w:val="0"/>
          <w:sz w:val="32"/>
          <w:szCs w:val="32"/>
        </w:rPr>
        <w:t>的</w:t>
      </w:r>
      <w:r>
        <w:rPr>
          <w:rFonts w:ascii="仿宋_GB2312" w:hAnsi="Calibri" w:eastAsia="仿宋_GB2312" w:cs="仿宋"/>
          <w:kern w:val="0"/>
          <w:sz w:val="32"/>
          <w:szCs w:val="32"/>
        </w:rPr>
        <w:t>工</w:t>
      </w:r>
      <w:r>
        <w:rPr>
          <w:rFonts w:hint="eastAsia" w:ascii="仿宋_GB2312" w:hAnsi="Calibri" w:eastAsia="仿宋_GB2312" w:cs="仿宋"/>
          <w:kern w:val="0"/>
          <w:sz w:val="32"/>
          <w:szCs w:val="32"/>
        </w:rPr>
        <w:t>资</w:t>
      </w:r>
      <w:r>
        <w:rPr>
          <w:rFonts w:ascii="仿宋_GB2312" w:hAnsi="Calibri" w:eastAsia="仿宋_GB2312" w:cs="仿宋"/>
          <w:kern w:val="0"/>
          <w:sz w:val="32"/>
          <w:szCs w:val="32"/>
        </w:rPr>
        <w:t>、社</w:t>
      </w:r>
      <w:r>
        <w:rPr>
          <w:rFonts w:hint="eastAsia" w:ascii="仿宋_GB2312" w:hAnsi="Calibri" w:eastAsia="仿宋_GB2312" w:cs="仿宋"/>
          <w:kern w:val="0"/>
          <w:sz w:val="32"/>
          <w:szCs w:val="32"/>
        </w:rPr>
        <w:t>会</w:t>
      </w:r>
      <w:r>
        <w:rPr>
          <w:rFonts w:ascii="仿宋_GB2312" w:hAnsi="Calibri" w:eastAsia="仿宋_GB2312" w:cs="仿宋"/>
          <w:kern w:val="0"/>
          <w:sz w:val="32"/>
          <w:szCs w:val="32"/>
        </w:rPr>
        <w:t>保障缴费等支出</w:t>
      </w:r>
      <w:r>
        <w:rPr>
          <w:rFonts w:hint="eastAsia" w:ascii="仿宋_GB2312" w:hAnsi="Calibri" w:eastAsia="仿宋_GB2312" w:cs="仿宋"/>
          <w:kern w:val="0"/>
          <w:sz w:val="32"/>
          <w:szCs w:val="32"/>
        </w:rPr>
        <w:t>。其他农业农村支出（项）：指用于社区办公场所物业管理费用、乡村振兴示范点建设、社工岗人员工资和社会保障缴费支出、心连心岗便民服务点经费等支出。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农林水支出（类）水利（款）其他水利支出（项）：指用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天宫山村小二型水库日常维护经费支出。巩固脱贫衔接乡村振兴支出（项）：指用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脱贫攻坚成果巩固工作、乡村振兴原仙米寺村产业道路建设工程支出。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农林水支出（类）农村综合改革（款）对村民委员会和村党支部的补助（项）：指用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各村、社区干部工资、保险缴费、绩效工资、办公经费等支出。</w:t>
      </w:r>
    </w:p>
    <w:p>
      <w:pPr>
        <w:ind w:firstLine="480" w:firstLineChars="15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农林水支出（类）其它农林水支出（款）其它农林水支出（项）：指用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各村天府通办工作开展相关经费等支出。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12.交通运输支出（类）公路运输支出（款）海事管理（项）：指用于原石桥冲村渡口经费支出。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13、住房保障支出（类）住房改革支出（款）住房公积</w:t>
      </w:r>
      <w:r>
        <w:rPr>
          <w:rFonts w:ascii="仿宋_GB2312" w:hAnsi="Calibri" w:eastAsia="仿宋_GB2312" w:cs="仿宋"/>
          <w:kern w:val="0"/>
          <w:sz w:val="32"/>
          <w:szCs w:val="32"/>
        </w:rPr>
        <w:t>金</w:t>
      </w:r>
      <w:r>
        <w:rPr>
          <w:rFonts w:hint="eastAsia" w:ascii="仿宋_GB2312" w:hAnsi="Calibri" w:eastAsia="仿宋_GB2312" w:cs="仿宋"/>
          <w:kern w:val="0"/>
          <w:sz w:val="32"/>
          <w:szCs w:val="32"/>
        </w:rPr>
        <w:t>（项）：指用</w:t>
      </w:r>
      <w:r>
        <w:rPr>
          <w:rFonts w:ascii="仿宋_GB2312" w:hAnsi="Calibri" w:eastAsia="仿宋_GB2312" w:cs="仿宋"/>
          <w:kern w:val="0"/>
          <w:sz w:val="32"/>
          <w:szCs w:val="32"/>
        </w:rPr>
        <w:t>于机关事业单位职工住房公积金缴费支出</w:t>
      </w:r>
      <w:r>
        <w:rPr>
          <w:rFonts w:hint="eastAsia" w:ascii="仿宋_GB2312" w:hAnsi="Calibri" w:eastAsia="仿宋_GB2312" w:cs="仿宋"/>
          <w:kern w:val="0"/>
          <w:sz w:val="32"/>
          <w:szCs w:val="32"/>
        </w:rPr>
        <w:t>。</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14、灾害防治及应急管理支出（类）应急管理事务（款）应急管理（项）：指用</w:t>
      </w:r>
      <w:r>
        <w:rPr>
          <w:rFonts w:ascii="仿宋_GB2312" w:hAnsi="Calibri" w:eastAsia="仿宋_GB2312" w:cs="仿宋"/>
          <w:kern w:val="0"/>
          <w:sz w:val="32"/>
          <w:szCs w:val="32"/>
        </w:rPr>
        <w:t>于</w:t>
      </w:r>
      <w:r>
        <w:rPr>
          <w:rFonts w:hint="eastAsia" w:ascii="仿宋_GB2312" w:hAnsi="Calibri" w:eastAsia="仿宋_GB2312" w:cs="仿宋"/>
          <w:kern w:val="0"/>
          <w:sz w:val="32"/>
          <w:szCs w:val="32"/>
        </w:rPr>
        <w:t>镇、各村社区专兼职安监员补助支出。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15</w:t>
      </w:r>
      <w:r>
        <w:rPr>
          <w:rFonts w:ascii="仿宋_GB2312" w:hAnsi="Calibri" w:eastAsia="仿宋_GB2312" w:cs="仿宋"/>
          <w:kern w:val="0"/>
          <w:sz w:val="32"/>
          <w:szCs w:val="32"/>
        </w:rPr>
        <w:t>.</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16</w:t>
      </w:r>
      <w:r>
        <w:rPr>
          <w:rFonts w:ascii="仿宋_GB2312" w:hAnsi="Calibri" w:eastAsia="仿宋_GB2312" w:cs="仿宋"/>
          <w:kern w:val="0"/>
          <w:sz w:val="32"/>
          <w:szCs w:val="32"/>
        </w:rPr>
        <w:t>.</w:t>
      </w:r>
      <w:r>
        <w:rPr>
          <w:rFonts w:hint="eastAsia" w:ascii="仿宋_GB2312" w:hAnsi="Calibri" w:eastAsia="仿宋_GB2312" w:cs="仿宋"/>
          <w:kern w:val="0"/>
          <w:sz w:val="32"/>
          <w:szCs w:val="32"/>
        </w:rPr>
        <w:t>项目支出：指在基本支出之外为完成特定行政任务和事业发展目标所发生的支出。</w:t>
      </w:r>
      <w:r>
        <w:rPr>
          <w:rFonts w:ascii="仿宋_GB2312" w:hAnsi="Calibri" w:eastAsia="仿宋_GB2312" w:cs="仿宋"/>
          <w:kern w:val="0"/>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outlineLvl w:val="0"/>
        <w:rPr>
          <w:rFonts w:ascii="仿宋" w:hAnsi="仿宋" w:eastAsia="仿宋"/>
          <w:b/>
          <w:sz w:val="32"/>
          <w:szCs w:val="32"/>
        </w:rPr>
      </w:pPr>
      <w:bookmarkStart w:id="51" w:name="_Toc15396614"/>
      <w:bookmarkStart w:id="52" w:name="_Toc15377226"/>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bookmarkEnd w:id="51"/>
    </w:p>
    <w:p>
      <w:pPr>
        <w:pStyle w:val="2"/>
        <w:spacing w:before="93"/>
      </w:pPr>
    </w:p>
    <w:p>
      <w:pPr>
        <w:pStyle w:val="2"/>
        <w:spacing w:before="93"/>
        <w:ind w:firstLine="354" w:firstLineChars="98"/>
        <w:rPr>
          <w:b/>
          <w:sz w:val="36"/>
          <w:szCs w:val="36"/>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b/>
          <w:sz w:val="36"/>
          <w:szCs w:val="36"/>
        </w:rPr>
        <w:t>单位预算项目支出绩效自评表（2022年度）</w:t>
      </w:r>
    </w:p>
    <w:tbl>
      <w:tblPr>
        <w:tblStyle w:val="15"/>
        <w:tblW w:w="13355" w:type="dxa"/>
        <w:tblInd w:w="92" w:type="dxa"/>
        <w:tblLayout w:type="autofit"/>
        <w:tblCellMar>
          <w:top w:w="0" w:type="dxa"/>
          <w:left w:w="108" w:type="dxa"/>
          <w:bottom w:w="0" w:type="dxa"/>
          <w:right w:w="108" w:type="dxa"/>
        </w:tblCellMar>
      </w:tblPr>
      <w:tblGrid>
        <w:gridCol w:w="1400"/>
        <w:gridCol w:w="100"/>
        <w:gridCol w:w="100"/>
        <w:gridCol w:w="286"/>
        <w:gridCol w:w="227"/>
        <w:gridCol w:w="107"/>
        <w:gridCol w:w="100"/>
        <w:gridCol w:w="100"/>
        <w:gridCol w:w="292"/>
        <w:gridCol w:w="227"/>
        <w:gridCol w:w="461"/>
        <w:gridCol w:w="138"/>
        <w:gridCol w:w="62"/>
        <w:gridCol w:w="165"/>
        <w:gridCol w:w="35"/>
        <w:gridCol w:w="2192"/>
        <w:gridCol w:w="168"/>
        <w:gridCol w:w="692"/>
        <w:gridCol w:w="54"/>
        <w:gridCol w:w="506"/>
        <w:gridCol w:w="168"/>
        <w:gridCol w:w="141"/>
        <w:gridCol w:w="351"/>
        <w:gridCol w:w="603"/>
        <w:gridCol w:w="165"/>
        <w:gridCol w:w="352"/>
        <w:gridCol w:w="109"/>
        <w:gridCol w:w="594"/>
        <w:gridCol w:w="165"/>
        <w:gridCol w:w="213"/>
        <w:gridCol w:w="19"/>
        <w:gridCol w:w="436"/>
        <w:gridCol w:w="92"/>
        <w:gridCol w:w="295"/>
        <w:gridCol w:w="397"/>
        <w:gridCol w:w="88"/>
        <w:gridCol w:w="55"/>
        <w:gridCol w:w="230"/>
        <w:gridCol w:w="270"/>
        <w:gridCol w:w="172"/>
        <w:gridCol w:w="158"/>
        <w:gridCol w:w="67"/>
        <w:gridCol w:w="780"/>
        <w:gridCol w:w="23"/>
      </w:tblGrid>
      <w:tr>
        <w:tblPrEx>
          <w:tblCellMar>
            <w:top w:w="0" w:type="dxa"/>
            <w:left w:w="108" w:type="dxa"/>
            <w:bottom w:w="0" w:type="dxa"/>
            <w:right w:w="108" w:type="dxa"/>
          </w:tblCellMar>
        </w:tblPrEx>
        <w:trPr>
          <w:trHeight w:val="480" w:hRule="atLeast"/>
        </w:trPr>
        <w:tc>
          <w:tcPr>
            <w:tcW w:w="13355" w:type="dxa"/>
            <w:gridSpan w:val="44"/>
            <w:tcBorders>
              <w:top w:val="nil"/>
              <w:left w:val="nil"/>
              <w:bottom w:val="nil"/>
              <w:right w:val="nil"/>
            </w:tcBorders>
            <w:shd w:val="clear" w:color="auto" w:fill="auto"/>
            <w:noWrap/>
            <w:vAlign w:val="center"/>
          </w:tcPr>
          <w:p>
            <w:pPr>
              <w:widowControl/>
              <w:rPr>
                <w:rFonts w:ascii="宋体" w:hAnsi="宋体" w:cs="宋体"/>
                <w:bCs/>
                <w:color w:val="000000"/>
                <w:kern w:val="0"/>
                <w:sz w:val="36"/>
                <w:szCs w:val="36"/>
              </w:rPr>
            </w:pPr>
            <w:bookmarkStart w:id="53" w:name="RANGE!A1:I28"/>
            <w:r>
              <w:rPr>
                <w:rFonts w:hint="eastAsia" w:ascii="宋体" w:hAnsi="宋体" w:cs="宋体"/>
                <w:bCs/>
                <w:color w:val="000000"/>
                <w:kern w:val="0"/>
                <w:sz w:val="36"/>
                <w:szCs w:val="36"/>
              </w:rPr>
              <w:t>附件：1</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项目支出绩效自评表</w:t>
            </w:r>
            <w:bookmarkEnd w:id="53"/>
          </w:p>
        </w:tc>
      </w:tr>
      <w:tr>
        <w:tblPrEx>
          <w:tblCellMar>
            <w:top w:w="0" w:type="dxa"/>
            <w:left w:w="108" w:type="dxa"/>
            <w:bottom w:w="0" w:type="dxa"/>
            <w:right w:w="108" w:type="dxa"/>
          </w:tblCellMar>
        </w:tblPrEx>
        <w:trPr>
          <w:trHeight w:val="409" w:hRule="atLeast"/>
        </w:trPr>
        <w:tc>
          <w:tcPr>
            <w:tcW w:w="18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835" w:type="dxa"/>
            <w:gridSpan w:val="18"/>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基层组织活动和公共服务运行</w:t>
            </w:r>
          </w:p>
        </w:tc>
        <w:tc>
          <w:tcPr>
            <w:tcW w:w="158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054" w:type="dxa"/>
            <w:gridSpan w:val="1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trHeight w:val="409" w:hRule="atLeast"/>
        </w:trPr>
        <w:tc>
          <w:tcPr>
            <w:tcW w:w="1886"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835" w:type="dxa"/>
            <w:gridSpan w:val="18"/>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054"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trHeight w:val="409" w:hRule="atLeast"/>
        </w:trPr>
        <w:tc>
          <w:tcPr>
            <w:tcW w:w="13355" w:type="dxa"/>
            <w:gridSpan w:val="4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trHeight w:val="409" w:hRule="atLeast"/>
        </w:trPr>
        <w:tc>
          <w:tcPr>
            <w:tcW w:w="2712" w:type="dxa"/>
            <w:gridSpan w:val="9"/>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09"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007"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627"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trHeight w:val="409" w:hRule="atLeast"/>
        </w:trPr>
        <w:tc>
          <w:tcPr>
            <w:tcW w:w="271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500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3007"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627"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409" w:hRule="atLeast"/>
        </w:trPr>
        <w:tc>
          <w:tcPr>
            <w:tcW w:w="271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500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3007"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627"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409" w:hRule="atLeast"/>
        </w:trPr>
        <w:tc>
          <w:tcPr>
            <w:tcW w:w="271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500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07"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627"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9" w:hRule="atLeast"/>
        </w:trPr>
        <w:tc>
          <w:tcPr>
            <w:tcW w:w="1886" w:type="dxa"/>
            <w:gridSpan w:val="4"/>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7415" w:type="dxa"/>
            <w:gridSpan w:val="2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054"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trHeight w:val="1879" w:hRule="atLeast"/>
        </w:trPr>
        <w:tc>
          <w:tcPr>
            <w:tcW w:w="188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15" w:type="dxa"/>
            <w:gridSpan w:val="23"/>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为加强基层组织建设，提高基层公共服务保障水平和社会治理能力，各级财政按按排用于开展基层组织活动、农村公共服务运行维护和村级日常办公运转和一般性转移支付支出。</w:t>
            </w:r>
          </w:p>
        </w:tc>
        <w:tc>
          <w:tcPr>
            <w:tcW w:w="4054" w:type="dxa"/>
            <w:gridSpan w:val="1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2022年，投入64万元，为加强基层组织建设，提高基层公共服务保障水平和社会治理能力，用于开展基层组织活动、农村公共服务运行维护和村级日常办公运转和一般性转移支付支出。主要用于6个村、社区基层党组织开展组织活动、农村基础设施和环境类、农业生成服务类、农村生活服务类、农村社会管理类项目的运行维护。</w:t>
            </w:r>
          </w:p>
        </w:tc>
      </w:tr>
      <w:tr>
        <w:tblPrEx>
          <w:tblCellMar>
            <w:top w:w="0" w:type="dxa"/>
            <w:left w:w="108" w:type="dxa"/>
            <w:bottom w:w="0" w:type="dxa"/>
            <w:right w:w="108" w:type="dxa"/>
          </w:tblCellMar>
        </w:tblPrEx>
        <w:trPr>
          <w:trHeight w:val="529" w:hRule="atLeast"/>
        </w:trPr>
        <w:tc>
          <w:tcPr>
            <w:tcW w:w="18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183"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58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157"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trHeight w:val="409" w:hRule="atLeast"/>
        </w:trPr>
        <w:tc>
          <w:tcPr>
            <w:tcW w:w="10728" w:type="dxa"/>
            <w:gridSpan w:val="3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7721" w:type="dxa"/>
            <w:gridSpan w:val="2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580"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27"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52"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设4职的村个数</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设5职的村个数</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拨付每个社区运维费标准</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拨付设5职的村运维费标准</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拨付设4职的村运维费标准</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拨付各社区运维费及时率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社区个数</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拨付各村运维费准确率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拨付社区运维费准确率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拨付各村运维费及时率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52" w:type="dxa"/>
            <w:gridSpan w:val="8"/>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可持续影响指标</w:t>
            </w:r>
          </w:p>
        </w:tc>
        <w:tc>
          <w:tcPr>
            <w:tcW w:w="4183"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运维费管理机制健全性</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拨付社区运维费应拨尽拨率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拨付设5职的村运维费应拨尽拨率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5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83"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拨付设4职的村运维费应拨尽拨率</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1886"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52" w:type="dxa"/>
            <w:gridSpan w:val="8"/>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4183"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各、村社区受益群众满意度</w:t>
            </w:r>
          </w:p>
        </w:tc>
        <w:tc>
          <w:tcPr>
            <w:tcW w:w="15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27"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15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7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58" w:hRule="atLeast"/>
        </w:trPr>
        <w:tc>
          <w:tcPr>
            <w:tcW w:w="13355" w:type="dxa"/>
            <w:gridSpan w:val="4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trHeight w:val="758" w:hRule="atLeast"/>
        </w:trPr>
        <w:tc>
          <w:tcPr>
            <w:tcW w:w="13355" w:type="dxa"/>
            <w:gridSpan w:val="4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36"/>
                <w:szCs w:val="36"/>
              </w:rPr>
            </w:pPr>
            <w:r>
              <w:rPr>
                <w:rFonts w:hint="eastAsia" w:ascii="宋体" w:hAnsi="宋体" w:cs="宋体"/>
                <w:color w:val="000000"/>
                <w:kern w:val="0"/>
                <w:sz w:val="36"/>
                <w:szCs w:val="36"/>
              </w:rPr>
              <w:t>附件2：</w:t>
            </w:r>
          </w:p>
          <w:p>
            <w:pPr>
              <w:widowControl/>
              <w:ind w:firstLine="4514" w:firstLineChars="1249"/>
              <w:jc w:val="left"/>
              <w:rPr>
                <w:rFonts w:ascii="宋体" w:hAnsi="宋体" w:cs="宋体"/>
                <w:b/>
                <w:color w:val="000000"/>
                <w:kern w:val="0"/>
                <w:sz w:val="36"/>
                <w:szCs w:val="36"/>
              </w:rPr>
            </w:pPr>
            <w:r>
              <w:rPr>
                <w:rFonts w:hint="eastAsia" w:ascii="宋体" w:hAnsi="宋体" w:cs="宋体"/>
                <w:b/>
                <w:color w:val="000000"/>
                <w:kern w:val="0"/>
                <w:sz w:val="36"/>
                <w:szCs w:val="36"/>
              </w:rPr>
              <w:t>项目支出绩效自评表</w:t>
            </w:r>
          </w:p>
        </w:tc>
      </w:tr>
      <w:tr>
        <w:tblPrEx>
          <w:tblCellMar>
            <w:top w:w="0" w:type="dxa"/>
            <w:left w:w="108" w:type="dxa"/>
            <w:bottom w:w="0" w:type="dxa"/>
            <w:right w:w="108" w:type="dxa"/>
          </w:tblCellMar>
        </w:tblPrEx>
        <w:trPr>
          <w:gridAfter w:val="1"/>
          <w:wAfter w:w="23" w:type="dxa"/>
          <w:trHeight w:val="409" w:hRule="atLeast"/>
        </w:trPr>
        <w:tc>
          <w:tcPr>
            <w:tcW w:w="21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793"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专职网格员经费</w:t>
            </w:r>
          </w:p>
        </w:tc>
        <w:tc>
          <w:tcPr>
            <w:tcW w:w="176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657"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1"/>
          <w:wAfter w:w="23" w:type="dxa"/>
          <w:trHeight w:val="409" w:hRule="atLeast"/>
        </w:trPr>
        <w:tc>
          <w:tcPr>
            <w:tcW w:w="2113"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793"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657"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1"/>
          <w:wAfter w:w="23" w:type="dxa"/>
          <w:trHeight w:val="409" w:hRule="atLeast"/>
        </w:trPr>
        <w:tc>
          <w:tcPr>
            <w:tcW w:w="13332" w:type="dxa"/>
            <w:gridSpan w:val="4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1"/>
          <w:wAfter w:w="23" w:type="dxa"/>
          <w:trHeight w:val="409" w:hRule="atLeast"/>
        </w:trPr>
        <w:tc>
          <w:tcPr>
            <w:tcW w:w="2939" w:type="dxa"/>
            <w:gridSpan w:val="10"/>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967"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367"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5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1"/>
          <w:wAfter w:w="23" w:type="dxa"/>
          <w:trHeight w:val="409" w:hRule="atLeast"/>
        </w:trPr>
        <w:tc>
          <w:tcPr>
            <w:tcW w:w="2939"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967"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367"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05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23" w:type="dxa"/>
          <w:trHeight w:val="409" w:hRule="atLeast"/>
        </w:trPr>
        <w:tc>
          <w:tcPr>
            <w:tcW w:w="2939"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967"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367"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05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23" w:type="dxa"/>
          <w:trHeight w:val="409" w:hRule="atLeast"/>
        </w:trPr>
        <w:tc>
          <w:tcPr>
            <w:tcW w:w="2939"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967"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67"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59"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562"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657"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1"/>
          <w:wAfter w:w="23" w:type="dxa"/>
          <w:trHeight w:val="2055" w:hRule="atLeast"/>
        </w:trPr>
        <w:tc>
          <w:tcPr>
            <w:tcW w:w="2113"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62" w:type="dxa"/>
            <w:gridSpan w:val="1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按排资金95746.2元，按乐山市市中区城市基层党建引领基层治理工作领导小组关于《党建引领城市基层治理推动“全科网格”建设实施方案（试行）》文件要求，结合我区“建设城市社会治理创新先导区”发展定位，坚持城市治理网格与基层组织同构，为加快建设社会主义现代化市中区提供制度保障。用于网格员工资、绩效、保险费和管理费各经费支出，用于保障各网格员工作正常开展。</w:t>
            </w:r>
          </w:p>
        </w:tc>
        <w:tc>
          <w:tcPr>
            <w:tcW w:w="4657" w:type="dxa"/>
            <w:gridSpan w:val="1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按排资金95746.2元，按乐山市市中区城市基层党建引领基层治理工作领导小组关于《党建引领城市基层治理推动“全科网格”建设实施方案（试行）》文件要求，结合我区“建设城市社会治理创新先导区”发展定位，坚持城市治理网格与基层组织同构，为加快建设社会主义现代化市中区提供制度保障。用于网格员工资、绩效、保险费和管理费各经费支出，用于保障各网格员工作正常开展。</w:t>
            </w:r>
          </w:p>
        </w:tc>
      </w:tr>
      <w:tr>
        <w:tblPrEx>
          <w:tblCellMar>
            <w:top w:w="0" w:type="dxa"/>
            <w:left w:w="108" w:type="dxa"/>
            <w:bottom w:w="0" w:type="dxa"/>
            <w:right w:w="108" w:type="dxa"/>
          </w:tblCellMar>
        </w:tblPrEx>
        <w:trPr>
          <w:gridAfter w:val="1"/>
          <w:wAfter w:w="23" w:type="dxa"/>
          <w:trHeight w:val="529" w:hRule="atLeast"/>
        </w:trPr>
        <w:tc>
          <w:tcPr>
            <w:tcW w:w="21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52"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14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6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598"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38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1"/>
          <w:wAfter w:w="23" w:type="dxa"/>
          <w:trHeight w:val="409" w:hRule="atLeast"/>
        </w:trPr>
        <w:tc>
          <w:tcPr>
            <w:tcW w:w="10273" w:type="dxa"/>
            <w:gridSpan w:val="3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6906" w:type="dxa"/>
            <w:gridSpan w:val="19"/>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769"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598"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网格员经费支付准确率</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网格员经费支付及时率</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涉及村社区数</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网格员人数</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网格员经费应付尽付率</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52" w:type="dxa"/>
            <w:gridSpan w:val="9"/>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3141"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网格员工资标准</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2931</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2931</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409" w:hRule="atLeast"/>
        </w:trPr>
        <w:tc>
          <w:tcPr>
            <w:tcW w:w="2113"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652"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14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网格员保险费预算数</w:t>
            </w:r>
          </w:p>
        </w:tc>
        <w:tc>
          <w:tcPr>
            <w:tcW w:w="176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1073.31</w:t>
            </w:r>
          </w:p>
        </w:tc>
        <w:tc>
          <w:tcPr>
            <w:tcW w:w="159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1073.31</w:t>
            </w:r>
          </w:p>
        </w:tc>
        <w:tc>
          <w:tcPr>
            <w:tcW w:w="138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23" w:type="dxa"/>
          <w:trHeight w:val="758" w:hRule="atLeast"/>
        </w:trPr>
        <w:tc>
          <w:tcPr>
            <w:tcW w:w="13332" w:type="dxa"/>
            <w:gridSpan w:val="43"/>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p>
            <w:pPr>
              <w:pStyle w:val="2"/>
              <w:spacing w:before="93"/>
            </w:pPr>
          </w:p>
        </w:tc>
      </w:tr>
      <w:tr>
        <w:tblPrEx>
          <w:tblCellMar>
            <w:top w:w="0" w:type="dxa"/>
            <w:left w:w="108" w:type="dxa"/>
            <w:bottom w:w="0" w:type="dxa"/>
            <w:right w:w="108" w:type="dxa"/>
          </w:tblCellMar>
        </w:tblPrEx>
        <w:trPr>
          <w:gridAfter w:val="8"/>
          <w:wAfter w:w="1755" w:type="dxa"/>
          <w:trHeight w:val="270" w:hRule="atLeast"/>
        </w:trPr>
        <w:tc>
          <w:tcPr>
            <w:tcW w:w="140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36"/>
                <w:szCs w:val="36"/>
              </w:rPr>
            </w:pPr>
            <w:bookmarkStart w:id="54" w:name="RANGE!A1:I19"/>
            <w:r>
              <w:rPr>
                <w:rFonts w:hint="eastAsia" w:ascii="宋体" w:hAnsi="宋体" w:cs="宋体"/>
                <w:color w:val="000000"/>
                <w:kern w:val="0"/>
                <w:sz w:val="36"/>
                <w:szCs w:val="36"/>
              </w:rPr>
              <w:t>附件3</w:t>
            </w:r>
            <w:bookmarkEnd w:id="54"/>
            <w:r>
              <w:rPr>
                <w:rFonts w:hint="eastAsia" w:ascii="宋体" w:hAnsi="宋体" w:cs="宋体"/>
                <w:color w:val="000000"/>
                <w:kern w:val="0"/>
                <w:sz w:val="36"/>
                <w:szCs w:val="36"/>
              </w:rPr>
              <w:t>：</w:t>
            </w:r>
          </w:p>
        </w:tc>
        <w:tc>
          <w:tcPr>
            <w:tcW w:w="82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380" w:type="dxa"/>
            <w:gridSpan w:val="7"/>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56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2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6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2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76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78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After w:val="8"/>
          <w:wAfter w:w="1755" w:type="dxa"/>
          <w:trHeight w:val="480" w:hRule="atLeast"/>
        </w:trPr>
        <w:tc>
          <w:tcPr>
            <w:tcW w:w="11600" w:type="dxa"/>
            <w:gridSpan w:val="36"/>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 xml:space="preserve"> 项目支出绩效自评表</w:t>
            </w:r>
          </w:p>
        </w:tc>
      </w:tr>
      <w:tr>
        <w:tblPrEx>
          <w:tblCellMar>
            <w:top w:w="0" w:type="dxa"/>
            <w:left w:w="108" w:type="dxa"/>
            <w:bottom w:w="0" w:type="dxa"/>
            <w:right w:w="108" w:type="dxa"/>
          </w:tblCellMar>
        </w:tblPrEx>
        <w:trPr>
          <w:gridAfter w:val="8"/>
          <w:wAfter w:w="1755" w:type="dxa"/>
          <w:trHeight w:val="409" w:hRule="atLeast"/>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7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人居环境治理环卫包干补助资金</w:t>
            </w:r>
          </w:p>
        </w:tc>
        <w:tc>
          <w:tcPr>
            <w:tcW w:w="142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020"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8"/>
          <w:wAfter w:w="1755" w:type="dxa"/>
          <w:trHeight w:val="409" w:hRule="atLeast"/>
        </w:trPr>
        <w:tc>
          <w:tcPr>
            <w:tcW w:w="14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7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02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8"/>
          <w:wAfter w:w="1755" w:type="dxa"/>
          <w:trHeight w:val="409" w:hRule="atLeast"/>
        </w:trPr>
        <w:tc>
          <w:tcPr>
            <w:tcW w:w="11600" w:type="dxa"/>
            <w:gridSpan w:val="3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8"/>
          <w:wAfter w:w="1755" w:type="dxa"/>
          <w:trHeight w:val="409" w:hRule="atLeast"/>
        </w:trPr>
        <w:tc>
          <w:tcPr>
            <w:tcW w:w="2220" w:type="dxa"/>
            <w:gridSpan w:val="6"/>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940"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268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76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8"/>
          <w:wAfter w:w="1755" w:type="dxa"/>
          <w:trHeight w:val="409" w:hRule="atLeast"/>
        </w:trPr>
        <w:tc>
          <w:tcPr>
            <w:tcW w:w="22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94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68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76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8"/>
          <w:wAfter w:w="1755" w:type="dxa"/>
          <w:trHeight w:val="409" w:hRule="atLeast"/>
        </w:trPr>
        <w:tc>
          <w:tcPr>
            <w:tcW w:w="22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94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68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76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8"/>
          <w:wAfter w:w="1755" w:type="dxa"/>
          <w:trHeight w:val="409" w:hRule="atLeast"/>
        </w:trPr>
        <w:tc>
          <w:tcPr>
            <w:tcW w:w="22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94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68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760"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8"/>
          <w:wAfter w:w="1755" w:type="dxa"/>
          <w:trHeight w:val="409" w:hRule="atLeast"/>
        </w:trPr>
        <w:tc>
          <w:tcPr>
            <w:tcW w:w="14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180" w:type="dxa"/>
            <w:gridSpan w:val="2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02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8"/>
          <w:wAfter w:w="1755" w:type="dxa"/>
          <w:trHeight w:val="2715"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80" w:type="dxa"/>
            <w:gridSpan w:val="20"/>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本年按排预算资金11.1万元，按《乐山市市中区环境卫生长效管理工作机制（试行）》、《乐山市市中区人民政府常务会议决定事项通知》（乐中府常2009 23号）的相关文件精神，为进一步做好我镇环境卫生清理整治、垃圾清扫清运、五清行动等工用，用于保障开展环境治理、垃圾清理处理、卫生基础设施建设等工作正常运行。</w:t>
            </w:r>
          </w:p>
        </w:tc>
        <w:tc>
          <w:tcPr>
            <w:tcW w:w="4020" w:type="dxa"/>
            <w:gridSpan w:val="15"/>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本年按排预算资金11.1万元，按《乐山市市中区环境卫生长效管理工作机制（试行）》、《乐山市市中区人民政府常务会议决定事项通知》（乐中府常2009 23号）的相关文件精神，为进一步做好我镇环境卫生清理整治、垃圾清扫清运、五清行动等工用，用于保障开展环境治理、垃圾清理处理、卫生基础设施建设等工作正常运行。</w:t>
            </w:r>
          </w:p>
        </w:tc>
      </w:tr>
      <w:tr>
        <w:tblPrEx>
          <w:tblCellMar>
            <w:top w:w="0" w:type="dxa"/>
            <w:left w:w="108" w:type="dxa"/>
            <w:bottom w:w="0" w:type="dxa"/>
            <w:right w:w="108" w:type="dxa"/>
          </w:tblCellMar>
        </w:tblPrEx>
        <w:trPr>
          <w:gridAfter w:val="8"/>
          <w:wAfter w:w="1755" w:type="dxa"/>
          <w:trHeight w:val="529" w:hRule="atLeast"/>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2200"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56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2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6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6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8"/>
          <w:wAfter w:w="1755" w:type="dxa"/>
          <w:trHeight w:val="409" w:hRule="atLeast"/>
        </w:trPr>
        <w:tc>
          <w:tcPr>
            <w:tcW w:w="8840" w:type="dxa"/>
            <w:gridSpan w:val="2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409" w:hRule="atLeast"/>
        </w:trPr>
        <w:tc>
          <w:tcPr>
            <w:tcW w:w="6160" w:type="dxa"/>
            <w:gridSpan w:val="1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4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26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25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经费保障的村社区个数</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25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经费保障应付尽付率</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25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经费保障支付准确率</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25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人居环境治理完成情况</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2200" w:type="dxa"/>
            <w:gridSpan w:val="1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256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服务群众满意度</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600" w:hRule="atLeast"/>
        </w:trPr>
        <w:tc>
          <w:tcPr>
            <w:tcW w:w="1400"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25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经费预算额度</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111000</w:t>
            </w:r>
          </w:p>
        </w:tc>
        <w:tc>
          <w:tcPr>
            <w:tcW w:w="1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111000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8"/>
          <w:wAfter w:w="1755" w:type="dxa"/>
          <w:trHeight w:val="758" w:hRule="atLeast"/>
        </w:trPr>
        <w:tc>
          <w:tcPr>
            <w:tcW w:w="11600" w:type="dxa"/>
            <w:gridSpan w:val="36"/>
            <w:tcBorders>
              <w:top w:val="single" w:color="auto" w:sz="4" w:space="0"/>
              <w:left w:val="nil"/>
              <w:bottom w:val="nil"/>
              <w:right w:val="nil"/>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p>
            <w:pPr>
              <w:pStyle w:val="2"/>
              <w:spacing w:before="93"/>
            </w:pPr>
          </w:p>
        </w:tc>
      </w:tr>
      <w:tr>
        <w:tblPrEx>
          <w:tblCellMar>
            <w:top w:w="0" w:type="dxa"/>
            <w:left w:w="108" w:type="dxa"/>
            <w:bottom w:w="0" w:type="dxa"/>
            <w:right w:w="108" w:type="dxa"/>
          </w:tblCellMar>
        </w:tblPrEx>
        <w:trPr>
          <w:gridAfter w:val="5"/>
          <w:wAfter w:w="1200" w:type="dxa"/>
          <w:trHeight w:val="270" w:hRule="atLeast"/>
        </w:trPr>
        <w:tc>
          <w:tcPr>
            <w:tcW w:w="160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36"/>
                <w:szCs w:val="36"/>
              </w:rPr>
            </w:pPr>
            <w:bookmarkStart w:id="55" w:name="RANGE!A1:I21"/>
            <w:r>
              <w:rPr>
                <w:rFonts w:hint="eastAsia" w:ascii="宋体" w:hAnsi="宋体" w:cs="宋体"/>
                <w:color w:val="000000"/>
                <w:kern w:val="0"/>
                <w:sz w:val="36"/>
                <w:szCs w:val="36"/>
              </w:rPr>
              <w:t>附件4</w:t>
            </w:r>
            <w:bookmarkEnd w:id="55"/>
            <w:r>
              <w:rPr>
                <w:rFonts w:hint="eastAsia" w:ascii="宋体" w:hAnsi="宋体" w:cs="宋体"/>
                <w:color w:val="000000"/>
                <w:kern w:val="0"/>
                <w:sz w:val="36"/>
                <w:szCs w:val="36"/>
              </w:rPr>
              <w:t>：</w:t>
            </w:r>
          </w:p>
        </w:tc>
        <w:tc>
          <w:tcPr>
            <w:tcW w:w="82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380" w:type="dxa"/>
            <w:gridSpan w:val="7"/>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192"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2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63"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2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20" w:type="dxa"/>
            <w:gridSpan w:val="6"/>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After w:val="5"/>
          <w:wAfter w:w="1200" w:type="dxa"/>
          <w:trHeight w:val="480" w:hRule="atLeast"/>
        </w:trPr>
        <w:tc>
          <w:tcPr>
            <w:tcW w:w="12155" w:type="dxa"/>
            <w:gridSpan w:val="39"/>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项目支出绩效自评表</w:t>
            </w:r>
          </w:p>
        </w:tc>
      </w:tr>
      <w:tr>
        <w:tblPrEx>
          <w:tblCellMar>
            <w:top w:w="0" w:type="dxa"/>
            <w:left w:w="108" w:type="dxa"/>
            <w:bottom w:w="0" w:type="dxa"/>
            <w:right w:w="108" w:type="dxa"/>
          </w:tblCellMar>
        </w:tblPrEx>
        <w:trPr>
          <w:gridAfter w:val="5"/>
          <w:wAfter w:w="1200" w:type="dxa"/>
          <w:trHeight w:val="409" w:hRule="atLeast"/>
        </w:trPr>
        <w:tc>
          <w:tcPr>
            <w:tcW w:w="16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392"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三支一扶人员</w:t>
            </w:r>
          </w:p>
        </w:tc>
        <w:tc>
          <w:tcPr>
            <w:tcW w:w="142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74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5"/>
          <w:wAfter w:w="1200" w:type="dxa"/>
          <w:trHeight w:val="409" w:hRule="atLeast"/>
        </w:trPr>
        <w:tc>
          <w:tcPr>
            <w:tcW w:w="160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392" w:type="dxa"/>
            <w:gridSpan w:val="1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743"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5"/>
          <w:wAfter w:w="1200" w:type="dxa"/>
          <w:trHeight w:val="409" w:hRule="atLeast"/>
        </w:trPr>
        <w:tc>
          <w:tcPr>
            <w:tcW w:w="12155" w:type="dxa"/>
            <w:gridSpan w:val="3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5"/>
          <w:wAfter w:w="1200" w:type="dxa"/>
          <w:trHeight w:val="409" w:hRule="atLeast"/>
        </w:trPr>
        <w:tc>
          <w:tcPr>
            <w:tcW w:w="2420" w:type="dxa"/>
            <w:gridSpan w:val="8"/>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72"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2683"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480"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5"/>
          <w:wAfter w:w="1200" w:type="dxa"/>
          <w:trHeight w:val="409" w:hRule="atLeast"/>
        </w:trPr>
        <w:tc>
          <w:tcPr>
            <w:tcW w:w="2420"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57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2683"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480"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5"/>
          <w:wAfter w:w="1200" w:type="dxa"/>
          <w:trHeight w:val="409" w:hRule="atLeast"/>
        </w:trPr>
        <w:tc>
          <w:tcPr>
            <w:tcW w:w="2420"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57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2683"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480"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5"/>
          <w:wAfter w:w="1200" w:type="dxa"/>
          <w:trHeight w:val="409" w:hRule="atLeast"/>
        </w:trPr>
        <w:tc>
          <w:tcPr>
            <w:tcW w:w="2420"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572"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683"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480"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5812" w:type="dxa"/>
            <w:gridSpan w:val="1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743"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5"/>
          <w:wAfter w:w="1200" w:type="dxa"/>
          <w:trHeight w:val="1879" w:hRule="atLeast"/>
        </w:trPr>
        <w:tc>
          <w:tcPr>
            <w:tcW w:w="16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812" w:type="dxa"/>
            <w:gridSpan w:val="17"/>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2022年投入资金135080元，保障三支一扶人员工资保险，落实国家各项法律法规，维护农村社会稳定，提升基层组织服务群众的能力。</w:t>
            </w:r>
          </w:p>
        </w:tc>
        <w:tc>
          <w:tcPr>
            <w:tcW w:w="4743" w:type="dxa"/>
            <w:gridSpan w:val="1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2022年投入资金135080元，保障三支一扶人员工资保险，落实国家各项法律法规，维护农村社会稳定，提升基层组织服务群众的能力。</w:t>
            </w:r>
          </w:p>
        </w:tc>
      </w:tr>
      <w:tr>
        <w:tblPrEx>
          <w:tblCellMar>
            <w:top w:w="0" w:type="dxa"/>
            <w:left w:w="108" w:type="dxa"/>
            <w:bottom w:w="0" w:type="dxa"/>
            <w:right w:w="108" w:type="dxa"/>
          </w:tblCellMar>
        </w:tblPrEx>
        <w:trPr>
          <w:gridAfter w:val="5"/>
          <w:wAfter w:w="1200" w:type="dxa"/>
          <w:trHeight w:val="529" w:hRule="atLeast"/>
        </w:trPr>
        <w:tc>
          <w:tcPr>
            <w:tcW w:w="16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2200"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2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6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122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5"/>
          <w:wAfter w:w="1200" w:type="dxa"/>
          <w:trHeight w:val="409" w:hRule="atLeast"/>
        </w:trPr>
        <w:tc>
          <w:tcPr>
            <w:tcW w:w="8675"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5992" w:type="dxa"/>
            <w:gridSpan w:val="16"/>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4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26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工资和保险费支付率</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社会保险费额度</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28800</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工资和绩效额度</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106280</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106280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2200"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三支一扶人数</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2200" w:type="dxa"/>
            <w:gridSpan w:val="1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21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保障三支一扶工作正常运转</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409" w:hRule="atLeast"/>
        </w:trPr>
        <w:tc>
          <w:tcPr>
            <w:tcW w:w="1600"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2200" w:type="dxa"/>
            <w:gridSpan w:val="1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21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三支一扶人员满意度</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6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20"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4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5"/>
          <w:wAfter w:w="1200" w:type="dxa"/>
          <w:trHeight w:val="758" w:hRule="atLeast"/>
        </w:trPr>
        <w:tc>
          <w:tcPr>
            <w:tcW w:w="12155" w:type="dxa"/>
            <w:gridSpan w:val="39"/>
            <w:tcBorders>
              <w:top w:val="single" w:color="auto" w:sz="4" w:space="0"/>
              <w:left w:val="nil"/>
              <w:bottom w:val="nil"/>
              <w:right w:val="nil"/>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p>
            <w:pPr>
              <w:pStyle w:val="2"/>
              <w:spacing w:before="93"/>
              <w:rPr>
                <w:rFonts w:hint="eastAsia"/>
              </w:rPr>
            </w:pPr>
          </w:p>
          <w:p>
            <w:pPr>
              <w:pStyle w:val="2"/>
              <w:spacing w:before="93"/>
            </w:pPr>
          </w:p>
        </w:tc>
      </w:tr>
      <w:tr>
        <w:tblPrEx>
          <w:tblCellMar>
            <w:top w:w="0" w:type="dxa"/>
            <w:left w:w="108" w:type="dxa"/>
            <w:bottom w:w="0" w:type="dxa"/>
            <w:right w:w="108" w:type="dxa"/>
          </w:tblCellMar>
        </w:tblPrEx>
        <w:trPr>
          <w:gridAfter w:val="2"/>
          <w:wAfter w:w="803" w:type="dxa"/>
          <w:trHeight w:val="270" w:hRule="atLeast"/>
        </w:trPr>
        <w:tc>
          <w:tcPr>
            <w:tcW w:w="150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36"/>
                <w:szCs w:val="36"/>
              </w:rPr>
            </w:pPr>
            <w:r>
              <w:rPr>
                <w:rFonts w:hint="eastAsia" w:ascii="宋体" w:hAnsi="宋体" w:cs="宋体"/>
                <w:color w:val="000000"/>
                <w:kern w:val="0"/>
                <w:sz w:val="36"/>
                <w:szCs w:val="36"/>
              </w:rPr>
              <w:t>附件5：</w:t>
            </w:r>
          </w:p>
        </w:tc>
        <w:tc>
          <w:tcPr>
            <w:tcW w:w="82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3452" w:type="dxa"/>
            <w:gridSpan w:val="7"/>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2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12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100" w:type="dxa"/>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22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gridSpan w:val="7"/>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After w:val="2"/>
          <w:wAfter w:w="803" w:type="dxa"/>
          <w:trHeight w:val="480" w:hRule="atLeast"/>
        </w:trPr>
        <w:tc>
          <w:tcPr>
            <w:tcW w:w="12552" w:type="dxa"/>
            <w:gridSpan w:val="42"/>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bookmarkStart w:id="56" w:name="RANGE!A2:I23"/>
            <w:r>
              <w:rPr>
                <w:rFonts w:hint="eastAsia" w:ascii="宋体" w:hAnsi="宋体" w:cs="宋体"/>
                <w:b/>
                <w:bCs/>
                <w:color w:val="000000"/>
                <w:kern w:val="0"/>
                <w:sz w:val="36"/>
                <w:szCs w:val="36"/>
              </w:rPr>
              <w:t>项目支出绩效自评表</w:t>
            </w:r>
            <w:bookmarkEnd w:id="56"/>
          </w:p>
        </w:tc>
      </w:tr>
      <w:tr>
        <w:tblPrEx>
          <w:tblCellMar>
            <w:top w:w="0" w:type="dxa"/>
            <w:left w:w="108" w:type="dxa"/>
            <w:bottom w:w="0" w:type="dxa"/>
            <w:right w:w="108" w:type="dxa"/>
          </w:tblCellMar>
        </w:tblPrEx>
        <w:trPr>
          <w:gridAfter w:val="2"/>
          <w:wAfter w:w="803" w:type="dxa"/>
          <w:trHeight w:val="409"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352"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棉竹镇仙米寺段产业提升道路</w:t>
            </w:r>
          </w:p>
        </w:tc>
        <w:tc>
          <w:tcPr>
            <w:tcW w:w="122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480"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2"/>
          <w:wAfter w:w="803" w:type="dxa"/>
          <w:trHeight w:val="409"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352"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4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2"/>
          <w:wAfter w:w="803" w:type="dxa"/>
          <w:trHeight w:val="409" w:hRule="atLeast"/>
        </w:trPr>
        <w:tc>
          <w:tcPr>
            <w:tcW w:w="12552" w:type="dxa"/>
            <w:gridSpan w:val="4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2"/>
          <w:wAfter w:w="803" w:type="dxa"/>
          <w:trHeight w:val="409" w:hRule="atLeast"/>
        </w:trPr>
        <w:tc>
          <w:tcPr>
            <w:tcW w:w="2320" w:type="dxa"/>
            <w:gridSpan w:val="7"/>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32"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234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3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2"/>
          <w:wAfter w:w="803" w:type="dxa"/>
          <w:trHeight w:val="409" w:hRule="atLeast"/>
        </w:trPr>
        <w:tc>
          <w:tcPr>
            <w:tcW w:w="2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532"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234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140.15</w:t>
            </w:r>
          </w:p>
        </w:tc>
        <w:tc>
          <w:tcPr>
            <w:tcW w:w="33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r>
      <w:tr>
        <w:tblPrEx>
          <w:tblCellMar>
            <w:top w:w="0" w:type="dxa"/>
            <w:left w:w="108" w:type="dxa"/>
            <w:bottom w:w="0" w:type="dxa"/>
            <w:right w:w="108" w:type="dxa"/>
          </w:tblCellMar>
        </w:tblPrEx>
        <w:trPr>
          <w:gridAfter w:val="2"/>
          <w:wAfter w:w="803" w:type="dxa"/>
          <w:trHeight w:val="409" w:hRule="atLeast"/>
        </w:trPr>
        <w:tc>
          <w:tcPr>
            <w:tcW w:w="2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532"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234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140.15</w:t>
            </w:r>
          </w:p>
        </w:tc>
        <w:tc>
          <w:tcPr>
            <w:tcW w:w="33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r>
      <w:tr>
        <w:tblPrEx>
          <w:tblCellMar>
            <w:top w:w="0" w:type="dxa"/>
            <w:left w:w="108" w:type="dxa"/>
            <w:bottom w:w="0" w:type="dxa"/>
            <w:right w:w="108" w:type="dxa"/>
          </w:tblCellMar>
        </w:tblPrEx>
        <w:trPr>
          <w:gridAfter w:val="2"/>
          <w:wAfter w:w="803" w:type="dxa"/>
          <w:trHeight w:val="409" w:hRule="atLeast"/>
        </w:trPr>
        <w:tc>
          <w:tcPr>
            <w:tcW w:w="2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532"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4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60"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572"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4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2"/>
          <w:wAfter w:w="803" w:type="dxa"/>
          <w:trHeight w:val="1879" w:hRule="atLeast"/>
        </w:trPr>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72" w:type="dxa"/>
            <w:gridSpan w:val="21"/>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贯彻落实党中央、国务院和省委、省政府关于巩固拓展脱贫攻坚成果同乡村有效衔接的决策部署，按照市委未来五年发展“345”工作思路和市中区奋力建设“一心五区”目标任务，结合创建2022年乡村振兴成效显著县和片区规划发展需要，安排相关项目建设，全面推进乡村振兴与脱贫攻坚有效衔接。</w:t>
            </w:r>
          </w:p>
        </w:tc>
        <w:tc>
          <w:tcPr>
            <w:tcW w:w="4480" w:type="dxa"/>
            <w:gridSpan w:val="1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棉竹镇九百洞村仙米寺段产业提升道路项目资金计划为180万元，实际到位140.15万元。主要用于道路二期建设，截止2022年12月31 日共支出140.15万元，资金使用率100%。</w:t>
            </w:r>
          </w:p>
        </w:tc>
      </w:tr>
      <w:tr>
        <w:tblPrEx>
          <w:tblCellMar>
            <w:top w:w="0" w:type="dxa"/>
            <w:left w:w="108" w:type="dxa"/>
            <w:bottom w:w="0" w:type="dxa"/>
            <w:right w:w="108" w:type="dxa"/>
          </w:tblCellMar>
        </w:tblPrEx>
        <w:trPr>
          <w:gridAfter w:val="2"/>
          <w:wAfter w:w="803" w:type="dxa"/>
          <w:trHeight w:val="529"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900"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45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22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10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2"/>
          <w:wAfter w:w="803" w:type="dxa"/>
          <w:trHeight w:val="409" w:hRule="atLeast"/>
        </w:trPr>
        <w:tc>
          <w:tcPr>
            <w:tcW w:w="9192"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6852" w:type="dxa"/>
            <w:gridSpan w:val="18"/>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220"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12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产业路长公里数</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道路配套桥梁数</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产业路验收合格率</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产业路完成合格率</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900" w:type="dxa"/>
            <w:gridSpan w:val="9"/>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经济效益指标</w:t>
            </w:r>
          </w:p>
        </w:tc>
        <w:tc>
          <w:tcPr>
            <w:tcW w:w="3452"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产业路带动乡村产业发展增加收益人口收入</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产业路受益农户人数</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900" w:type="dxa"/>
            <w:gridSpan w:val="9"/>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可持续影响指标</w:t>
            </w:r>
          </w:p>
        </w:tc>
        <w:tc>
          <w:tcPr>
            <w:tcW w:w="3452"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工程设计使用年限</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900" w:type="dxa"/>
            <w:gridSpan w:val="9"/>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3452"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受益农户满意度</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409" w:hRule="atLeast"/>
        </w:trPr>
        <w:tc>
          <w:tcPr>
            <w:tcW w:w="1500"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1900" w:type="dxa"/>
            <w:gridSpan w:val="9"/>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452"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产业路总投资</w:t>
            </w:r>
          </w:p>
        </w:tc>
        <w:tc>
          <w:tcPr>
            <w:tcW w:w="122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1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10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2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40"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2"/>
          <w:wAfter w:w="803" w:type="dxa"/>
          <w:trHeight w:val="758" w:hRule="atLeast"/>
        </w:trPr>
        <w:tc>
          <w:tcPr>
            <w:tcW w:w="12552" w:type="dxa"/>
            <w:gridSpan w:val="42"/>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bl>
    <w:p>
      <w:pPr>
        <w:pStyle w:val="2"/>
        <w:spacing w:before="93"/>
        <w:rPr>
          <w:b/>
        </w:rPr>
        <w:sectPr>
          <w:pgSz w:w="16838" w:h="11906" w:orient="landscape"/>
          <w:pgMar w:top="1800" w:right="1440" w:bottom="1800" w:left="1440" w:header="851" w:footer="992" w:gutter="0"/>
          <w:pgNumType w:start="1"/>
          <w:cols w:space="425" w:num="1"/>
          <w:titlePg/>
          <w:docGrid w:type="lines" w:linePitch="312" w:charSpace="0"/>
        </w:sectPr>
      </w:pPr>
    </w:p>
    <w:p>
      <w:pPr>
        <w:pStyle w:val="2"/>
        <w:spacing w:before="93"/>
        <w:rPr>
          <w:b/>
        </w:rPr>
      </w:pPr>
    </w:p>
    <w:p>
      <w:pPr>
        <w:spacing w:line="600" w:lineRule="exact"/>
        <w:jc w:val="center"/>
        <w:outlineLvl w:val="0"/>
        <w:rPr>
          <w:rFonts w:ascii="仿宋" w:hAnsi="仿宋" w:eastAsia="仿宋"/>
        </w:rPr>
      </w:pPr>
      <w:bookmarkStart w:id="57" w:name="_Toc15396618"/>
      <w:r>
        <w:rPr>
          <w:rFonts w:hint="eastAsia" w:ascii="黑体" w:hAnsi="黑体" w:eastAsia="黑体"/>
          <w:sz w:val="44"/>
          <w:szCs w:val="44"/>
        </w:rPr>
        <w:t>第</w:t>
      </w:r>
      <w:r>
        <w:rPr>
          <w:rStyle w:val="28"/>
          <w:rFonts w:hint="eastAsia" w:ascii="黑体" w:hAnsi="黑体" w:eastAsia="黑体"/>
          <w:b w:val="0"/>
        </w:rPr>
        <w:t>五部分 附表</w:t>
      </w:r>
      <w:bookmarkEnd w:id="52"/>
      <w:bookmarkEnd w:id="57"/>
      <w:bookmarkStart w:id="58"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pPr>
        <w:pStyle w:val="4"/>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pPr>
        <w:pStyle w:val="4"/>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pPr>
        <w:pStyle w:val="4"/>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D2634"/>
    <w:multiLevelType w:val="singleLevel"/>
    <w:tmpl w:val="9ADD2634"/>
    <w:lvl w:ilvl="0" w:tentative="0">
      <w:start w:val="7"/>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650CF3"/>
    <w:multiLevelType w:val="multilevel"/>
    <w:tmpl w:val="78650CF3"/>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2ZDZhM2JjMDI1ZTBlNWRlNzNmNTU2OGQxNzE2ZTQifQ=="/>
  </w:docVars>
  <w:rsids>
    <w:rsidRoot w:val="00F1361C"/>
    <w:rsid w:val="000222C6"/>
    <w:rsid w:val="0002549F"/>
    <w:rsid w:val="000468DB"/>
    <w:rsid w:val="0006487A"/>
    <w:rsid w:val="00065F8F"/>
    <w:rsid w:val="00070A43"/>
    <w:rsid w:val="000763A9"/>
    <w:rsid w:val="000768F2"/>
    <w:rsid w:val="000826C0"/>
    <w:rsid w:val="0009184B"/>
    <w:rsid w:val="00094236"/>
    <w:rsid w:val="00094985"/>
    <w:rsid w:val="0009593C"/>
    <w:rsid w:val="00097322"/>
    <w:rsid w:val="000A6A92"/>
    <w:rsid w:val="000B047F"/>
    <w:rsid w:val="000B5923"/>
    <w:rsid w:val="000B5A48"/>
    <w:rsid w:val="000B6FF3"/>
    <w:rsid w:val="000B7945"/>
    <w:rsid w:val="000C3467"/>
    <w:rsid w:val="000C3CA6"/>
    <w:rsid w:val="000D1267"/>
    <w:rsid w:val="000D1D50"/>
    <w:rsid w:val="000D5782"/>
    <w:rsid w:val="000E6613"/>
    <w:rsid w:val="000E7119"/>
    <w:rsid w:val="00111FA1"/>
    <w:rsid w:val="00114E9B"/>
    <w:rsid w:val="0013107E"/>
    <w:rsid w:val="00135265"/>
    <w:rsid w:val="00136C63"/>
    <w:rsid w:val="00142216"/>
    <w:rsid w:val="00144D6A"/>
    <w:rsid w:val="0014729F"/>
    <w:rsid w:val="00157BAB"/>
    <w:rsid w:val="001654D1"/>
    <w:rsid w:val="00174518"/>
    <w:rsid w:val="0018106D"/>
    <w:rsid w:val="001877A7"/>
    <w:rsid w:val="00191536"/>
    <w:rsid w:val="0019572A"/>
    <w:rsid w:val="00196687"/>
    <w:rsid w:val="001A5AE0"/>
    <w:rsid w:val="001A60D5"/>
    <w:rsid w:val="001C0962"/>
    <w:rsid w:val="001D1F00"/>
    <w:rsid w:val="001D7531"/>
    <w:rsid w:val="001E737D"/>
    <w:rsid w:val="001F0592"/>
    <w:rsid w:val="001F7506"/>
    <w:rsid w:val="002006CD"/>
    <w:rsid w:val="00202B36"/>
    <w:rsid w:val="00204B7A"/>
    <w:rsid w:val="00204CDE"/>
    <w:rsid w:val="0021101A"/>
    <w:rsid w:val="002163F4"/>
    <w:rsid w:val="00220536"/>
    <w:rsid w:val="00233279"/>
    <w:rsid w:val="00235629"/>
    <w:rsid w:val="002372EB"/>
    <w:rsid w:val="00237843"/>
    <w:rsid w:val="00254B89"/>
    <w:rsid w:val="00260C38"/>
    <w:rsid w:val="002616C0"/>
    <w:rsid w:val="00265372"/>
    <w:rsid w:val="002662AA"/>
    <w:rsid w:val="00271F7E"/>
    <w:rsid w:val="00280496"/>
    <w:rsid w:val="00280B0B"/>
    <w:rsid w:val="0028587A"/>
    <w:rsid w:val="00294DC9"/>
    <w:rsid w:val="00295495"/>
    <w:rsid w:val="00297CCF"/>
    <w:rsid w:val="002A31DE"/>
    <w:rsid w:val="002B2613"/>
    <w:rsid w:val="002D6D05"/>
    <w:rsid w:val="002E0340"/>
    <w:rsid w:val="002F1818"/>
    <w:rsid w:val="002F567B"/>
    <w:rsid w:val="003216A9"/>
    <w:rsid w:val="00322249"/>
    <w:rsid w:val="00335A74"/>
    <w:rsid w:val="00342F39"/>
    <w:rsid w:val="0036561B"/>
    <w:rsid w:val="0037013F"/>
    <w:rsid w:val="00372F04"/>
    <w:rsid w:val="00380C92"/>
    <w:rsid w:val="00397EB3"/>
    <w:rsid w:val="003A484F"/>
    <w:rsid w:val="003A4883"/>
    <w:rsid w:val="003A5E64"/>
    <w:rsid w:val="003A7F10"/>
    <w:rsid w:val="003B0BE0"/>
    <w:rsid w:val="003B0C1B"/>
    <w:rsid w:val="003B688C"/>
    <w:rsid w:val="003C0291"/>
    <w:rsid w:val="003C39AE"/>
    <w:rsid w:val="003C7B60"/>
    <w:rsid w:val="003D0C0F"/>
    <w:rsid w:val="003D1FB2"/>
    <w:rsid w:val="003D66DA"/>
    <w:rsid w:val="003E00AD"/>
    <w:rsid w:val="003E1310"/>
    <w:rsid w:val="003E6F55"/>
    <w:rsid w:val="003F6A88"/>
    <w:rsid w:val="00406254"/>
    <w:rsid w:val="00413169"/>
    <w:rsid w:val="004223DE"/>
    <w:rsid w:val="00423115"/>
    <w:rsid w:val="00434489"/>
    <w:rsid w:val="00437085"/>
    <w:rsid w:val="00443880"/>
    <w:rsid w:val="00443884"/>
    <w:rsid w:val="004464F4"/>
    <w:rsid w:val="00454F92"/>
    <w:rsid w:val="00460171"/>
    <w:rsid w:val="00470706"/>
    <w:rsid w:val="00471401"/>
    <w:rsid w:val="00473F31"/>
    <w:rsid w:val="0048263A"/>
    <w:rsid w:val="00487E5D"/>
    <w:rsid w:val="004965F6"/>
    <w:rsid w:val="004A4154"/>
    <w:rsid w:val="004A711F"/>
    <w:rsid w:val="004B199D"/>
    <w:rsid w:val="004B4690"/>
    <w:rsid w:val="004C051E"/>
    <w:rsid w:val="004D47DE"/>
    <w:rsid w:val="004E0A2D"/>
    <w:rsid w:val="004E0DAB"/>
    <w:rsid w:val="004E206B"/>
    <w:rsid w:val="004E6DF7"/>
    <w:rsid w:val="004F0FBD"/>
    <w:rsid w:val="004F1455"/>
    <w:rsid w:val="005038BB"/>
    <w:rsid w:val="00505A47"/>
    <w:rsid w:val="00512FDA"/>
    <w:rsid w:val="005155F2"/>
    <w:rsid w:val="00520DA0"/>
    <w:rsid w:val="00546596"/>
    <w:rsid w:val="00563D23"/>
    <w:rsid w:val="005664BB"/>
    <w:rsid w:val="00566FFA"/>
    <w:rsid w:val="0057481D"/>
    <w:rsid w:val="0058486E"/>
    <w:rsid w:val="00585B33"/>
    <w:rsid w:val="0059014D"/>
    <w:rsid w:val="005A795B"/>
    <w:rsid w:val="005B248B"/>
    <w:rsid w:val="005B5C64"/>
    <w:rsid w:val="005C2BB5"/>
    <w:rsid w:val="005C5337"/>
    <w:rsid w:val="005C6BD0"/>
    <w:rsid w:val="005D1C8B"/>
    <w:rsid w:val="005D468D"/>
    <w:rsid w:val="005D5CED"/>
    <w:rsid w:val="005F1A4C"/>
    <w:rsid w:val="005F2BF7"/>
    <w:rsid w:val="005F3376"/>
    <w:rsid w:val="005F7D55"/>
    <w:rsid w:val="00601C4F"/>
    <w:rsid w:val="006043ED"/>
    <w:rsid w:val="00605688"/>
    <w:rsid w:val="006070AF"/>
    <w:rsid w:val="00607E6C"/>
    <w:rsid w:val="006101B1"/>
    <w:rsid w:val="00614E44"/>
    <w:rsid w:val="0062270A"/>
    <w:rsid w:val="00622830"/>
    <w:rsid w:val="00623DA0"/>
    <w:rsid w:val="0062446D"/>
    <w:rsid w:val="00625AD2"/>
    <w:rsid w:val="00630AEF"/>
    <w:rsid w:val="006325F8"/>
    <w:rsid w:val="0063341A"/>
    <w:rsid w:val="00633463"/>
    <w:rsid w:val="00634C9A"/>
    <w:rsid w:val="0063674A"/>
    <w:rsid w:val="006417E8"/>
    <w:rsid w:val="006440E4"/>
    <w:rsid w:val="00662DCE"/>
    <w:rsid w:val="0066343B"/>
    <w:rsid w:val="00664777"/>
    <w:rsid w:val="0066787F"/>
    <w:rsid w:val="006748A4"/>
    <w:rsid w:val="00681A31"/>
    <w:rsid w:val="006829EB"/>
    <w:rsid w:val="00683E73"/>
    <w:rsid w:val="0069092B"/>
    <w:rsid w:val="006966A0"/>
    <w:rsid w:val="006A3141"/>
    <w:rsid w:val="006A5E34"/>
    <w:rsid w:val="006B0E39"/>
    <w:rsid w:val="006B2422"/>
    <w:rsid w:val="006B26A9"/>
    <w:rsid w:val="006B2B9A"/>
    <w:rsid w:val="006C1937"/>
    <w:rsid w:val="006D0BE1"/>
    <w:rsid w:val="006E045E"/>
    <w:rsid w:val="006E59A7"/>
    <w:rsid w:val="006F020C"/>
    <w:rsid w:val="007127B7"/>
    <w:rsid w:val="0071798E"/>
    <w:rsid w:val="007416B6"/>
    <w:rsid w:val="00746F48"/>
    <w:rsid w:val="0075404D"/>
    <w:rsid w:val="0076182A"/>
    <w:rsid w:val="00767B7E"/>
    <w:rsid w:val="00774D75"/>
    <w:rsid w:val="007770C3"/>
    <w:rsid w:val="00784D24"/>
    <w:rsid w:val="00785FBA"/>
    <w:rsid w:val="00786E4A"/>
    <w:rsid w:val="007875EB"/>
    <w:rsid w:val="00791D48"/>
    <w:rsid w:val="00793510"/>
    <w:rsid w:val="0079426B"/>
    <w:rsid w:val="007D1682"/>
    <w:rsid w:val="007D312A"/>
    <w:rsid w:val="007D3F19"/>
    <w:rsid w:val="007D42E7"/>
    <w:rsid w:val="007D7B02"/>
    <w:rsid w:val="007E23B0"/>
    <w:rsid w:val="007E23E5"/>
    <w:rsid w:val="007E3B4D"/>
    <w:rsid w:val="007F1991"/>
    <w:rsid w:val="007F2C2F"/>
    <w:rsid w:val="007F55FC"/>
    <w:rsid w:val="007F5665"/>
    <w:rsid w:val="00800112"/>
    <w:rsid w:val="0080066E"/>
    <w:rsid w:val="00813348"/>
    <w:rsid w:val="008253BB"/>
    <w:rsid w:val="0083706E"/>
    <w:rsid w:val="008408F6"/>
    <w:rsid w:val="008423A5"/>
    <w:rsid w:val="00850625"/>
    <w:rsid w:val="00853718"/>
    <w:rsid w:val="00855221"/>
    <w:rsid w:val="00860645"/>
    <w:rsid w:val="00863982"/>
    <w:rsid w:val="00871F71"/>
    <w:rsid w:val="00872FD8"/>
    <w:rsid w:val="00885AF4"/>
    <w:rsid w:val="008939CD"/>
    <w:rsid w:val="008B768C"/>
    <w:rsid w:val="008C112E"/>
    <w:rsid w:val="008C4DB1"/>
    <w:rsid w:val="008C4EAF"/>
    <w:rsid w:val="008C5176"/>
    <w:rsid w:val="008C7FD0"/>
    <w:rsid w:val="008E1DE7"/>
    <w:rsid w:val="008E241C"/>
    <w:rsid w:val="008E707C"/>
    <w:rsid w:val="00900B08"/>
    <w:rsid w:val="00902155"/>
    <w:rsid w:val="00902FA3"/>
    <w:rsid w:val="00923564"/>
    <w:rsid w:val="0092392E"/>
    <w:rsid w:val="00923D16"/>
    <w:rsid w:val="009315F9"/>
    <w:rsid w:val="00933499"/>
    <w:rsid w:val="00935C98"/>
    <w:rsid w:val="00946945"/>
    <w:rsid w:val="00950A0D"/>
    <w:rsid w:val="00951248"/>
    <w:rsid w:val="0095152F"/>
    <w:rsid w:val="0095192C"/>
    <w:rsid w:val="00954C49"/>
    <w:rsid w:val="00955E37"/>
    <w:rsid w:val="00960BBA"/>
    <w:rsid w:val="009702E9"/>
    <w:rsid w:val="0097099F"/>
    <w:rsid w:val="00971997"/>
    <w:rsid w:val="00971FFC"/>
    <w:rsid w:val="00973449"/>
    <w:rsid w:val="0098660A"/>
    <w:rsid w:val="00990DE9"/>
    <w:rsid w:val="009931C3"/>
    <w:rsid w:val="009A5D5B"/>
    <w:rsid w:val="009B2C43"/>
    <w:rsid w:val="009B4EAE"/>
    <w:rsid w:val="009B7573"/>
    <w:rsid w:val="009C22F4"/>
    <w:rsid w:val="009C2A4B"/>
    <w:rsid w:val="009C2E98"/>
    <w:rsid w:val="009C6925"/>
    <w:rsid w:val="009C7A36"/>
    <w:rsid w:val="009D3447"/>
    <w:rsid w:val="009D4711"/>
    <w:rsid w:val="009D5F73"/>
    <w:rsid w:val="009E0ACB"/>
    <w:rsid w:val="009F1185"/>
    <w:rsid w:val="009F18CD"/>
    <w:rsid w:val="009F2A13"/>
    <w:rsid w:val="009F7527"/>
    <w:rsid w:val="00A00673"/>
    <w:rsid w:val="00A02A08"/>
    <w:rsid w:val="00A04EB0"/>
    <w:rsid w:val="00A10734"/>
    <w:rsid w:val="00A13CC1"/>
    <w:rsid w:val="00A16847"/>
    <w:rsid w:val="00A21F8E"/>
    <w:rsid w:val="00A22881"/>
    <w:rsid w:val="00A237D8"/>
    <w:rsid w:val="00A268C4"/>
    <w:rsid w:val="00A307CD"/>
    <w:rsid w:val="00A331C8"/>
    <w:rsid w:val="00A40A00"/>
    <w:rsid w:val="00A4142F"/>
    <w:rsid w:val="00A422EB"/>
    <w:rsid w:val="00A45BB7"/>
    <w:rsid w:val="00A538C0"/>
    <w:rsid w:val="00A546B5"/>
    <w:rsid w:val="00A55D84"/>
    <w:rsid w:val="00A56DF2"/>
    <w:rsid w:val="00A56E6E"/>
    <w:rsid w:val="00A57573"/>
    <w:rsid w:val="00A6418D"/>
    <w:rsid w:val="00A67AB5"/>
    <w:rsid w:val="00A733B2"/>
    <w:rsid w:val="00A741C2"/>
    <w:rsid w:val="00A80D95"/>
    <w:rsid w:val="00A91760"/>
    <w:rsid w:val="00A93B00"/>
    <w:rsid w:val="00A93C21"/>
    <w:rsid w:val="00AB097E"/>
    <w:rsid w:val="00AB64C9"/>
    <w:rsid w:val="00AC0115"/>
    <w:rsid w:val="00AC3C6A"/>
    <w:rsid w:val="00AD21B1"/>
    <w:rsid w:val="00AD45B2"/>
    <w:rsid w:val="00AD5620"/>
    <w:rsid w:val="00AD656B"/>
    <w:rsid w:val="00AD7C1B"/>
    <w:rsid w:val="00AE16BA"/>
    <w:rsid w:val="00AE1EBE"/>
    <w:rsid w:val="00B03C9D"/>
    <w:rsid w:val="00B060AE"/>
    <w:rsid w:val="00B10517"/>
    <w:rsid w:val="00B14E76"/>
    <w:rsid w:val="00B161B8"/>
    <w:rsid w:val="00B2048C"/>
    <w:rsid w:val="00B21B5B"/>
    <w:rsid w:val="00B310B9"/>
    <w:rsid w:val="00B32DA3"/>
    <w:rsid w:val="00B35040"/>
    <w:rsid w:val="00B35F3F"/>
    <w:rsid w:val="00B36CBB"/>
    <w:rsid w:val="00B425E0"/>
    <w:rsid w:val="00B440AA"/>
    <w:rsid w:val="00B44B70"/>
    <w:rsid w:val="00B53C56"/>
    <w:rsid w:val="00B56F59"/>
    <w:rsid w:val="00B57DAF"/>
    <w:rsid w:val="00B64ADB"/>
    <w:rsid w:val="00B64EC1"/>
    <w:rsid w:val="00B761EA"/>
    <w:rsid w:val="00B77EA6"/>
    <w:rsid w:val="00B81598"/>
    <w:rsid w:val="00B841F1"/>
    <w:rsid w:val="00B930A5"/>
    <w:rsid w:val="00B944D6"/>
    <w:rsid w:val="00B94D03"/>
    <w:rsid w:val="00BA05DA"/>
    <w:rsid w:val="00BA2138"/>
    <w:rsid w:val="00BB4DF0"/>
    <w:rsid w:val="00BB64C5"/>
    <w:rsid w:val="00BC289F"/>
    <w:rsid w:val="00BC2D50"/>
    <w:rsid w:val="00BC5361"/>
    <w:rsid w:val="00BC5460"/>
    <w:rsid w:val="00BC6B50"/>
    <w:rsid w:val="00BD0E25"/>
    <w:rsid w:val="00BF5BD6"/>
    <w:rsid w:val="00C03E31"/>
    <w:rsid w:val="00C119F6"/>
    <w:rsid w:val="00C33E72"/>
    <w:rsid w:val="00C354B2"/>
    <w:rsid w:val="00C35554"/>
    <w:rsid w:val="00C40E15"/>
    <w:rsid w:val="00C42709"/>
    <w:rsid w:val="00C533CC"/>
    <w:rsid w:val="00C547C8"/>
    <w:rsid w:val="00C54EF1"/>
    <w:rsid w:val="00C5751C"/>
    <w:rsid w:val="00C61BFC"/>
    <w:rsid w:val="00C62B85"/>
    <w:rsid w:val="00C65438"/>
    <w:rsid w:val="00C87FD8"/>
    <w:rsid w:val="00C91381"/>
    <w:rsid w:val="00C91CBB"/>
    <w:rsid w:val="00C956AA"/>
    <w:rsid w:val="00CA1823"/>
    <w:rsid w:val="00CB4E70"/>
    <w:rsid w:val="00CC09B6"/>
    <w:rsid w:val="00CC2B55"/>
    <w:rsid w:val="00CC618A"/>
    <w:rsid w:val="00CC666F"/>
    <w:rsid w:val="00CD0235"/>
    <w:rsid w:val="00CD0DA6"/>
    <w:rsid w:val="00CD1E3F"/>
    <w:rsid w:val="00CD7677"/>
    <w:rsid w:val="00CE44F6"/>
    <w:rsid w:val="00CE49DA"/>
    <w:rsid w:val="00CE7B61"/>
    <w:rsid w:val="00CF212E"/>
    <w:rsid w:val="00D00095"/>
    <w:rsid w:val="00D02098"/>
    <w:rsid w:val="00D0609B"/>
    <w:rsid w:val="00D114F0"/>
    <w:rsid w:val="00D16691"/>
    <w:rsid w:val="00D16AF9"/>
    <w:rsid w:val="00D20620"/>
    <w:rsid w:val="00D254B2"/>
    <w:rsid w:val="00D254F7"/>
    <w:rsid w:val="00D26091"/>
    <w:rsid w:val="00D2685C"/>
    <w:rsid w:val="00D27CC5"/>
    <w:rsid w:val="00D343E1"/>
    <w:rsid w:val="00D34E7C"/>
    <w:rsid w:val="00D35489"/>
    <w:rsid w:val="00D36AFE"/>
    <w:rsid w:val="00D50657"/>
    <w:rsid w:val="00D51276"/>
    <w:rsid w:val="00D53770"/>
    <w:rsid w:val="00D6760B"/>
    <w:rsid w:val="00D7035F"/>
    <w:rsid w:val="00D76248"/>
    <w:rsid w:val="00DA634F"/>
    <w:rsid w:val="00DA65AC"/>
    <w:rsid w:val="00DB1913"/>
    <w:rsid w:val="00DB5B1B"/>
    <w:rsid w:val="00DC2D6A"/>
    <w:rsid w:val="00DC410D"/>
    <w:rsid w:val="00DC5A81"/>
    <w:rsid w:val="00DC68CA"/>
    <w:rsid w:val="00DC7CBA"/>
    <w:rsid w:val="00DD0519"/>
    <w:rsid w:val="00DD63C6"/>
    <w:rsid w:val="00DD73B7"/>
    <w:rsid w:val="00DF28BC"/>
    <w:rsid w:val="00DF34B9"/>
    <w:rsid w:val="00E01053"/>
    <w:rsid w:val="00E02AAD"/>
    <w:rsid w:val="00E03C7F"/>
    <w:rsid w:val="00E07ACF"/>
    <w:rsid w:val="00E21D8C"/>
    <w:rsid w:val="00E22585"/>
    <w:rsid w:val="00E2326B"/>
    <w:rsid w:val="00E331A1"/>
    <w:rsid w:val="00E33202"/>
    <w:rsid w:val="00E336A9"/>
    <w:rsid w:val="00E449E5"/>
    <w:rsid w:val="00E472B1"/>
    <w:rsid w:val="00E5040D"/>
    <w:rsid w:val="00E50624"/>
    <w:rsid w:val="00E568DF"/>
    <w:rsid w:val="00E60032"/>
    <w:rsid w:val="00E64269"/>
    <w:rsid w:val="00E72001"/>
    <w:rsid w:val="00E7778F"/>
    <w:rsid w:val="00E82267"/>
    <w:rsid w:val="00E83BB0"/>
    <w:rsid w:val="00E853CE"/>
    <w:rsid w:val="00E85BB7"/>
    <w:rsid w:val="00E867B6"/>
    <w:rsid w:val="00E93796"/>
    <w:rsid w:val="00EA010F"/>
    <w:rsid w:val="00ED1B63"/>
    <w:rsid w:val="00ED3C1F"/>
    <w:rsid w:val="00ED4085"/>
    <w:rsid w:val="00ED420E"/>
    <w:rsid w:val="00ED6FBE"/>
    <w:rsid w:val="00EE2F57"/>
    <w:rsid w:val="00EF4C34"/>
    <w:rsid w:val="00EF6239"/>
    <w:rsid w:val="00EF77C6"/>
    <w:rsid w:val="00F05438"/>
    <w:rsid w:val="00F06A16"/>
    <w:rsid w:val="00F1361C"/>
    <w:rsid w:val="00F13969"/>
    <w:rsid w:val="00F156F0"/>
    <w:rsid w:val="00F160C7"/>
    <w:rsid w:val="00F2408F"/>
    <w:rsid w:val="00F240E9"/>
    <w:rsid w:val="00F306E7"/>
    <w:rsid w:val="00F36D8F"/>
    <w:rsid w:val="00F417B1"/>
    <w:rsid w:val="00F432B9"/>
    <w:rsid w:val="00F45853"/>
    <w:rsid w:val="00F52A73"/>
    <w:rsid w:val="00F569BB"/>
    <w:rsid w:val="00F602DF"/>
    <w:rsid w:val="00F647CD"/>
    <w:rsid w:val="00F705E3"/>
    <w:rsid w:val="00F754A1"/>
    <w:rsid w:val="00F81FD9"/>
    <w:rsid w:val="00F841AA"/>
    <w:rsid w:val="00F84A94"/>
    <w:rsid w:val="00F87E96"/>
    <w:rsid w:val="00FA23E8"/>
    <w:rsid w:val="00FA3744"/>
    <w:rsid w:val="00FD3CC1"/>
    <w:rsid w:val="00FF1E02"/>
    <w:rsid w:val="00FF30B4"/>
    <w:rsid w:val="015975B8"/>
    <w:rsid w:val="017711A5"/>
    <w:rsid w:val="018D5EFF"/>
    <w:rsid w:val="02143E91"/>
    <w:rsid w:val="066E0107"/>
    <w:rsid w:val="07686CF8"/>
    <w:rsid w:val="07996F6E"/>
    <w:rsid w:val="09695B28"/>
    <w:rsid w:val="0A2032A3"/>
    <w:rsid w:val="0F98263C"/>
    <w:rsid w:val="101860EC"/>
    <w:rsid w:val="10C055FF"/>
    <w:rsid w:val="118107EC"/>
    <w:rsid w:val="13D50BC4"/>
    <w:rsid w:val="14815D95"/>
    <w:rsid w:val="16BB723D"/>
    <w:rsid w:val="17B704B0"/>
    <w:rsid w:val="1BE8440E"/>
    <w:rsid w:val="1CB9160F"/>
    <w:rsid w:val="1D155CEE"/>
    <w:rsid w:val="1FF35744"/>
    <w:rsid w:val="23860B96"/>
    <w:rsid w:val="23F479C0"/>
    <w:rsid w:val="240371BF"/>
    <w:rsid w:val="261741A3"/>
    <w:rsid w:val="27B24B46"/>
    <w:rsid w:val="29930F11"/>
    <w:rsid w:val="29A1653C"/>
    <w:rsid w:val="29FD04D3"/>
    <w:rsid w:val="2B4F2190"/>
    <w:rsid w:val="2C8A61B5"/>
    <w:rsid w:val="2DF04E50"/>
    <w:rsid w:val="2F040D46"/>
    <w:rsid w:val="2F855CDF"/>
    <w:rsid w:val="319F7F4E"/>
    <w:rsid w:val="3304709D"/>
    <w:rsid w:val="36AA5135"/>
    <w:rsid w:val="376D39B2"/>
    <w:rsid w:val="37E16F03"/>
    <w:rsid w:val="38D469F0"/>
    <w:rsid w:val="3D98207C"/>
    <w:rsid w:val="3E78745D"/>
    <w:rsid w:val="40BD316B"/>
    <w:rsid w:val="44E268DA"/>
    <w:rsid w:val="47B75080"/>
    <w:rsid w:val="4A627F82"/>
    <w:rsid w:val="4B0E749A"/>
    <w:rsid w:val="4B4F25DA"/>
    <w:rsid w:val="4BE068DB"/>
    <w:rsid w:val="4D577224"/>
    <w:rsid w:val="4EAB630A"/>
    <w:rsid w:val="4ECE2238"/>
    <w:rsid w:val="53201CA8"/>
    <w:rsid w:val="537E6D0A"/>
    <w:rsid w:val="53B329B9"/>
    <w:rsid w:val="5AF92295"/>
    <w:rsid w:val="5CD71FC4"/>
    <w:rsid w:val="6C4A05C8"/>
    <w:rsid w:val="6E0E6CF3"/>
    <w:rsid w:val="6E7E3605"/>
    <w:rsid w:val="6FF5CC65"/>
    <w:rsid w:val="715C0E4B"/>
    <w:rsid w:val="7235363B"/>
    <w:rsid w:val="72734D90"/>
    <w:rsid w:val="73AD73D5"/>
    <w:rsid w:val="73B6EB34"/>
    <w:rsid w:val="744731E5"/>
    <w:rsid w:val="76E3355F"/>
    <w:rsid w:val="778769C8"/>
    <w:rsid w:val="79AF6E23"/>
    <w:rsid w:val="79EE5BA4"/>
    <w:rsid w:val="7A894339"/>
    <w:rsid w:val="7DCB7ED1"/>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标题 1 Char1"/>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1</a:t>
            </a:r>
            <a:r>
              <a:rPr altLang="en-US"/>
              <a:t>：</a:t>
            </a:r>
            <a:r>
              <a:t>收、支决算总计</a:t>
            </a:r>
          </a:p>
        </c:rich>
      </c:tx>
      <c:layout/>
      <c:overlay val="0"/>
      <c:spPr>
        <a:noFill/>
        <a:ln>
          <a:noFill/>
        </a:ln>
        <a:effectLst/>
      </c:spPr>
    </c:title>
    <c:autoTitleDeleted val="0"/>
    <c:plotArea>
      <c:layout>
        <c:manualLayout>
          <c:layoutTarget val="inner"/>
          <c:xMode val="edge"/>
          <c:yMode val="edge"/>
          <c:x val="0.02925"/>
          <c:y val="0.143500000000001"/>
          <c:w val="0.945"/>
          <c:h val="0.704733333333333"/>
        </c:manualLayout>
      </c:layout>
      <c:barChart>
        <c:barDir val="col"/>
        <c:grouping val="clustered"/>
        <c:varyColors val="0"/>
        <c:ser>
          <c:idx val="0"/>
          <c:order val="0"/>
          <c:tx>
            <c:strRef>
              <c:f>Sheet1!$B$1</c:f>
              <c:strCache>
                <c:ptCount val="1"/>
                <c:pt idx="0">
                  <c:v>收、支总计</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2225"/>
                  <c:y val="-0.14083333333333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r>
                      <a:rPr lang="en-US" altLang="zh-CN" b="0">
                        <a:solidFill>
                          <a:schemeClr val="tx1">
                            <a:lumMod val="85000"/>
                            <a:lumOff val="15000"/>
                          </a:schemeClr>
                        </a:solidFill>
                      </a:rPr>
                      <a:t>2021</a:t>
                    </a:r>
                    <a:r>
                      <a:rPr altLang="en-US" b="0">
                        <a:solidFill>
                          <a:schemeClr val="tx1">
                            <a:lumMod val="85000"/>
                            <a:lumOff val="15000"/>
                          </a:schemeClr>
                        </a:solidFill>
                      </a:rPr>
                      <a:t>年度收、支</a:t>
                    </a:r>
                    <a:r>
                      <a:rPr b="0">
                        <a:solidFill>
                          <a:schemeClr val="tx1">
                            <a:lumMod val="85000"/>
                            <a:lumOff val="15000"/>
                          </a:schemeClr>
                        </a:solidFill>
                      </a:rPr>
                      <a:t>1422.02万元</a:t>
                    </a:r>
                    <a:endParaRPr b="0">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405"/>
                      <c:h val="0.0605"/>
                    </c:manualLayout>
                  </c15:layout>
                </c:ext>
              </c:extLst>
            </c:dLbl>
            <c:dLbl>
              <c:idx val="1"/>
              <c:layout>
                <c:manualLayout>
                  <c:x val="0.0988750000000001"/>
                  <c:y val="-0.10666666666666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r>
                      <a:rPr lang="en-US" altLang="zh-CN" b="0">
                        <a:solidFill>
                          <a:schemeClr val="tx1">
                            <a:lumMod val="85000"/>
                            <a:lumOff val="15000"/>
                          </a:schemeClr>
                        </a:solidFill>
                      </a:rPr>
                      <a:t>2022</a:t>
                    </a:r>
                    <a:r>
                      <a:rPr altLang="en-US" b="0">
                        <a:solidFill>
                          <a:schemeClr val="tx1">
                            <a:lumMod val="85000"/>
                            <a:lumOff val="15000"/>
                          </a:schemeClr>
                        </a:solidFill>
                      </a:rPr>
                      <a:t>年度收、支</a:t>
                    </a:r>
                    <a:r>
                      <a:rPr b="0">
                        <a:solidFill>
                          <a:schemeClr val="tx1">
                            <a:lumMod val="85000"/>
                            <a:lumOff val="15000"/>
                          </a:schemeClr>
                        </a:solidFill>
                      </a:rPr>
                      <a:t>1560.21万元</a:t>
                    </a:r>
                    <a:endParaRPr b="0">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72375"/>
                      <c:h val="0.07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1422.02</c:v>
                </c:pt>
                <c:pt idx="1">
                  <c:v>1560.21</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0.012"/>
                  <c:y val="-0.1"/>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增加支出</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32125"/>
                      <c:h val="0.0358333333333333"/>
                    </c:manualLayout>
                  </c15:layout>
                </c:ext>
              </c:extLst>
            </c:dLbl>
            <c:dLbl>
              <c:idx val="1"/>
              <c:layout>
                <c:manualLayout>
                  <c:x val="0.0540625"/>
                  <c:y val="-0.25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巩固脱贫衔接乡村振兴</a:t>
                    </a:r>
                    <a:endParaRPr>
                      <a:solidFill>
                        <a:schemeClr val="tx1">
                          <a:lumMod val="85000"/>
                          <a:lumOff val="15000"/>
                        </a:schemeClr>
                      </a:solidFill>
                    </a:endParaRPr>
                  </a:p>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项目支出151.26万元</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88125"/>
                      <c:h val="0.127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2021年度</c:v>
                </c:pt>
                <c:pt idx="1">
                  <c:v>2022年度</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0.022125"/>
                  <c:y val="-0.047666666666666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增长0</a:t>
                    </a:r>
                    <a:r>
                      <a:rPr lang="en-US" altLang="zh-CN">
                        <a:solidFill>
                          <a:schemeClr val="tx1">
                            <a:lumMod val="85000"/>
                            <a:lumOff val="15000"/>
                          </a:schemeClr>
                        </a:solidFill>
                      </a:rPr>
                      <a:t>%</a:t>
                    </a:r>
                    <a:endParaRPr lang="en-US" altLang="zh-CN">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22"/>
                      <c:h val="0.0563333333333333"/>
                    </c:manualLayout>
                  </c15:layout>
                </c:ext>
              </c:extLst>
            </c:dLbl>
            <c:dLbl>
              <c:idx val="1"/>
              <c:layout>
                <c:manualLayout>
                  <c:x val="0.0325"/>
                  <c:y val="-0.063666666666666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增长9.72%</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61125"/>
                      <c:h val="0.0518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2021年度</c:v>
                </c:pt>
                <c:pt idx="1">
                  <c:v>2022年度</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88458496"/>
        <c:axId val="188460032"/>
      </c:barChart>
      <c:catAx>
        <c:axId val="188458496"/>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8460032"/>
        <c:crosses val="autoZero"/>
        <c:auto val="1"/>
        <c:lblAlgn val="ctr"/>
        <c:lblOffset val="100"/>
        <c:noMultiLvlLbl val="0"/>
      </c:catAx>
      <c:valAx>
        <c:axId val="1884600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8845849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120125"/>
          <c:y val="0.924166666666667"/>
          <c:w val="0.73975"/>
          <c:h val="0.0413333333333333"/>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图2：财政拨款收入</a:t>
            </a:r>
          </a:p>
        </c:rich>
      </c:tx>
      <c:layout>
        <c:manualLayout>
          <c:xMode val="edge"/>
          <c:yMode val="edge"/>
          <c:x val="0.271197871099446"/>
          <c:y val="0"/>
        </c:manualLayout>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039421214538"/>
          <c:y val="0.124317966500179"/>
          <c:w val="0.943488663552467"/>
          <c:h val="0.747896084888401"/>
        </c:manualLayout>
      </c:layout>
      <c:pie3DChart>
        <c:varyColors val="1"/>
        <c:ser>
          <c:idx val="0"/>
          <c:order val="0"/>
          <c:tx>
            <c:strRef>
              <c:f>Sheet1!$B$1</c:f>
              <c:strCache>
                <c:ptCount val="1"/>
                <c:pt idx="0">
                  <c:v>财政拨款收入</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一般公共预算收入</a:t>
                    </a:r>
                  </a:p>
                  <a:p>
                    <a:pPr>
                      <a:defRPr lang="zh-CN" sz="1000" b="1" i="0" u="none" strike="noStrike" kern="1200" baseline="0">
                        <a:solidFill>
                          <a:schemeClr val="lt1"/>
                        </a:solidFill>
                        <a:latin typeface="+mn-lt"/>
                        <a:ea typeface="+mn-ea"/>
                        <a:cs typeface="+mn-cs"/>
                      </a:defRPr>
                    </a:pPr>
                    <a:r>
                      <a:t>98.47%</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00780110819480898"/>
                  <c:y val="0.088752093641106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其他收入1.53%</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504282407407407"/>
                      <c:h val="0.104523227383863"/>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一般公共预算收入1418.71万元</c:v>
                </c:pt>
                <c:pt idx="1">
                  <c:v>其他收入22.01万元</c:v>
                </c:pt>
              </c:strCache>
            </c:strRef>
          </c:cat>
          <c:val>
            <c:numRef>
              <c:f>Sheet1!$B$2:$B$3</c:f>
              <c:numCache>
                <c:formatCode>General</c:formatCode>
                <c:ptCount val="2"/>
                <c:pt idx="0">
                  <c:v>1418.71</c:v>
                </c:pt>
                <c:pt idx="1">
                  <c:v>22.01</c:v>
                </c:pt>
              </c:numCache>
            </c:numRef>
          </c:val>
        </c:ser>
        <c:dLbls>
          <c:showLegendKey val="0"/>
          <c:showVal val="0"/>
          <c:showCatName val="1"/>
          <c:showSerName val="0"/>
          <c:showPercent val="0"/>
          <c:showBubbleSize val="0"/>
        </c:dLbls>
      </c:pie3DChart>
      <c:spPr>
        <a:noFill/>
        <a:ln>
          <a:noFill/>
        </a:ln>
        <a:effectLst/>
      </c:spPr>
    </c:plotArea>
    <c:legend>
      <c:legendPos val="r"/>
      <c:layout>
        <c:manualLayout>
          <c:xMode val="edge"/>
          <c:yMode val="edge"/>
          <c:x val="0.685763888888889"/>
          <c:y val="0.24877750611246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图3：2022年本年支出</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55331010342689"/>
          <c:y val="0.115760509287465"/>
          <c:w val="0.943488663552467"/>
          <c:h val="0.747896084888401"/>
        </c:manualLayout>
      </c:layout>
      <c:pie3DChart>
        <c:varyColors val="1"/>
        <c:ser>
          <c:idx val="0"/>
          <c:order val="0"/>
          <c:tx>
            <c:strRef>
              <c:f>Sheet1!$B$1</c:f>
              <c:strCache>
                <c:ptCount val="1"/>
                <c:pt idx="0">
                  <c:v>2022年本年支出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基本支出</a:t>
                    </a:r>
                  </a:p>
                  <a:p>
                    <a:pPr>
                      <a:defRPr lang="zh-CN" sz="1000" b="1" i="0" u="none" strike="noStrike" kern="1200" baseline="0">
                        <a:solidFill>
                          <a:schemeClr val="lt1"/>
                        </a:solidFill>
                        <a:latin typeface="+mn-lt"/>
                        <a:ea typeface="+mn-ea"/>
                        <a:cs typeface="+mn-cs"/>
                      </a:defRPr>
                    </a:pPr>
                    <a:r>
                      <a:t>52.45%</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项目支出</a:t>
                    </a:r>
                  </a:p>
                  <a:p>
                    <a:pPr>
                      <a:defRPr lang="zh-CN" sz="1000" b="1" i="0" u="none" strike="noStrike" kern="1200" baseline="0">
                        <a:solidFill>
                          <a:schemeClr val="lt1"/>
                        </a:solidFill>
                        <a:latin typeface="+mn-lt"/>
                        <a:ea typeface="+mn-ea"/>
                        <a:cs typeface="+mn-cs"/>
                      </a:defRPr>
                    </a:pPr>
                    <a:r>
                      <a:t>47.55%</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基本支出814.62万元</c:v>
                </c:pt>
                <c:pt idx="1">
                  <c:v>项目支出738.39万元</c:v>
                </c:pt>
              </c:strCache>
            </c:strRef>
          </c:cat>
          <c:val>
            <c:numRef>
              <c:f>Sheet1!$B$2:$B$3</c:f>
              <c:numCache>
                <c:formatCode>0.00%</c:formatCode>
                <c:ptCount val="2"/>
                <c:pt idx="0">
                  <c:v>0.5245</c:v>
                </c:pt>
                <c:pt idx="1">
                  <c:v>0.4755</c:v>
                </c:pt>
              </c:numCache>
            </c:numRef>
          </c:val>
        </c:ser>
        <c:dLbls>
          <c:showLegendKey val="0"/>
          <c:showVal val="0"/>
          <c:showCatName val="1"/>
          <c:showSerName val="0"/>
          <c:showPercent val="0"/>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图4：2022年财政拨款收、支决算总计</a:t>
            </a:r>
          </a:p>
        </c:rich>
      </c:tx>
      <c:layout/>
      <c:overlay val="0"/>
      <c:spPr>
        <a:noFill/>
        <a:ln>
          <a:noFill/>
        </a:ln>
        <a:effectLst/>
      </c:spPr>
    </c:title>
    <c:autoTitleDeleted val="0"/>
    <c:plotArea>
      <c:layout>
        <c:manualLayout>
          <c:layoutTarget val="inner"/>
          <c:xMode val="edge"/>
          <c:yMode val="edge"/>
          <c:x val="0.068325"/>
          <c:y val="0.153646659643578"/>
          <c:w val="0.927925"/>
          <c:h val="0.716566666666667"/>
        </c:manualLayout>
      </c:layout>
      <c:barChart>
        <c:barDir val="col"/>
        <c:grouping val="clustered"/>
        <c:varyColors val="0"/>
        <c:ser>
          <c:idx val="0"/>
          <c:order val="0"/>
          <c:tx>
            <c:strRef>
              <c:f>Sheet1!$B$1</c:f>
              <c:strCache>
                <c:ptCount val="1"/>
                <c:pt idx="0">
                  <c:v>财政拨款收、支总计</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13625"/>
                  <c:y val="-0.104161179878852"/>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2021年财政拨款收、支1179.52万元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
                  <c:y val="-0.086252304450882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2022年财政拨款收、支1441.42万元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Sheet1!$B$2:$B$3</c:f>
              <c:numCache>
                <c:formatCode>General</c:formatCode>
                <c:ptCount val="2"/>
                <c:pt idx="0">
                  <c:v>1179.52</c:v>
                </c:pt>
                <c:pt idx="1">
                  <c:v>1441.42</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增加收、支261.9万元</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增长22.20%</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89430016"/>
        <c:axId val="189456384"/>
      </c:barChart>
      <c:catAx>
        <c:axId val="189430016"/>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9456384"/>
        <c:crosses val="autoZero"/>
        <c:auto val="1"/>
        <c:lblAlgn val="ctr"/>
        <c:lblOffset val="100"/>
        <c:noMultiLvlLbl val="0"/>
      </c:catAx>
      <c:valAx>
        <c:axId val="1894563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89430016"/>
        <c:crosses val="autoZero"/>
        <c:crossBetween val="between"/>
      </c:valAx>
      <c:spPr>
        <a:noFill/>
        <a:ln>
          <a:noFill/>
        </a:ln>
        <a:effectLst/>
      </c:spPr>
    </c:plotArea>
    <c:legend>
      <c:legendPos val="b"/>
      <c:legendEntry>
        <c:idx val="1"/>
        <c:delete val="1"/>
      </c:legendEntry>
      <c:legendEntry>
        <c:idx val="2"/>
        <c:delete val="1"/>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5</a:t>
            </a:r>
            <a:r>
              <a:t>：一般公共预算财政拨款支出决算</a:t>
            </a:r>
          </a:p>
        </c:rich>
      </c:tx>
      <c:layout/>
      <c:overlay val="0"/>
      <c:spPr>
        <a:noFill/>
        <a:ln>
          <a:noFill/>
        </a:ln>
        <a:effectLst/>
      </c:spPr>
    </c:title>
    <c:autoTitleDeleted val="0"/>
    <c:plotArea>
      <c:layout>
        <c:manualLayout>
          <c:layoutTarget val="inner"/>
          <c:xMode val="edge"/>
          <c:yMode val="edge"/>
          <c:x val="0.068325"/>
          <c:y val="0.149959538231937"/>
          <c:w val="0.927925"/>
          <c:h val="0.716566666666667"/>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00125"/>
                  <c:y val="-0.15096305195373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lang="en-US" altLang="zh-CN">
                        <a:solidFill>
                          <a:schemeClr val="tx1">
                            <a:lumMod val="85000"/>
                            <a:lumOff val="15000"/>
                          </a:schemeClr>
                        </a:solidFill>
                      </a:rPr>
                      <a:t>2021</a:t>
                    </a:r>
                    <a:r>
                      <a:rPr altLang="en-US">
                        <a:solidFill>
                          <a:schemeClr val="tx1">
                            <a:lumMod val="85000"/>
                            <a:lumOff val="15000"/>
                          </a:schemeClr>
                        </a:solidFill>
                      </a:rPr>
                      <a:t>年一般公共预算财政拨款支出</a:t>
                    </a:r>
                    <a:r>
                      <a:rPr>
                        <a:solidFill>
                          <a:schemeClr val="tx1">
                            <a:lumMod val="85000"/>
                            <a:lumOff val="15000"/>
                          </a:schemeClr>
                        </a:solidFill>
                      </a:rPr>
                      <a:t>1179.52万元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
                  <c:y val="-0.1314580810780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lang="en-US" altLang="zh-CN">
                        <a:solidFill>
                          <a:schemeClr val="tx1">
                            <a:lumMod val="85000"/>
                            <a:lumOff val="15000"/>
                          </a:schemeClr>
                        </a:solidFill>
                      </a:rPr>
                      <a:t>2022</a:t>
                    </a:r>
                    <a:r>
                      <a:rPr altLang="en-US">
                        <a:solidFill>
                          <a:schemeClr val="tx1">
                            <a:lumMod val="85000"/>
                            <a:lumOff val="15000"/>
                          </a:schemeClr>
                        </a:solidFill>
                      </a:rPr>
                      <a:t>年一般公共预算财政拨款支出</a:t>
                    </a:r>
                    <a:r>
                      <a:rPr>
                        <a:solidFill>
                          <a:schemeClr val="tx1">
                            <a:lumMod val="85000"/>
                            <a:lumOff val="15000"/>
                          </a:schemeClr>
                        </a:solidFill>
                      </a:rPr>
                      <a:t>1441.42万元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Sheet1!$B$2:$B$3</c:f>
              <c:numCache>
                <c:formatCode>General</c:formatCode>
                <c:ptCount val="2"/>
                <c:pt idx="0">
                  <c:v>1179.52</c:v>
                </c:pt>
                <c:pt idx="1">
                  <c:v>1441.42</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1"/>
              <c:layout>
                <c:manualLayout>
                  <c:x val="0.013625"/>
                  <c:y val="-0.112983934685278"/>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一般公共预算财政拨款支出261.9万元</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289625"/>
                      <c:h val="0.089412694232288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Sheet1!$C$2:$C$3</c:f>
              <c:numCache>
                <c:formatCode>General</c:formatCode>
                <c:ptCount val="2"/>
              </c:numCache>
            </c:numRef>
          </c:val>
        </c:ser>
        <c:ser>
          <c:idx val="2"/>
          <c:order val="2"/>
          <c:tx>
            <c:strRef>
              <c:f>Sheet1!$D$1</c:f>
              <c:strCache>
                <c:ptCount val="1"/>
                <c:pt idx="0">
                  <c:v/>
                </c:pt>
              </c:strCache>
            </c:strRef>
          </c:tx>
          <c:spPr>
            <a:gradFill>
              <a:gsLst>
                <a:gs pos="0">
                  <a:srgbClr val="FBFB11"/>
                </a:gs>
                <a:gs pos="100000">
                  <a:srgbClr val="838309"/>
                </a:gs>
              </a:gsLst>
              <a:path path="circle"/>
            </a:gradFill>
            <a:ln w="9525" cap="flat" cmpd="sng" algn="ctr">
              <a:solidFill>
                <a:schemeClr val="lt1">
                  <a:alpha val="50000"/>
                </a:schemeClr>
              </a:solidFill>
              <a:round/>
            </a:ln>
            <a:effectLst/>
          </c:spPr>
          <c:invertIfNegative val="0"/>
          <c:dLbls>
            <c:dLbl>
              <c:idx val="1"/>
              <c:layout>
                <c:manualLayout>
                  <c:x val="0.010375"/>
                  <c:y val="-0.0177771925204109"/>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增长22.20%</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89526784"/>
        <c:axId val="189528320"/>
      </c:barChart>
      <c:catAx>
        <c:axId val="18952678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9528320"/>
        <c:crosses val="autoZero"/>
        <c:auto val="1"/>
        <c:lblAlgn val="ctr"/>
        <c:lblOffset val="100"/>
        <c:noMultiLvlLbl val="0"/>
      </c:catAx>
      <c:valAx>
        <c:axId val="1895283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89526784"/>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09125"/>
          <c:y val="0.938372399262576"/>
          <c:w val="0.8335"/>
          <c:h val="0.036871214116407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6</a:t>
            </a:r>
            <a:r>
              <a:rPr altLang="en-US"/>
              <a:t>：</a:t>
            </a:r>
            <a:r>
              <a:t>2022年一般公共预算材质拨款支出1441.42万元</a:t>
            </a:r>
          </a:p>
        </c:rich>
      </c:tx>
      <c:layout>
        <c:manualLayout>
          <c:xMode val="edge"/>
          <c:yMode val="edge"/>
          <c:x val="0.128500531726338"/>
          <c:y val="0.00368505097653851"/>
        </c:manualLayout>
      </c:layout>
      <c:overlay val="0"/>
      <c:spPr>
        <a:noFill/>
        <a:ln>
          <a:noFill/>
        </a:ln>
        <a:effectLst/>
      </c:spPr>
    </c:title>
    <c:autoTitleDeleted val="0"/>
    <c:plotArea>
      <c:layout>
        <c:manualLayout>
          <c:layoutTarget val="inner"/>
          <c:xMode val="edge"/>
          <c:yMode val="edge"/>
          <c:x val="0.00315264285545903"/>
          <c:y val="0.100836998830037"/>
          <c:w val="0.64031147050015"/>
          <c:h val="0.843059936908518"/>
        </c:manualLayout>
      </c:layout>
      <c:pieChart>
        <c:varyColors val="1"/>
        <c:ser>
          <c:idx val="0"/>
          <c:order val="0"/>
          <c:tx>
            <c:strRef>
              <c:f>Sheet1!$B$1</c:f>
              <c:strCache>
                <c:ptCount val="1"/>
                <c:pt idx="0">
                  <c:v>2022年一般公共预算材质拨款支出1441.42万元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gradFill>
                <a:gsLst>
                  <a:gs pos="28000">
                    <a:srgbClr val="E30000"/>
                  </a:gs>
                  <a:gs pos="100000">
                    <a:srgbClr val="760303"/>
                  </a:gs>
                </a:gsLst>
                <a:path path="circle"/>
              </a:gra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Lbls>
            <c:dLbl>
              <c:idx val="0"/>
              <c:layout>
                <c:manualLayout>
                  <c:x val="-0.0936154106347818"/>
                  <c:y val="-0.16169335865012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一般公共服务支出38.15%</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06163882216301"/>
                  <c:y val="-0.086794246613937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公共安全支出 0.23%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8615788941676"/>
                      <c:h val="0.0500599121288776"/>
                    </c:manualLayout>
                  </c15:layout>
                </c:ext>
              </c:extLst>
            </c:dLbl>
            <c:dLbl>
              <c:idx val="2"/>
              <c:layout>
                <c:manualLayout>
                  <c:x val="0.140483725822067"/>
                  <c:y val="-0.028558402423111"/>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文化旅游与传媒支出1.02%</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48458506014354"/>
                      <c:h val="0.0463320463320463"/>
                    </c:manualLayout>
                  </c15:layout>
                </c:ext>
              </c:extLst>
            </c:dLbl>
            <c:dLbl>
              <c:idx val="3"/>
              <c:layout>
                <c:manualLayout>
                  <c:x val="0.206437203121469"/>
                  <c:y val="0.00323252919466707"/>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卫生健康支出3.00%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22955625189528"/>
                      <c:h val="0.048195979230462"/>
                    </c:manualLayout>
                  </c15:layout>
                </c:ext>
              </c:extLst>
            </c:dLbl>
            <c:dLbl>
              <c:idx val="4"/>
              <c:layout>
                <c:manualLayout>
                  <c:x val="0.173057489886424"/>
                  <c:y val="0.0369135848105235"/>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城乡社区支出 0.73%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44815526129587"/>
                      <c:h val="0.0402076953801092"/>
                    </c:manualLayout>
                  </c15:layout>
                </c:ext>
              </c:extLst>
            </c:dLbl>
            <c:dLbl>
              <c:idx val="5"/>
              <c:layout>
                <c:manualLayout>
                  <c:x val="0.118794122987418"/>
                  <c:y val="0.10302095589117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农林水支出37.31%</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232668355289495"/>
                  <c:y val="-0.16919992567557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交通运输支出 0.03%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63377053054472"/>
                      <c:h val="0.059732573432705"/>
                    </c:manualLayout>
                  </c15:layout>
                </c:ext>
              </c:extLst>
            </c:dLbl>
            <c:dLbl>
              <c:idx val="7"/>
              <c:layout>
                <c:manualLayout>
                  <c:x val="0.0685252199578149"/>
                  <c:y val="-0.0513839971413914"/>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支出房保障支出4.96%</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5418983119377"/>
                      <c:h val="0.045676828633857"/>
                    </c:manualLayout>
                  </c15:layout>
                </c:ext>
              </c:extLst>
            </c:dLbl>
            <c:dLbl>
              <c:idx val="8"/>
              <c:layout>
                <c:manualLayout>
                  <c:x val="0.139941080895711"/>
                  <c:y val="-0.1143681833356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灾害防治及应急管理支出 0.23%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368539371272617"/>
                      <c:h val="0.0364166059723234"/>
                    </c:manualLayout>
                  </c15:layout>
                </c:ext>
              </c:extLst>
            </c:dLbl>
            <c:dLbl>
              <c:idx val="9"/>
              <c:layout>
                <c:manualLayout>
                  <c:x val="0.296810058097018"/>
                  <c:y val="-0.052396001493003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社会保障和就业支出14.3</a:t>
                    </a:r>
                    <a:r>
                      <a:rPr lang="en-US" altLang="zh-CN"/>
                      <a:t>4</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82488479262673"/>
                      <c:h val="0.0525733939319494"/>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Sheet1!$A$2:$A$11</c:f>
              <c:strCache>
                <c:ptCount val="10"/>
                <c:pt idx="0">
                  <c:v>一般公共服务支出549.85万元</c:v>
                </c:pt>
                <c:pt idx="1">
                  <c:v>公共安全支出3.27万元</c:v>
                </c:pt>
                <c:pt idx="2">
                  <c:v>文化旅游体育与传媒支出14.76万元</c:v>
                </c:pt>
                <c:pt idx="3">
                  <c:v>卫生健康支出43.34万元</c:v>
                </c:pt>
                <c:pt idx="4">
                  <c:v>城乡社区支出10.49万元</c:v>
                </c:pt>
                <c:pt idx="5">
                  <c:v>农林水支出537.77万元</c:v>
                </c:pt>
                <c:pt idx="6">
                  <c:v>交通运输支出0.4万元</c:v>
                </c:pt>
                <c:pt idx="7">
                  <c:v>支出房保障支出71.47万元</c:v>
                </c:pt>
                <c:pt idx="8">
                  <c:v>灾害防治及应急管理支出3.36万元</c:v>
                </c:pt>
                <c:pt idx="9">
                  <c:v>社会保障和就业支出206.72万元</c:v>
                </c:pt>
              </c:strCache>
            </c:strRef>
          </c:cat>
          <c:val>
            <c:numRef>
              <c:f>Sheet1!$B$2:$B$11</c:f>
              <c:numCache>
                <c:formatCode>0.00%</c:formatCode>
                <c:ptCount val="10"/>
                <c:pt idx="0">
                  <c:v>0.3815</c:v>
                </c:pt>
                <c:pt idx="1">
                  <c:v>0.0023</c:v>
                </c:pt>
                <c:pt idx="2">
                  <c:v>0.0102</c:v>
                </c:pt>
                <c:pt idx="3">
                  <c:v>0.03</c:v>
                </c:pt>
                <c:pt idx="4">
                  <c:v>0.0073</c:v>
                </c:pt>
                <c:pt idx="5">
                  <c:v>0.3731</c:v>
                </c:pt>
                <c:pt idx="6">
                  <c:v>0.0003</c:v>
                </c:pt>
                <c:pt idx="7">
                  <c:v>0.0496</c:v>
                </c:pt>
                <c:pt idx="8">
                  <c:v>0.0023</c:v>
                </c:pt>
                <c:pt idx="9">
                  <c:v>0.1434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8"/>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9"/>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ayout>
        <c:manualLayout>
          <c:xMode val="edge"/>
          <c:yMode val="edge"/>
          <c:x val="0.665318912362276"/>
          <c:y val="0.254812194360628"/>
          <c:w val="0.318204791266552"/>
          <c:h val="0.425658100093643"/>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52206778834431"/>
          <c:y val="0.0197417248033249"/>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0536454523287003"/>
          <c:y val="0.206461341391602"/>
          <c:w val="0.605705925384053"/>
          <c:h val="0.737420216713672"/>
        </c:manualLayout>
      </c:layout>
      <c:pieChart>
        <c:varyColors val="1"/>
        <c:ser>
          <c:idx val="0"/>
          <c:order val="0"/>
          <c:tx>
            <c:strRef>
              <c:f>Sheet1!$B$1</c:f>
              <c:strCache>
                <c:ptCount val="1"/>
                <c:pt idx="0">
                  <c:v>图7：2022年“三公”经费财政拨款支出</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853247498203463"/>
                  <c:y val="-0.16369445838621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altLang="en-US"/>
                      <a:t>公务用车购置及运行维护费支出 </a:t>
                    </a:r>
                    <a:r>
                      <a:rPr lang="en-US" altLang="zh-CN"/>
                      <a:t>94.1</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632650573030968"/>
                      <c:h val="0.0565533620305774"/>
                    </c:manualLayout>
                  </c15:layout>
                </c:ext>
              </c:extLst>
            </c:dLbl>
            <c:dLbl>
              <c:idx val="1"/>
              <c:layout>
                <c:manualLayout>
                  <c:x val="-0.048432557676408"/>
                  <c:y val="-0.026205853432386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公务接待费支出 </a:t>
                    </a:r>
                    <a:r>
                      <a:rPr lang="en-US" altLang="zh-CN"/>
                      <a:t>5.9</a:t>
                    </a:r>
                    <a:r>
                      <a:t>%</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375160571689376"/>
                      <c:h val="0.0473880997494803"/>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公务用车购置及运行维护费支出3.51万元</c:v>
                </c:pt>
                <c:pt idx="1">
                  <c:v>公务接待费支出0.22万元</c:v>
                </c:pt>
              </c:strCache>
            </c:strRef>
          </c:cat>
          <c:val>
            <c:numRef>
              <c:f>Sheet1!$B$2:$B$3</c:f>
              <c:numCache>
                <c:formatCode>0.00%</c:formatCode>
                <c:ptCount val="2"/>
                <c:pt idx="0">
                  <c:v>0.941</c:v>
                </c:pt>
                <c:pt idx="1">
                  <c:v>0.059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ayout>
        <c:manualLayout>
          <c:xMode val="edge"/>
          <c:yMode val="edge"/>
          <c:x val="0.665318912362276"/>
          <c:y val="0.254812194360628"/>
          <c:w val="0.318204791266552"/>
          <c:h val="0.425658100093643"/>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11418</Words>
  <Characters>2404</Characters>
  <Lines>20</Lines>
  <Paragraphs>27</Paragraphs>
  <TotalTime>0</TotalTime>
  <ScaleCrop>false</ScaleCrop>
  <LinksUpToDate>false</LinksUpToDate>
  <CharactersWithSpaces>13795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2023-10-16T06:42:27Z</dcterms:modified>
  <dc:title>四川省***</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CEF1F3BB800A431E9411F29B4D0F8E4F_12</vt:lpwstr>
  </property>
</Properties>
</file>