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193"/>
      <w:bookmarkStart w:id="1" w:name="_Toc15396475"/>
      <w:bookmarkStart w:id="2" w:name="_Toc15378441"/>
      <w:bookmarkStart w:id="3" w:name="_Toc15377425"/>
      <w:bookmarkStart w:id="4" w:name="_Toc15396597"/>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77426"/>
      <w:bookmarkStart w:id="8" w:name="_Toc15396476"/>
      <w:bookmarkStart w:id="9" w:name="_Toc15396598"/>
      <w:bookmarkStart w:id="10" w:name="_Toc15377194"/>
      <w:r>
        <w:rPr>
          <w:rFonts w:hint="eastAsia" w:ascii="方正小标宋简体" w:hAnsi="方正小标宋简体" w:eastAsia="方正小标宋简体" w:cs="方正小标宋简体"/>
          <w:sz w:val="72"/>
          <w:szCs w:val="72"/>
        </w:rPr>
        <w:t>乐山市市中区</w:t>
      </w:r>
      <w:bookmarkEnd w:id="5"/>
      <w:bookmarkStart w:id="11" w:name="_Toc15306268"/>
      <w:r>
        <w:rPr>
          <w:rFonts w:hint="eastAsia" w:ascii="方正小标宋简体" w:hAnsi="方正小标宋简体" w:eastAsia="方正小标宋简体" w:cs="方正小标宋简体"/>
          <w:sz w:val="72"/>
          <w:szCs w:val="72"/>
        </w:rPr>
        <w:t>棉竹镇人民政府部门决算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公开时间：2023年10月7日</w:t>
      </w:r>
    </w:p>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 xml:space="preserve">部门概况 </w:t>
      </w:r>
      <w:r>
        <w:rPr>
          <w:rFonts w:hint="eastAsia" w:ascii="宋体" w:hAnsi="宋体" w:cs="宋体"/>
          <w:sz w:val="24"/>
        </w:rPr>
        <w:t>…………………………………………………………………4</w:t>
      </w:r>
    </w:p>
    <w:p>
      <w:pPr>
        <w:pStyle w:val="12"/>
        <w:adjustRightInd w:val="0"/>
        <w:snapToGrid w:val="0"/>
        <w:spacing w:line="440" w:lineRule="exact"/>
        <w:jc w:val="left"/>
        <w:rPr>
          <w:rFonts w:ascii="仿宋" w:hAnsi="仿宋" w:eastAsia="仿宋"/>
          <w:sz w:val="24"/>
        </w:rPr>
      </w:pPr>
      <w:r>
        <w:rPr>
          <w:rFonts w:hint="eastAsia"/>
          <w:sz w:val="24"/>
        </w:rPr>
        <w:t>一、部门职责</w:t>
      </w:r>
      <w:r>
        <w:rPr>
          <w:rFonts w:hint="eastAsia" w:ascii="宋体" w:hAnsi="宋体" w:cs="宋体"/>
          <w:sz w:val="24"/>
        </w:rPr>
        <w:t>……………………………………………………………………4</w:t>
      </w:r>
    </w:p>
    <w:p>
      <w:pPr>
        <w:pStyle w:val="12"/>
        <w:adjustRightInd w:val="0"/>
        <w:snapToGrid w:val="0"/>
        <w:spacing w:line="440" w:lineRule="exact"/>
        <w:jc w:val="left"/>
        <w:rPr>
          <w:rFonts w:ascii="仿宋" w:hAnsi="仿宋" w:eastAsia="仿宋" w:cstheme="minorBidi"/>
          <w:sz w:val="24"/>
        </w:rPr>
      </w:pPr>
      <w:r>
        <w:rPr>
          <w:rFonts w:hint="eastAsia"/>
          <w:sz w:val="24"/>
        </w:rPr>
        <w:t>二、机构设置</w:t>
      </w:r>
      <w:r>
        <w:rPr>
          <w:rFonts w:hint="eastAsia" w:ascii="宋体" w:hAnsi="宋体" w:cs="宋体"/>
          <w:sz w:val="24"/>
        </w:rPr>
        <w:t>……………………………………………………………………5</w:t>
      </w:r>
    </w:p>
    <w:p>
      <w:pPr>
        <w:pStyle w:val="11"/>
        <w:adjustRightInd w:val="0"/>
        <w:snapToGrid w:val="0"/>
        <w:spacing w:before="0" w:line="440" w:lineRule="exact"/>
        <w:jc w:val="left"/>
        <w:rPr>
          <w:sz w:val="24"/>
          <w:szCs w:val="24"/>
        </w:rPr>
      </w:pPr>
      <w:r>
        <w:rPr>
          <w:rFonts w:hint="eastAsia"/>
          <w:sz w:val="24"/>
        </w:rPr>
        <w:t>第二部分 2022年度部门决算情况说明</w:t>
      </w:r>
      <w:r>
        <w:rPr>
          <w:rFonts w:hint="eastAsia" w:ascii="宋体" w:hAnsi="宋体" w:cs="宋体"/>
          <w:sz w:val="24"/>
        </w:rPr>
        <w:t>……………………………………………6</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hint="eastAsia" w:ascii="宋体" w:hAnsi="宋体" w:cs="宋体"/>
          <w:sz w:val="24"/>
        </w:rPr>
        <w:t>………………………………………………6</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r>
        <w:rPr>
          <w:rFonts w:hint="eastAsia" w:ascii="宋体" w:hAnsi="宋体" w:cs="宋体"/>
          <w:sz w:val="24"/>
        </w:rPr>
        <w:t>…………………………………………………………6</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r>
        <w:rPr>
          <w:rFonts w:hint="eastAsia" w:ascii="宋体" w:hAnsi="宋体" w:cs="宋体"/>
          <w:sz w:val="24"/>
        </w:rPr>
        <w:t>…………………………………………………………7</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rPr>
          <w:rFonts w:hint="eastAsia" w:ascii="宋体" w:hAnsi="宋体" w:cs="宋体"/>
          <w:sz w:val="24"/>
        </w:rPr>
        <w:t>……………………………………8</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rFonts w:hint="eastAsia" w:ascii="宋体" w:hAnsi="宋体" w:cs="宋体"/>
          <w:sz w:val="24"/>
        </w:rPr>
        <w:t>………………………………9</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r>
        <w:rPr>
          <w:rFonts w:hint="eastAsia" w:ascii="宋体" w:hAnsi="宋体" w:cs="宋体"/>
          <w:sz w:val="24"/>
        </w:rPr>
        <w:t>…………………………14</w:t>
      </w:r>
    </w:p>
    <w:p>
      <w:pPr>
        <w:pStyle w:val="12"/>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r>
        <w:rPr>
          <w:rFonts w:hint="eastAsia" w:ascii="宋体" w:hAnsi="宋体" w:cs="宋体"/>
          <w:sz w:val="24"/>
        </w:rPr>
        <w:t>………………………………14</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rFonts w:hint="eastAsia" w:ascii="宋体" w:hAnsi="宋体" w:cs="宋体"/>
          <w:sz w:val="24"/>
        </w:rPr>
        <w:t>………………………………………16</w:t>
      </w:r>
    </w:p>
    <w:p>
      <w:pPr>
        <w:pStyle w:val="12"/>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r>
        <w:rPr>
          <w:rFonts w:hint="eastAsia" w:ascii="宋体" w:hAnsi="宋体" w:cs="宋体"/>
          <w:sz w:val="24"/>
        </w:rPr>
        <w:t>……………………………………16</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8"/>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宋体" w:hAnsi="宋体" w:cs="宋体"/>
          <w:sz w:val="24"/>
        </w:rPr>
        <w:t>…………………………………………………16</w:t>
      </w:r>
    </w:p>
    <w:p>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r>
        <w:rPr>
          <w:rFonts w:hint="eastAsia" w:ascii="宋体" w:hAnsi="宋体" w:cs="宋体"/>
          <w:sz w:val="24"/>
        </w:rPr>
        <w:t>…………………………………………………………………18</w:t>
      </w:r>
    </w:p>
    <w:p>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r>
        <w:rPr>
          <w:rFonts w:hint="eastAsia" w:ascii="宋体" w:hAnsi="宋体" w:cs="宋体"/>
          <w:sz w:val="24"/>
        </w:rPr>
        <w:t>………………………………………………………………………23</w:t>
      </w:r>
    </w:p>
    <w:p>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r>
        <w:rPr>
          <w:rFonts w:hint="eastAsia" w:ascii="宋体" w:hAnsi="宋体" w:cs="宋体"/>
          <w:sz w:val="24"/>
        </w:rPr>
        <w:t>………………………………………………………………………32</w:t>
      </w:r>
    </w:p>
    <w:p>
      <w:pPr>
        <w:pStyle w:val="12"/>
        <w:adjustRightInd w:val="0"/>
        <w:snapToGrid w:val="0"/>
        <w:spacing w:line="440" w:lineRule="exact"/>
        <w:jc w:val="left"/>
        <w:rPr>
          <w:sz w:val="24"/>
        </w:rPr>
      </w:pPr>
      <w:r>
        <w:rPr>
          <w:rFonts w:hint="eastAsia"/>
          <w:sz w:val="24"/>
        </w:rPr>
        <w:t>一、收入支出决算总表</w:t>
      </w:r>
      <w:r>
        <w:rPr>
          <w:rFonts w:hint="eastAsia" w:ascii="宋体" w:hAnsi="宋体" w:cs="宋体"/>
          <w:sz w:val="24"/>
        </w:rPr>
        <w:t>…………………………………………………………32</w:t>
      </w:r>
    </w:p>
    <w:p>
      <w:pPr>
        <w:pStyle w:val="12"/>
        <w:adjustRightInd w:val="0"/>
        <w:snapToGrid w:val="0"/>
        <w:spacing w:line="440" w:lineRule="exact"/>
        <w:jc w:val="left"/>
        <w:rPr>
          <w:sz w:val="24"/>
        </w:rPr>
      </w:pPr>
      <w:r>
        <w:rPr>
          <w:rFonts w:hint="eastAsia"/>
          <w:sz w:val="24"/>
        </w:rPr>
        <w:t>二、收入决算表</w:t>
      </w:r>
      <w:r>
        <w:rPr>
          <w:rFonts w:hint="eastAsia" w:ascii="宋体" w:hAnsi="宋体" w:cs="宋体"/>
          <w:sz w:val="24"/>
        </w:rPr>
        <w:t>…………………………………………………………………32</w:t>
      </w:r>
    </w:p>
    <w:p>
      <w:pPr>
        <w:pStyle w:val="12"/>
        <w:adjustRightInd w:val="0"/>
        <w:snapToGrid w:val="0"/>
        <w:spacing w:line="440" w:lineRule="exact"/>
        <w:jc w:val="left"/>
        <w:rPr>
          <w:sz w:val="24"/>
        </w:rPr>
      </w:pPr>
      <w:r>
        <w:rPr>
          <w:rFonts w:hint="eastAsia"/>
          <w:sz w:val="24"/>
        </w:rPr>
        <w:t>三、支出决算表</w:t>
      </w:r>
      <w:r>
        <w:rPr>
          <w:rFonts w:hint="eastAsia" w:ascii="宋体" w:hAnsi="宋体" w:cs="宋体"/>
          <w:sz w:val="24"/>
        </w:rPr>
        <w:t>…………………………………………………………………32</w:t>
      </w:r>
    </w:p>
    <w:p>
      <w:pPr>
        <w:pStyle w:val="12"/>
        <w:adjustRightInd w:val="0"/>
        <w:snapToGrid w:val="0"/>
        <w:spacing w:line="440" w:lineRule="exact"/>
        <w:jc w:val="left"/>
        <w:rPr>
          <w:sz w:val="24"/>
        </w:rPr>
      </w:pPr>
      <w:r>
        <w:rPr>
          <w:rFonts w:hint="eastAsia"/>
          <w:sz w:val="24"/>
        </w:rPr>
        <w:t>四、财政拨款收入支出决算总表</w:t>
      </w:r>
      <w:r>
        <w:rPr>
          <w:rFonts w:hint="eastAsia" w:ascii="宋体" w:hAnsi="宋体" w:cs="宋体"/>
          <w:sz w:val="24"/>
        </w:rPr>
        <w:t>………………………………………………32</w:t>
      </w:r>
    </w:p>
    <w:p>
      <w:pPr>
        <w:pStyle w:val="12"/>
        <w:adjustRightInd w:val="0"/>
        <w:snapToGrid w:val="0"/>
        <w:spacing w:line="440" w:lineRule="exact"/>
        <w:jc w:val="left"/>
        <w:rPr>
          <w:sz w:val="24"/>
        </w:rPr>
      </w:pPr>
      <w:r>
        <w:rPr>
          <w:rFonts w:hint="eastAsia"/>
          <w:sz w:val="24"/>
        </w:rPr>
        <w:t>五、财政拨款支出决算明细表</w:t>
      </w:r>
      <w:r>
        <w:rPr>
          <w:rFonts w:hint="eastAsia" w:ascii="宋体" w:hAnsi="宋体" w:cs="宋体"/>
          <w:sz w:val="24"/>
        </w:rPr>
        <w:t>…………………………………………………32</w:t>
      </w:r>
    </w:p>
    <w:p>
      <w:pPr>
        <w:pStyle w:val="12"/>
        <w:adjustRightInd w:val="0"/>
        <w:snapToGrid w:val="0"/>
        <w:spacing w:line="440" w:lineRule="exact"/>
        <w:jc w:val="left"/>
        <w:rPr>
          <w:sz w:val="24"/>
        </w:rPr>
      </w:pPr>
      <w:r>
        <w:rPr>
          <w:rFonts w:hint="eastAsia"/>
          <w:sz w:val="24"/>
        </w:rPr>
        <w:t>六、一般公共预算财政拨款支出决算表</w:t>
      </w:r>
      <w:r>
        <w:rPr>
          <w:rFonts w:hint="eastAsia" w:ascii="宋体" w:hAnsi="宋体" w:cs="宋体"/>
          <w:sz w:val="24"/>
        </w:rPr>
        <w:t>………………………………………32</w:t>
      </w:r>
    </w:p>
    <w:p>
      <w:pPr>
        <w:pStyle w:val="12"/>
        <w:adjustRightInd w:val="0"/>
        <w:snapToGrid w:val="0"/>
        <w:spacing w:line="440" w:lineRule="exact"/>
        <w:jc w:val="left"/>
        <w:rPr>
          <w:sz w:val="24"/>
        </w:rPr>
      </w:pPr>
      <w:r>
        <w:rPr>
          <w:rFonts w:hint="eastAsia"/>
          <w:sz w:val="24"/>
        </w:rPr>
        <w:t>七、一般公共预算财政拨款支出决算明细表</w:t>
      </w:r>
      <w:r>
        <w:rPr>
          <w:rFonts w:hint="eastAsia" w:ascii="宋体" w:hAnsi="宋体" w:cs="宋体"/>
          <w:sz w:val="24"/>
        </w:rPr>
        <w:t>…………………………………32</w:t>
      </w:r>
    </w:p>
    <w:p>
      <w:pPr>
        <w:pStyle w:val="12"/>
        <w:adjustRightInd w:val="0"/>
        <w:snapToGrid w:val="0"/>
        <w:spacing w:line="440" w:lineRule="exact"/>
        <w:jc w:val="left"/>
        <w:rPr>
          <w:sz w:val="24"/>
        </w:rPr>
      </w:pPr>
      <w:r>
        <w:rPr>
          <w:rFonts w:hint="eastAsia"/>
          <w:sz w:val="24"/>
        </w:rPr>
        <w:t>八、一般公共预算财政拨款基本支出决算明细表</w:t>
      </w:r>
      <w:r>
        <w:rPr>
          <w:rFonts w:hint="eastAsia" w:ascii="宋体" w:hAnsi="宋体" w:cs="宋体"/>
          <w:sz w:val="24"/>
        </w:rPr>
        <w:t>……………………………32</w:t>
      </w:r>
    </w:p>
    <w:p>
      <w:pPr>
        <w:pStyle w:val="12"/>
        <w:adjustRightInd w:val="0"/>
        <w:snapToGrid w:val="0"/>
        <w:spacing w:line="440" w:lineRule="exact"/>
        <w:jc w:val="left"/>
        <w:rPr>
          <w:sz w:val="24"/>
        </w:rPr>
      </w:pPr>
      <w:r>
        <w:rPr>
          <w:rFonts w:hint="eastAsia"/>
          <w:sz w:val="24"/>
        </w:rPr>
        <w:t>九、一般公共预算财政拨款项目支出决算表</w:t>
      </w:r>
      <w:r>
        <w:rPr>
          <w:rFonts w:hint="eastAsia" w:ascii="宋体" w:hAnsi="宋体" w:cs="宋体"/>
          <w:sz w:val="24"/>
        </w:rPr>
        <w:t>…………………………………32</w:t>
      </w:r>
    </w:p>
    <w:p>
      <w:pPr>
        <w:pStyle w:val="12"/>
        <w:adjustRightInd w:val="0"/>
        <w:snapToGrid w:val="0"/>
        <w:spacing w:line="440" w:lineRule="exact"/>
        <w:jc w:val="left"/>
        <w:rPr>
          <w:sz w:val="24"/>
        </w:rPr>
      </w:pPr>
      <w:r>
        <w:rPr>
          <w:rFonts w:hint="eastAsia"/>
          <w:sz w:val="24"/>
        </w:rPr>
        <w:t>十、政府性基金预算财政拨款收入支出决算表</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2</w:t>
      </w:r>
    </w:p>
    <w:p>
      <w:pPr>
        <w:pStyle w:val="12"/>
        <w:adjustRightInd w:val="0"/>
        <w:snapToGrid w:val="0"/>
        <w:spacing w:line="440" w:lineRule="exact"/>
        <w:jc w:val="left"/>
        <w:rPr>
          <w:sz w:val="24"/>
        </w:rPr>
      </w:pPr>
      <w:r>
        <w:rPr>
          <w:rFonts w:hint="eastAsia"/>
          <w:sz w:val="24"/>
        </w:rPr>
        <w:t>十一、国有资本经营预算财政拨款收入支出决算表</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2</w:t>
      </w:r>
    </w:p>
    <w:p>
      <w:pPr>
        <w:pStyle w:val="12"/>
        <w:adjustRightInd w:val="0"/>
        <w:snapToGrid w:val="0"/>
        <w:spacing w:line="440" w:lineRule="exact"/>
        <w:jc w:val="left"/>
        <w:rPr>
          <w:sz w:val="24"/>
        </w:rPr>
      </w:pPr>
      <w:r>
        <w:rPr>
          <w:rFonts w:hint="eastAsia"/>
          <w:sz w:val="24"/>
        </w:rPr>
        <w:t>十二、国有资本经营预算财政拨款支出决算表</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2</w:t>
      </w:r>
    </w:p>
    <w:p>
      <w:pPr>
        <w:pStyle w:val="12"/>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r>
        <w:rPr>
          <w:rFonts w:hint="eastAsia" w:ascii="宋体" w:hAnsi="宋体" w:cs="宋体"/>
          <w:sz w:val="24"/>
        </w:rPr>
        <w:t>……………………………………</w:t>
      </w:r>
      <w:r>
        <w:rPr>
          <w:rFonts w:hint="eastAsia" w:ascii="宋体" w:hAnsi="宋体" w:cs="宋体"/>
          <w:sz w:val="24"/>
          <w:lang w:val="en-US" w:eastAsia="zh-CN"/>
        </w:rPr>
        <w:t>3</w:t>
      </w:r>
      <w:bookmarkStart w:id="69" w:name="_GoBack"/>
      <w:bookmarkEnd w:id="69"/>
      <w:r>
        <w:rPr>
          <w:rFonts w:hint="eastAsia" w:ascii="宋体" w:hAnsi="宋体" w:cs="宋体"/>
          <w:sz w:val="24"/>
        </w:rPr>
        <w:t>2</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请部门根据实际注明页码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numPr>
          <w:ilvl w:val="0"/>
          <w:numId w:val="1"/>
        </w:numPr>
        <w:rPr>
          <w:rFonts w:ascii="黑体" w:hAnsi="黑体" w:eastAsia="黑体"/>
          <w:b w:val="0"/>
        </w:rPr>
      </w:pPr>
      <w:r>
        <w:rPr>
          <w:rFonts w:hint="eastAsia" w:ascii="黑体" w:hAnsi="黑体" w:eastAsia="黑体"/>
          <w:b w:val="0"/>
        </w:rPr>
        <w:t>部门职责</w:t>
      </w:r>
    </w:p>
    <w:p>
      <w:pPr>
        <w:pStyle w:val="13"/>
        <w:widowControl/>
        <w:spacing w:before="0" w:beforeAutospacing="0" w:after="0" w:afterAutospacing="0"/>
        <w:ind w:firstLine="640" w:firstLineChars="200"/>
        <w:jc w:val="both"/>
        <w:outlineLvl w:val="0"/>
        <w:rPr>
          <w:rFonts w:ascii="仿宋" w:hAnsi="仿宋" w:eastAsia="仿宋"/>
          <w:kern w:val="2"/>
          <w:sz w:val="32"/>
          <w:szCs w:val="32"/>
        </w:rPr>
      </w:pPr>
      <w:r>
        <w:rPr>
          <w:rFonts w:hint="eastAsia" w:ascii="仿宋" w:hAnsi="仿宋" w:eastAsia="仿宋"/>
          <w:kern w:val="2"/>
          <w:sz w:val="32"/>
          <w:szCs w:val="32"/>
        </w:rPr>
        <w:t>按照《地方各级人民代表大会和地方各级人民政府组织法》的规定，本部门的主要职能为贯彻执行党和国家的路线，执行区委、区政府的决定，研究决定辖区内政治、经济、文化、社会、生态文明等领域事业发展的重大事项并组织实施。落实全面从严治党主体责任，负责加强基层党组织建设和基层政权建设。加强基层宣传思想文化工作，推进基层精神文明建设，负责教育、科技、文化旅游、体育、广播电视、民政、卫生健康、医疗保障、残疾人保障、社会保障、退役军人服务、拥军优属、优抚安置等工作，推进便民服务中心规范化建设。负责农业产业升级转型、美丽乡村建设、农村文化生活繁荣、农村基础设施和公共服务能力提升、农村综合改革、脱贫攻坚等工作。负责城乡基层治理工作，承担社会治理、信访维稳、法治建设、防邪、禁毒、民族宗教等工作，负责应急管理和安全生产工作、自然资源、生态环境保护工作。负责编制和执行本级预算、决算，加强本级财政、所属事业机构以及村（社区）财务的核算和监督。根据法定职责或受委托承担辖区内审批服务、公共服务、各类社会事务服务等职责，推进党务政务公开，接受群众监督，增加公信力，履行法律、法规、规章规定的其他职责。</w:t>
      </w:r>
    </w:p>
    <w:p>
      <w:pPr>
        <w:pStyle w:val="4"/>
        <w:rPr>
          <w:rStyle w:val="29"/>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4"/>
      <w:bookmarkEnd w:id="15"/>
    </w:p>
    <w:p>
      <w:pPr>
        <w:spacing w:line="600" w:lineRule="exact"/>
        <w:ind w:firstLine="640" w:firstLineChars="200"/>
        <w:rPr>
          <w:rFonts w:ascii="仿宋" w:hAnsi="仿宋" w:eastAsia="仿宋"/>
          <w:sz w:val="32"/>
          <w:szCs w:val="32"/>
        </w:rPr>
      </w:pPr>
      <w:r>
        <w:rPr>
          <w:rFonts w:hint="eastAsia" w:ascii="仿宋" w:hAnsi="仿宋" w:eastAsia="仿宋"/>
          <w:sz w:val="32"/>
          <w:szCs w:val="32"/>
        </w:rPr>
        <w:t>按机构设置方案，本部门机构设置为党政办公室（财政所）、党建办公室、社会事务办公室（社会治理办公室）、规划建设管理办公室（自然资源和生态环境保护办公室）、综合执法办公室、乡村振兴办公室（脱贫攻坚办公室）。便民服务中心、农业综合服务中心、文化旅游服务中心、村（社区）治理服务中心。核定人员编制43人，其中行政编制29人，事业编制</w:t>
      </w:r>
      <w:r>
        <w:rPr>
          <w:rFonts w:ascii="仿宋" w:hAnsi="仿宋" w:eastAsia="仿宋"/>
          <w:sz w:val="32"/>
          <w:szCs w:val="32"/>
        </w:rPr>
        <w:t>1</w:t>
      </w:r>
      <w:r>
        <w:rPr>
          <w:rFonts w:hint="eastAsia" w:ascii="仿宋" w:hAnsi="仿宋" w:eastAsia="仿宋"/>
          <w:sz w:val="32"/>
          <w:szCs w:val="32"/>
        </w:rPr>
        <w:t>4人。</w:t>
      </w:r>
    </w:p>
    <w:p>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纳入本部门2022年度部门决算编制范围的直属事业机构4个：便民服务中心、农业综合服务中心、村（社区）治理服务中心和文化旅游服务中心，全部未单独核算。</w:t>
      </w:r>
      <w:r>
        <w:rPr>
          <w:rFonts w:ascii="仿宋" w:hAnsi="仿宋" w:eastAsia="仿宋"/>
          <w:sz w:val="32"/>
          <w:szCs w:val="32"/>
        </w:rPr>
        <w:br w:type="page"/>
      </w:r>
    </w:p>
    <w:p>
      <w:pPr>
        <w:pStyle w:val="3"/>
        <w:ind w:right="440"/>
        <w:jc w:val="center"/>
        <w:rPr>
          <w:rStyle w:val="28"/>
          <w:rFonts w:ascii="黑体" w:hAnsi="黑体" w:eastAsia="黑体"/>
          <w:b w:val="0"/>
          <w:bCs/>
        </w:rPr>
      </w:pPr>
      <w:bookmarkStart w:id="16" w:name="_Toc15377204"/>
      <w:bookmarkStart w:id="17" w:name="_Toc15396602"/>
      <w:r>
        <w:rPr>
          <w:rFonts w:hint="eastAsia" w:ascii="黑体" w:hAnsi="黑体" w:eastAsia="黑体"/>
          <w:b w:val="0"/>
        </w:rPr>
        <w:t>第二部分 2022年度</w:t>
      </w:r>
      <w:r>
        <w:rPr>
          <w:rStyle w:val="28"/>
          <w:rFonts w:hint="eastAsia" w:ascii="黑体" w:hAnsi="黑体" w:eastAsia="黑体"/>
          <w:b w:val="0"/>
          <w:bCs/>
        </w:rPr>
        <w:t>部门决算情况说明</w:t>
      </w:r>
      <w:bookmarkEnd w:id="16"/>
      <w:bookmarkEnd w:id="17"/>
    </w:p>
    <w:p/>
    <w:p>
      <w:pPr>
        <w:pStyle w:val="27"/>
        <w:numPr>
          <w:ilvl w:val="0"/>
          <w:numId w:val="2"/>
        </w:numPr>
        <w:spacing w:line="600" w:lineRule="exact"/>
        <w:ind w:firstLineChars="0"/>
        <w:outlineLvl w:val="1"/>
        <w:rPr>
          <w:rStyle w:val="29"/>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2022年度收、支总计1560.21万元。与2021年相比，收、支总计各增加138.19万元，增长9.72</w:t>
      </w:r>
      <w:r>
        <w:rPr>
          <w:rFonts w:ascii="仿宋" w:hAnsi="仿宋" w:eastAsia="仿宋"/>
          <w:sz w:val="32"/>
          <w:szCs w:val="32"/>
        </w:rPr>
        <w:t>%</w:t>
      </w:r>
      <w:r>
        <w:rPr>
          <w:rFonts w:hint="eastAsia" w:ascii="仿宋" w:hAnsi="仿宋" w:eastAsia="仿宋"/>
          <w:sz w:val="32"/>
          <w:szCs w:val="32"/>
        </w:rPr>
        <w:t>。主要变动原因是农林水支出中增加巩固脱贫衔接乡村振兴项目支出151.26万元，品迭各项收、支增加138.19万元。</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spacing w:before="93"/>
      </w:pPr>
      <w:r>
        <w:rPr>
          <w:rFonts w:hint="eastAsia"/>
        </w:rPr>
        <w:drawing>
          <wp:inline distT="0" distB="0" distL="114300" distR="114300">
            <wp:extent cx="5080000" cy="3810000"/>
            <wp:effectExtent l="19050" t="0" r="25400" b="0"/>
            <wp:docPr id="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left"/>
        <w:rPr>
          <w:rFonts w:ascii="仿宋_GB2312" w:eastAsia="仿宋_GB2312"/>
          <w:sz w:val="32"/>
          <w:szCs w:val="32"/>
        </w:rPr>
      </w:pPr>
    </w:p>
    <w:p>
      <w:pPr>
        <w:pStyle w:val="27"/>
        <w:numPr>
          <w:ilvl w:val="0"/>
          <w:numId w:val="2"/>
        </w:numPr>
        <w:spacing w:line="600" w:lineRule="exact"/>
        <w:ind w:firstLineChars="0"/>
        <w:outlineLvl w:val="1"/>
        <w:rPr>
          <w:rStyle w:val="29"/>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22年本年收入1440.72万元，其中：一般公共预算财政拨款收入1418.71万元，占98.47</w:t>
      </w:r>
      <w:r>
        <w:rPr>
          <w:rFonts w:ascii="仿宋" w:hAnsi="仿宋" w:eastAsia="仿宋"/>
          <w:sz w:val="32"/>
          <w:szCs w:val="32"/>
        </w:rPr>
        <w:t>%</w:t>
      </w:r>
      <w:r>
        <w:rPr>
          <w:rFonts w:hint="eastAsia" w:ascii="仿宋" w:hAnsi="仿宋" w:eastAsia="仿宋"/>
          <w:sz w:val="32"/>
          <w:szCs w:val="32"/>
        </w:rPr>
        <w:t>；其他收入22.01万元，占1.53</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（图2：收入决算结构图）（饼状图）</w:t>
      </w:r>
    </w:p>
    <w:p>
      <w:pPr>
        <w:pStyle w:val="2"/>
        <w:spacing w:before="93"/>
      </w:pPr>
      <w:r>
        <w:rPr>
          <w:rFonts w:hint="eastAsia"/>
        </w:rPr>
        <w:drawing>
          <wp:inline distT="0" distB="0" distL="114300" distR="114300">
            <wp:extent cx="5274310" cy="2995930"/>
            <wp:effectExtent l="19050" t="0" r="21590" b="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sz w:val="32"/>
          <w:szCs w:val="32"/>
        </w:rPr>
      </w:pPr>
    </w:p>
    <w:p>
      <w:pPr>
        <w:pStyle w:val="27"/>
        <w:numPr>
          <w:ilvl w:val="0"/>
          <w:numId w:val="2"/>
        </w:numPr>
        <w:spacing w:line="600" w:lineRule="exact"/>
        <w:ind w:firstLineChars="0"/>
        <w:outlineLvl w:val="1"/>
        <w:rPr>
          <w:rStyle w:val="29"/>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22年本年支出1553.01万元，其中：基本支出814.62万元，占52.45</w:t>
      </w:r>
      <w:r>
        <w:rPr>
          <w:rFonts w:ascii="仿宋" w:hAnsi="仿宋" w:eastAsia="仿宋"/>
          <w:sz w:val="32"/>
          <w:szCs w:val="32"/>
        </w:rPr>
        <w:t>%</w:t>
      </w:r>
      <w:r>
        <w:rPr>
          <w:rFonts w:hint="eastAsia" w:ascii="仿宋" w:hAnsi="仿宋" w:eastAsia="仿宋"/>
          <w:sz w:val="32"/>
          <w:szCs w:val="32"/>
        </w:rPr>
        <w:t>；项目支出738.39万元，占47.55</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（图3：支出决算结构图）（饼状图）</w:t>
      </w:r>
    </w:p>
    <w:p>
      <w:pPr>
        <w:pStyle w:val="2"/>
        <w:spacing w:before="93"/>
      </w:pPr>
      <w:r>
        <w:rPr>
          <w:rFonts w:hint="eastAsia"/>
        </w:rPr>
        <w:drawing>
          <wp:inline distT="0" distB="0" distL="114300" distR="114300">
            <wp:extent cx="5275580" cy="2573020"/>
            <wp:effectExtent l="19050" t="0" r="19957" b="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9"/>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22年财政拨款收、支总计1441.42万元。与</w:t>
      </w:r>
      <w:r>
        <w:rPr>
          <w:rFonts w:ascii="仿宋" w:hAnsi="仿宋" w:eastAsia="仿宋"/>
          <w:sz w:val="32"/>
          <w:szCs w:val="32"/>
        </w:rPr>
        <w:t>20</w:t>
      </w:r>
      <w:r>
        <w:rPr>
          <w:rFonts w:hint="eastAsia" w:ascii="仿宋" w:hAnsi="仿宋" w:eastAsia="仿宋"/>
          <w:sz w:val="32"/>
          <w:szCs w:val="32"/>
        </w:rPr>
        <w:t>21年相比，财政拨款收、支总计各增加261.9万元，增长22.2</w:t>
      </w:r>
      <w:r>
        <w:rPr>
          <w:rFonts w:ascii="仿宋" w:hAnsi="仿宋" w:eastAsia="仿宋"/>
          <w:sz w:val="32"/>
          <w:szCs w:val="32"/>
        </w:rPr>
        <w:t>%</w:t>
      </w:r>
      <w:r>
        <w:rPr>
          <w:rFonts w:hint="eastAsia" w:ascii="仿宋" w:hAnsi="仿宋" w:eastAsia="仿宋"/>
          <w:sz w:val="32"/>
          <w:szCs w:val="32"/>
        </w:rPr>
        <w:t>。主要变动原因是一般公共服务支出增加48.46万元、文化旅游体育与传媒支出增加5万元、社会保障和就业支出增加39.88万元、灾害防治及应急管理支出增加3.36万元、农林水支出中增加巩固脱贫衔接乡村振兴项目支出151.26万元，品迭各项收、支增加261.9万元。</w:t>
      </w:r>
    </w:p>
    <w:p>
      <w:pPr>
        <w:spacing w:line="600" w:lineRule="exact"/>
        <w:ind w:firstLine="321" w:firstLineChars="100"/>
        <w:rPr>
          <w:rFonts w:ascii="仿宋" w:hAnsi="仿宋" w:eastAsia="仿宋"/>
          <w:sz w:val="32"/>
          <w:szCs w:val="32"/>
        </w:rPr>
      </w:pPr>
      <w:r>
        <w:rPr>
          <w:rFonts w:hint="eastAsia" w:ascii="仿宋" w:hAnsi="仿宋" w:eastAsia="仿宋"/>
          <w:b/>
          <w:sz w:val="32"/>
          <w:szCs w:val="32"/>
        </w:rPr>
        <w:t>（</w:t>
      </w:r>
      <w:r>
        <w:rPr>
          <w:rFonts w:hint="eastAsia" w:ascii="仿宋" w:hAnsi="仿宋" w:eastAsia="仿宋"/>
          <w:sz w:val="32"/>
          <w:szCs w:val="32"/>
        </w:rPr>
        <w:t>图4：财政拨款收、支决算总计变动情况）（柱状图）</w:t>
      </w:r>
    </w:p>
    <w:p>
      <w:pPr>
        <w:pStyle w:val="2"/>
        <w:spacing w:before="93"/>
      </w:pPr>
      <w:r>
        <w:rPr>
          <w:rFonts w:hint="eastAsia"/>
        </w:rPr>
        <w:drawing>
          <wp:inline distT="0" distB="0" distL="114300" distR="114300">
            <wp:extent cx="5080000" cy="4822190"/>
            <wp:effectExtent l="4445" t="4445" r="5715" b="1968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rPr>
          <w:rFonts w:ascii="仿宋" w:hAnsi="仿宋" w:eastAsia="仿宋"/>
          <w:b/>
          <w:sz w:val="32"/>
          <w:szCs w:val="32"/>
        </w:rPr>
      </w:pPr>
    </w:p>
    <w:p>
      <w:pPr>
        <w:spacing w:line="600" w:lineRule="exact"/>
        <w:ind w:firstLine="640" w:firstLineChars="200"/>
        <w:outlineLvl w:val="1"/>
        <w:rPr>
          <w:rStyle w:val="29"/>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22年一般公共预算财政拨款支出1441.42万元，占本年支出合计的100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21年相比，一般公共预算财政拨款支出增加261.9万元，增长22.2</w:t>
      </w:r>
      <w:r>
        <w:rPr>
          <w:rFonts w:ascii="仿宋" w:hAnsi="仿宋" w:eastAsia="仿宋"/>
          <w:sz w:val="32"/>
          <w:szCs w:val="32"/>
        </w:rPr>
        <w:t>%</w:t>
      </w:r>
      <w:r>
        <w:rPr>
          <w:rFonts w:hint="eastAsia" w:ascii="仿宋" w:hAnsi="仿宋" w:eastAsia="仿宋"/>
          <w:sz w:val="32"/>
          <w:szCs w:val="32"/>
        </w:rPr>
        <w:t>。主要变动原因是一般公共服务支出增加48.46万元、文化旅游体育与传媒支出增加5万元、社会保障和就业支出增加39.88万元、灾害防治及应急管理支出增加3.36万元、住房保障支出增加9.3万元、农林水支出中增加巩固脱贫衔接乡村振兴项目支出151.26万元，品迭各项支出增加261.9万元。</w:t>
      </w:r>
    </w:p>
    <w:p>
      <w:pPr>
        <w:spacing w:line="600" w:lineRule="exact"/>
        <w:ind w:firstLine="320" w:firstLineChars="1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pStyle w:val="2"/>
        <w:spacing w:before="93"/>
      </w:pPr>
      <w:r>
        <w:rPr>
          <w:rFonts w:hint="eastAsia"/>
        </w:rPr>
        <w:drawing>
          <wp:inline distT="0" distB="0" distL="114300" distR="114300">
            <wp:extent cx="5080635" cy="3683635"/>
            <wp:effectExtent l="19050" t="0" r="24765" b="0"/>
            <wp:docPr id="5"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22年一般公共预算财政拨款支出1441.42万元，主要用于以下方面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549.85万元，占38.15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公共安全支出</w:t>
      </w:r>
      <w:r>
        <w:rPr>
          <w:rFonts w:hint="eastAsia" w:ascii="仿宋" w:hAnsi="仿宋" w:eastAsia="仿宋"/>
          <w:sz w:val="32"/>
          <w:szCs w:val="32"/>
        </w:rPr>
        <w:t>3.27万元，占0.23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文化旅游体育与传媒</w:t>
      </w:r>
      <w:r>
        <w:rPr>
          <w:rFonts w:hint="eastAsia" w:ascii="仿宋" w:hAnsi="仿宋" w:eastAsia="仿宋"/>
          <w:b/>
          <w:bCs/>
          <w:sz w:val="32"/>
          <w:szCs w:val="32"/>
        </w:rPr>
        <w:t>支出</w:t>
      </w:r>
      <w:r>
        <w:rPr>
          <w:rFonts w:hint="eastAsia" w:ascii="仿宋" w:hAnsi="仿宋" w:eastAsia="仿宋"/>
          <w:sz w:val="32"/>
          <w:szCs w:val="32"/>
        </w:rPr>
        <w:t>14.76万元，占1.02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206.72万元，占14.34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43.34万元，占3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城乡社区10.49万元，</w:t>
      </w:r>
      <w:r>
        <w:rPr>
          <w:rFonts w:hint="eastAsia" w:ascii="仿宋" w:hAnsi="仿宋" w:eastAsia="仿宋"/>
          <w:sz w:val="32"/>
          <w:szCs w:val="32"/>
        </w:rPr>
        <w:t>占0.73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农林水支出</w:t>
      </w:r>
      <w:r>
        <w:rPr>
          <w:rFonts w:hint="eastAsia" w:ascii="仿宋" w:hAnsi="仿宋" w:eastAsia="仿宋"/>
          <w:sz w:val="32"/>
          <w:szCs w:val="32"/>
        </w:rPr>
        <w:t>537.77万元，占37.31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交通运输支出</w:t>
      </w:r>
      <w:r>
        <w:rPr>
          <w:rFonts w:hint="eastAsia" w:ascii="仿宋" w:hAnsi="仿宋" w:eastAsia="仿宋"/>
          <w:sz w:val="32"/>
          <w:szCs w:val="32"/>
        </w:rPr>
        <w:t>0.4万元，占0.03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支出房保障支出</w:t>
      </w:r>
      <w:r>
        <w:rPr>
          <w:rFonts w:hint="eastAsia" w:ascii="仿宋" w:hAnsi="仿宋" w:eastAsia="仿宋"/>
          <w:sz w:val="32"/>
          <w:szCs w:val="32"/>
        </w:rPr>
        <w:t>71.47万元，占4.96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灾害防治及应急管理支出</w:t>
      </w:r>
      <w:r>
        <w:rPr>
          <w:rFonts w:hint="eastAsia" w:ascii="仿宋" w:hAnsi="仿宋" w:eastAsia="仿宋"/>
          <w:sz w:val="32"/>
          <w:szCs w:val="32"/>
        </w:rPr>
        <w:t>3.36万元，占0.23</w:t>
      </w:r>
      <w:r>
        <w:rPr>
          <w:rFonts w:ascii="仿宋" w:hAnsi="仿宋" w:eastAsia="仿宋"/>
          <w:sz w:val="32"/>
          <w:szCs w:val="32"/>
        </w:rPr>
        <w:t>%</w:t>
      </w:r>
      <w:r>
        <w:rPr>
          <w:rFonts w:hint="eastAsia" w:ascii="仿宋" w:hAnsi="仿宋" w:eastAsia="仿宋"/>
          <w:sz w:val="32"/>
          <w:szCs w:val="32"/>
        </w:rPr>
        <w:t>。</w:t>
      </w:r>
    </w:p>
    <w:p>
      <w:pPr>
        <w:spacing w:line="600" w:lineRule="exact"/>
        <w:ind w:firstLine="480" w:firstLineChars="150"/>
        <w:rPr>
          <w:rFonts w:ascii="仿宋" w:hAnsi="仿宋" w:eastAsia="仿宋"/>
          <w:sz w:val="32"/>
          <w:szCs w:val="32"/>
        </w:rPr>
      </w:pPr>
      <w:r>
        <w:rPr>
          <w:rFonts w:hint="eastAsia" w:ascii="仿宋" w:hAnsi="仿宋" w:eastAsia="仿宋"/>
          <w:sz w:val="32"/>
          <w:szCs w:val="32"/>
        </w:rPr>
        <w:t>（图6：一般公共预算财政拨款支出决算结构）（饼状图）</w:t>
      </w:r>
    </w:p>
    <w:p>
      <w:pPr>
        <w:pStyle w:val="2"/>
        <w:spacing w:before="93"/>
      </w:pPr>
      <w:r>
        <w:rPr>
          <w:rFonts w:hint="eastAsia"/>
        </w:rPr>
        <w:drawing>
          <wp:inline distT="0" distB="0" distL="114300" distR="114300">
            <wp:extent cx="5275580" cy="4911090"/>
            <wp:effectExtent l="19050" t="0" r="19957" b="3266"/>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0" w:firstLineChars="200"/>
        <w:outlineLvl w:val="2"/>
        <w:rPr>
          <w:rStyle w:val="17"/>
          <w:bCs/>
        </w:rPr>
      </w:pPr>
      <w:bookmarkStart w:id="31" w:name="_Toc15377444"/>
      <w:bookmarkStart w:id="32" w:name="_Toc15378460"/>
      <w:bookmarkStart w:id="33" w:name="_Toc15377213"/>
      <w:r>
        <w:rPr>
          <w:rStyle w:val="17"/>
          <w:rFonts w:hint="eastAsia" w:ascii="仿宋" w:hAnsi="仿宋" w:eastAsia="仿宋"/>
          <w:b w:val="0"/>
          <w:bCs/>
          <w:sz w:val="32"/>
          <w:szCs w:val="32"/>
        </w:rPr>
        <w:t>2022年一般公共预算支出决算数为1441.42万元，完成预算100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。其中：</w:t>
      </w:r>
      <w:bookmarkEnd w:id="31"/>
      <w:bookmarkEnd w:id="32"/>
      <w:bookmarkEnd w:id="33"/>
    </w:p>
    <w:p>
      <w:pPr>
        <w:spacing w:line="560" w:lineRule="exact"/>
        <w:ind w:firstLine="639" w:firstLineChars="199"/>
        <w:rPr>
          <w:rStyle w:val="17"/>
          <w:rFonts w:ascii="仿宋" w:hAnsi="仿宋" w:eastAsia="仿宋"/>
          <w:b w:val="0"/>
          <w:bCs/>
          <w:sz w:val="32"/>
          <w:szCs w:val="32"/>
        </w:rPr>
      </w:pPr>
      <w:r>
        <w:rPr>
          <w:rFonts w:ascii="仿宋" w:hAnsi="仿宋" w:eastAsia="仿宋"/>
          <w:b/>
          <w:color w:val="000000"/>
          <w:sz w:val="32"/>
          <w:szCs w:val="32"/>
        </w:rPr>
        <w:t xml:space="preserve"> 1</w:t>
      </w:r>
      <w:r>
        <w:rPr>
          <w:rFonts w:hint="eastAsia" w:ascii="仿宋" w:hAnsi="仿宋" w:eastAsia="仿宋"/>
          <w:b/>
          <w:color w:val="000000"/>
          <w:sz w:val="32"/>
          <w:szCs w:val="32"/>
        </w:rPr>
        <w:t>、一</w:t>
      </w:r>
      <w:r>
        <w:rPr>
          <w:rFonts w:ascii="仿宋" w:hAnsi="仿宋" w:eastAsia="仿宋"/>
          <w:b/>
          <w:color w:val="000000"/>
          <w:sz w:val="32"/>
          <w:szCs w:val="32"/>
        </w:rPr>
        <w:t>般公共</w:t>
      </w:r>
      <w:r>
        <w:rPr>
          <w:rFonts w:hint="eastAsia" w:ascii="仿宋" w:hAnsi="仿宋" w:eastAsia="仿宋"/>
          <w:b/>
          <w:color w:val="000000"/>
          <w:sz w:val="32"/>
          <w:szCs w:val="32"/>
        </w:rPr>
        <w:t>服务（类）</w:t>
      </w:r>
      <w:r>
        <w:rPr>
          <w:rStyle w:val="17"/>
          <w:rFonts w:hint="eastAsia" w:ascii="仿宋" w:hAnsi="仿宋" w:eastAsia="仿宋"/>
          <w:b w:val="0"/>
          <w:bCs/>
          <w:sz w:val="32"/>
          <w:szCs w:val="32"/>
        </w:rPr>
        <w:t>支出决算数为501.39万元，其中：</w:t>
      </w:r>
    </w:p>
    <w:p>
      <w:pPr>
        <w:spacing w:line="560" w:lineRule="exact"/>
        <w:ind w:firstLine="639" w:firstLineChars="199"/>
        <w:rPr>
          <w:rStyle w:val="17"/>
          <w:rFonts w:ascii="仿宋" w:hAnsi="仿宋" w:eastAsia="仿宋"/>
          <w:b w:val="0"/>
          <w:bCs/>
          <w:sz w:val="32"/>
          <w:szCs w:val="32"/>
        </w:rPr>
      </w:pPr>
      <w:r>
        <w:rPr>
          <w:rFonts w:hint="eastAsia" w:ascii="仿宋" w:hAnsi="仿宋" w:eastAsia="仿宋"/>
          <w:b/>
          <w:color w:val="000000"/>
          <w:sz w:val="32"/>
          <w:szCs w:val="32"/>
        </w:rPr>
        <w:t>人</w:t>
      </w:r>
      <w:r>
        <w:rPr>
          <w:rFonts w:ascii="仿宋" w:hAnsi="仿宋" w:eastAsia="仿宋"/>
          <w:b/>
          <w:color w:val="000000"/>
          <w:sz w:val="32"/>
          <w:szCs w:val="32"/>
        </w:rPr>
        <w:t>大事务支</w:t>
      </w:r>
      <w:r>
        <w:rPr>
          <w:rFonts w:hint="eastAsia" w:ascii="仿宋" w:hAnsi="仿宋" w:eastAsia="仿宋"/>
          <w:b/>
          <w:color w:val="000000"/>
          <w:sz w:val="32"/>
          <w:szCs w:val="32"/>
        </w:rPr>
        <w:t>出（款）一</w:t>
      </w:r>
      <w:r>
        <w:rPr>
          <w:rFonts w:ascii="仿宋" w:hAnsi="仿宋" w:eastAsia="仿宋"/>
          <w:b/>
          <w:color w:val="000000"/>
          <w:sz w:val="32"/>
          <w:szCs w:val="32"/>
        </w:rPr>
        <w:t>般</w:t>
      </w:r>
      <w:r>
        <w:rPr>
          <w:rFonts w:hint="eastAsia" w:ascii="仿宋" w:hAnsi="仿宋" w:eastAsia="仿宋"/>
          <w:b/>
          <w:color w:val="000000"/>
          <w:sz w:val="32"/>
          <w:szCs w:val="32"/>
        </w:rPr>
        <w:t>行</w:t>
      </w:r>
      <w:r>
        <w:rPr>
          <w:rFonts w:ascii="仿宋" w:hAnsi="仿宋" w:eastAsia="仿宋"/>
          <w:b/>
          <w:color w:val="000000"/>
          <w:sz w:val="32"/>
          <w:szCs w:val="32"/>
        </w:rPr>
        <w:t>政</w:t>
      </w:r>
      <w:r>
        <w:rPr>
          <w:rFonts w:hint="eastAsia" w:ascii="仿宋" w:hAnsi="仿宋" w:eastAsia="仿宋"/>
          <w:b/>
          <w:color w:val="000000"/>
          <w:sz w:val="32"/>
          <w:szCs w:val="32"/>
        </w:rPr>
        <w:t>管理</w:t>
      </w:r>
      <w:r>
        <w:rPr>
          <w:rFonts w:ascii="仿宋" w:hAnsi="仿宋" w:eastAsia="仿宋"/>
          <w:b/>
          <w:color w:val="000000"/>
          <w:sz w:val="32"/>
          <w:szCs w:val="32"/>
        </w:rPr>
        <w:t>事务支出</w:t>
      </w:r>
      <w:r>
        <w:rPr>
          <w:rFonts w:hint="eastAsia" w:ascii="仿宋" w:hAnsi="仿宋" w:eastAsia="仿宋"/>
          <w:b/>
          <w:color w:val="000000"/>
          <w:sz w:val="32"/>
          <w:szCs w:val="32"/>
        </w:rPr>
        <w:t>（项）</w:t>
      </w:r>
      <w:r>
        <w:rPr>
          <w:rStyle w:val="17"/>
          <w:rFonts w:ascii="仿宋" w:hAnsi="仿宋" w:eastAsia="仿宋"/>
          <w:b w:val="0"/>
          <w:bCs/>
          <w:sz w:val="32"/>
          <w:szCs w:val="32"/>
        </w:rPr>
        <w:t>支出数为</w:t>
      </w:r>
      <w:r>
        <w:rPr>
          <w:rStyle w:val="17"/>
          <w:rFonts w:hint="eastAsia" w:ascii="仿宋" w:hAnsi="仿宋" w:eastAsia="仿宋"/>
          <w:b w:val="0"/>
          <w:bCs/>
          <w:sz w:val="32"/>
          <w:szCs w:val="32"/>
        </w:rPr>
        <w:t>2.16万</w:t>
      </w:r>
      <w:r>
        <w:rPr>
          <w:rStyle w:val="17"/>
          <w:rFonts w:ascii="仿宋" w:hAnsi="仿宋" w:eastAsia="仿宋"/>
          <w:b w:val="0"/>
          <w:bCs/>
          <w:sz w:val="32"/>
          <w:szCs w:val="32"/>
        </w:rPr>
        <w:t>元</w:t>
      </w:r>
      <w:r>
        <w:rPr>
          <w:rStyle w:val="17"/>
          <w:rFonts w:hint="eastAsia" w:ascii="仿宋" w:hAnsi="仿宋" w:eastAsia="仿宋"/>
          <w:b w:val="0"/>
          <w:bCs/>
          <w:sz w:val="32"/>
          <w:szCs w:val="32"/>
        </w:rPr>
        <w:t>，完成</w:t>
      </w:r>
      <w:r>
        <w:rPr>
          <w:rStyle w:val="17"/>
          <w:rFonts w:ascii="仿宋" w:hAnsi="仿宋" w:eastAsia="仿宋"/>
          <w:b w:val="0"/>
          <w:bCs/>
          <w:sz w:val="32"/>
          <w:szCs w:val="32"/>
        </w:rPr>
        <w:t>预算</w:t>
      </w:r>
      <w:r>
        <w:rPr>
          <w:rStyle w:val="17"/>
          <w:rFonts w:hint="eastAsia" w:ascii="仿宋" w:hAnsi="仿宋" w:eastAsia="仿宋"/>
          <w:b w:val="0"/>
          <w:bCs/>
          <w:sz w:val="32"/>
          <w:szCs w:val="32"/>
        </w:rPr>
        <w:t>100%。</w:t>
      </w:r>
    </w:p>
    <w:p>
      <w:pPr>
        <w:spacing w:line="560" w:lineRule="exact"/>
        <w:ind w:firstLine="643" w:firstLineChars="200"/>
        <w:rPr>
          <w:rStyle w:val="17"/>
          <w:b w:val="0"/>
          <w:bCs/>
        </w:rPr>
      </w:pPr>
      <w:r>
        <w:rPr>
          <w:rFonts w:hint="eastAsia" w:ascii="仿宋" w:hAnsi="仿宋" w:eastAsia="仿宋"/>
          <w:b/>
          <w:color w:val="000000"/>
          <w:sz w:val="32"/>
          <w:szCs w:val="32"/>
        </w:rPr>
        <w:t>政府办公厅（室）及相关机构事务（款）</w:t>
      </w:r>
      <w:r>
        <w:rPr>
          <w:rStyle w:val="17"/>
          <w:rFonts w:hint="eastAsia" w:ascii="仿宋" w:hAnsi="仿宋" w:eastAsia="仿宋"/>
          <w:b w:val="0"/>
          <w:bCs/>
          <w:sz w:val="32"/>
          <w:szCs w:val="32"/>
        </w:rPr>
        <w:t>支出决算数为540.05万元：</w:t>
      </w:r>
      <w:r>
        <w:rPr>
          <w:rFonts w:hint="eastAsia" w:ascii="仿宋" w:hAnsi="仿宋" w:eastAsia="仿宋"/>
          <w:b/>
          <w:color w:val="000000"/>
          <w:sz w:val="32"/>
          <w:szCs w:val="32"/>
        </w:rPr>
        <w:t>行政运行（项）</w:t>
      </w:r>
      <w:r>
        <w:rPr>
          <w:rStyle w:val="17"/>
          <w:rFonts w:ascii="仿宋" w:hAnsi="仿宋" w:eastAsia="仿宋"/>
          <w:b w:val="0"/>
          <w:bCs/>
          <w:sz w:val="32"/>
          <w:szCs w:val="32"/>
        </w:rPr>
        <w:t>支出数为</w:t>
      </w:r>
      <w:r>
        <w:rPr>
          <w:rStyle w:val="17"/>
          <w:rFonts w:hint="eastAsia" w:ascii="仿宋" w:hAnsi="仿宋" w:eastAsia="仿宋"/>
          <w:b w:val="0"/>
          <w:bCs/>
          <w:sz w:val="32"/>
          <w:szCs w:val="32"/>
        </w:rPr>
        <w:t>308.37万</w:t>
      </w:r>
      <w:r>
        <w:rPr>
          <w:rStyle w:val="17"/>
          <w:rFonts w:ascii="仿宋" w:hAnsi="仿宋" w:eastAsia="仿宋"/>
          <w:b w:val="0"/>
          <w:bCs/>
          <w:sz w:val="32"/>
          <w:szCs w:val="32"/>
        </w:rPr>
        <w:t>元</w:t>
      </w:r>
      <w:r>
        <w:rPr>
          <w:rStyle w:val="17"/>
          <w:rFonts w:hint="eastAsia" w:ascii="仿宋" w:hAnsi="仿宋" w:eastAsia="仿宋"/>
          <w:b w:val="0"/>
          <w:bCs/>
          <w:sz w:val="32"/>
          <w:szCs w:val="32"/>
        </w:rPr>
        <w:t>，完成</w:t>
      </w:r>
      <w:r>
        <w:rPr>
          <w:rStyle w:val="17"/>
          <w:rFonts w:ascii="仿宋" w:hAnsi="仿宋" w:eastAsia="仿宋"/>
          <w:b w:val="0"/>
          <w:bCs/>
          <w:sz w:val="32"/>
          <w:szCs w:val="32"/>
        </w:rPr>
        <w:t>预算</w:t>
      </w:r>
      <w:r>
        <w:rPr>
          <w:rStyle w:val="17"/>
          <w:rFonts w:hint="eastAsia" w:ascii="仿宋" w:hAnsi="仿宋" w:eastAsia="仿宋"/>
          <w:b w:val="0"/>
          <w:bCs/>
          <w:sz w:val="32"/>
          <w:szCs w:val="32"/>
        </w:rPr>
        <w:t>100%；</w:t>
      </w:r>
      <w:r>
        <w:rPr>
          <w:rFonts w:hint="eastAsia" w:ascii="仿宋" w:hAnsi="仿宋" w:eastAsia="仿宋"/>
          <w:b/>
          <w:color w:val="000000"/>
          <w:sz w:val="32"/>
          <w:szCs w:val="32"/>
        </w:rPr>
        <w:t>一般行政管理事务（项）</w:t>
      </w:r>
      <w:r>
        <w:rPr>
          <w:rStyle w:val="17"/>
          <w:rFonts w:ascii="仿宋" w:hAnsi="仿宋" w:eastAsia="仿宋"/>
          <w:b w:val="0"/>
          <w:bCs/>
          <w:sz w:val="32"/>
          <w:szCs w:val="32"/>
        </w:rPr>
        <w:t>支出数为</w:t>
      </w:r>
      <w:r>
        <w:rPr>
          <w:rStyle w:val="17"/>
          <w:rFonts w:hint="eastAsia" w:ascii="仿宋" w:hAnsi="仿宋" w:eastAsia="仿宋"/>
          <w:b w:val="0"/>
          <w:bCs/>
          <w:sz w:val="32"/>
          <w:szCs w:val="32"/>
        </w:rPr>
        <w:t>25.9万</w:t>
      </w:r>
      <w:r>
        <w:rPr>
          <w:rStyle w:val="17"/>
          <w:rFonts w:ascii="仿宋" w:hAnsi="仿宋" w:eastAsia="仿宋"/>
          <w:b w:val="0"/>
          <w:bCs/>
          <w:sz w:val="32"/>
          <w:szCs w:val="32"/>
        </w:rPr>
        <w:t>元</w:t>
      </w:r>
      <w:r>
        <w:rPr>
          <w:rStyle w:val="17"/>
          <w:rFonts w:hint="eastAsia" w:ascii="仿宋" w:hAnsi="仿宋" w:eastAsia="仿宋"/>
          <w:b w:val="0"/>
          <w:bCs/>
          <w:sz w:val="32"/>
          <w:szCs w:val="32"/>
        </w:rPr>
        <w:t>，完成</w:t>
      </w:r>
      <w:r>
        <w:rPr>
          <w:rStyle w:val="17"/>
          <w:rFonts w:ascii="仿宋" w:hAnsi="仿宋" w:eastAsia="仿宋"/>
          <w:b w:val="0"/>
          <w:bCs/>
          <w:sz w:val="32"/>
          <w:szCs w:val="32"/>
        </w:rPr>
        <w:t>预算</w:t>
      </w:r>
      <w:r>
        <w:rPr>
          <w:rStyle w:val="17"/>
          <w:rFonts w:hint="eastAsia" w:ascii="仿宋" w:hAnsi="仿宋" w:eastAsia="仿宋"/>
          <w:b w:val="0"/>
          <w:bCs/>
          <w:sz w:val="32"/>
          <w:szCs w:val="32"/>
        </w:rPr>
        <w:t>100%;</w:t>
      </w:r>
      <w:r>
        <w:rPr>
          <w:rFonts w:hint="eastAsia" w:ascii="仿宋" w:hAnsi="仿宋" w:eastAsia="仿宋"/>
          <w:b/>
          <w:color w:val="000000"/>
          <w:sz w:val="32"/>
          <w:szCs w:val="32"/>
        </w:rPr>
        <w:t>信访事务（项）</w:t>
      </w:r>
      <w:r>
        <w:rPr>
          <w:rStyle w:val="17"/>
          <w:rFonts w:hint="eastAsia" w:ascii="仿宋" w:hAnsi="仿宋" w:eastAsia="仿宋"/>
          <w:b w:val="0"/>
          <w:bCs/>
          <w:sz w:val="32"/>
          <w:szCs w:val="32"/>
        </w:rPr>
        <w:t>支出数为4万元；</w:t>
      </w:r>
      <w:r>
        <w:rPr>
          <w:rFonts w:hint="eastAsia" w:ascii="仿宋" w:hAnsi="仿宋" w:eastAsia="仿宋"/>
          <w:b/>
          <w:color w:val="000000"/>
          <w:sz w:val="32"/>
          <w:szCs w:val="32"/>
        </w:rPr>
        <w:t>事业运行（项）</w:t>
      </w:r>
      <w:r>
        <w:rPr>
          <w:rStyle w:val="17"/>
          <w:rFonts w:hint="eastAsia" w:ascii="仿宋" w:hAnsi="仿宋" w:eastAsia="仿宋"/>
          <w:b w:val="0"/>
          <w:bCs/>
          <w:sz w:val="32"/>
          <w:szCs w:val="32"/>
        </w:rPr>
        <w:t>支出数为201.78万元，完成预算数100%。</w:t>
      </w:r>
    </w:p>
    <w:p>
      <w:pPr>
        <w:spacing w:line="560" w:lineRule="exact"/>
        <w:ind w:firstLine="643" w:firstLineChars="200"/>
        <w:rPr>
          <w:rStyle w:val="17"/>
          <w:bCs/>
        </w:rPr>
      </w:pPr>
      <w:r>
        <w:rPr>
          <w:rFonts w:hint="eastAsia" w:ascii="仿宋" w:hAnsi="仿宋" w:eastAsia="仿宋"/>
          <w:b/>
          <w:color w:val="000000"/>
          <w:sz w:val="32"/>
          <w:szCs w:val="32"/>
        </w:rPr>
        <w:t>组织事务</w:t>
      </w:r>
      <w:r>
        <w:rPr>
          <w:rFonts w:ascii="仿宋" w:hAnsi="仿宋" w:eastAsia="仿宋"/>
          <w:b/>
          <w:color w:val="000000"/>
          <w:sz w:val="32"/>
          <w:szCs w:val="32"/>
        </w:rPr>
        <w:t>（</w:t>
      </w:r>
      <w:r>
        <w:rPr>
          <w:rFonts w:hint="eastAsia" w:ascii="仿宋" w:hAnsi="仿宋" w:eastAsia="仿宋"/>
          <w:b/>
          <w:color w:val="000000"/>
          <w:sz w:val="32"/>
          <w:szCs w:val="32"/>
        </w:rPr>
        <w:t>款</w:t>
      </w:r>
      <w:r>
        <w:rPr>
          <w:rFonts w:ascii="仿宋" w:hAnsi="仿宋" w:eastAsia="仿宋"/>
          <w:b/>
          <w:color w:val="000000"/>
          <w:sz w:val="32"/>
          <w:szCs w:val="32"/>
        </w:rPr>
        <w:t>）</w:t>
      </w:r>
      <w:r>
        <w:rPr>
          <w:rFonts w:hint="eastAsia" w:ascii="仿宋" w:hAnsi="仿宋" w:eastAsia="仿宋"/>
          <w:b/>
          <w:color w:val="000000"/>
          <w:sz w:val="32"/>
          <w:szCs w:val="32"/>
        </w:rPr>
        <w:t>一般行政管理事务</w:t>
      </w:r>
      <w:r>
        <w:rPr>
          <w:rFonts w:ascii="仿宋" w:hAnsi="仿宋" w:eastAsia="仿宋"/>
          <w:b/>
          <w:color w:val="000000"/>
          <w:sz w:val="32"/>
          <w:szCs w:val="32"/>
        </w:rPr>
        <w:t>（</w:t>
      </w:r>
      <w:r>
        <w:rPr>
          <w:rFonts w:hint="eastAsia" w:ascii="仿宋" w:hAnsi="仿宋" w:eastAsia="仿宋"/>
          <w:b/>
          <w:color w:val="000000"/>
          <w:sz w:val="32"/>
          <w:szCs w:val="32"/>
        </w:rPr>
        <w:t>项</w:t>
      </w:r>
      <w:r>
        <w:rPr>
          <w:rFonts w:ascii="仿宋" w:hAnsi="仿宋" w:eastAsia="仿宋"/>
          <w:b/>
          <w:color w:val="000000"/>
          <w:sz w:val="32"/>
          <w:szCs w:val="32"/>
        </w:rPr>
        <w:t>）</w:t>
      </w:r>
      <w:r>
        <w:rPr>
          <w:rStyle w:val="17"/>
          <w:rFonts w:ascii="仿宋" w:hAnsi="仿宋" w:eastAsia="仿宋"/>
          <w:b w:val="0"/>
          <w:bCs/>
          <w:sz w:val="32"/>
          <w:szCs w:val="32"/>
        </w:rPr>
        <w:t>支出</w:t>
      </w:r>
      <w:r>
        <w:rPr>
          <w:rStyle w:val="17"/>
          <w:rFonts w:hint="eastAsia" w:ascii="仿宋" w:hAnsi="仿宋" w:eastAsia="仿宋"/>
          <w:b w:val="0"/>
          <w:bCs/>
          <w:sz w:val="32"/>
          <w:szCs w:val="32"/>
        </w:rPr>
        <w:t>数为7.6万</w:t>
      </w:r>
      <w:r>
        <w:rPr>
          <w:rStyle w:val="17"/>
          <w:rFonts w:ascii="仿宋" w:hAnsi="仿宋" w:eastAsia="仿宋"/>
          <w:b w:val="0"/>
          <w:bCs/>
          <w:sz w:val="32"/>
          <w:szCs w:val="32"/>
        </w:rPr>
        <w:t>元，</w:t>
      </w:r>
      <w:r>
        <w:rPr>
          <w:rStyle w:val="17"/>
          <w:rFonts w:hint="eastAsia" w:ascii="仿宋" w:hAnsi="仿宋" w:eastAsia="仿宋"/>
          <w:b w:val="0"/>
          <w:bCs/>
          <w:sz w:val="32"/>
          <w:szCs w:val="32"/>
        </w:rPr>
        <w:t>完成</w:t>
      </w:r>
      <w:r>
        <w:rPr>
          <w:rStyle w:val="17"/>
          <w:rFonts w:ascii="仿宋" w:hAnsi="仿宋" w:eastAsia="仿宋"/>
          <w:b w:val="0"/>
          <w:bCs/>
          <w:sz w:val="32"/>
          <w:szCs w:val="32"/>
        </w:rPr>
        <w:t>预算</w:t>
      </w:r>
      <w:r>
        <w:rPr>
          <w:rStyle w:val="17"/>
          <w:rFonts w:hint="eastAsia" w:ascii="仿宋" w:hAnsi="仿宋" w:eastAsia="仿宋"/>
          <w:b w:val="0"/>
          <w:bCs/>
          <w:sz w:val="32"/>
          <w:szCs w:val="32"/>
        </w:rPr>
        <w:t>数100%。</w:t>
      </w:r>
    </w:p>
    <w:p>
      <w:pPr>
        <w:spacing w:line="560" w:lineRule="exact"/>
        <w:ind w:left="639"/>
        <w:rPr>
          <w:rStyle w:val="17"/>
          <w:bCs/>
        </w:rPr>
      </w:pPr>
      <w:r>
        <w:rPr>
          <w:rFonts w:hint="eastAsia" w:ascii="仿宋" w:hAnsi="仿宋" w:eastAsia="仿宋"/>
          <w:b/>
          <w:color w:val="000000"/>
          <w:sz w:val="32"/>
          <w:szCs w:val="32"/>
        </w:rPr>
        <w:t>2.公共</w:t>
      </w:r>
      <w:r>
        <w:rPr>
          <w:rFonts w:ascii="仿宋" w:hAnsi="仿宋" w:eastAsia="仿宋"/>
          <w:b/>
          <w:color w:val="000000"/>
          <w:sz w:val="32"/>
          <w:szCs w:val="32"/>
        </w:rPr>
        <w:t>安全</w:t>
      </w:r>
      <w:r>
        <w:rPr>
          <w:rFonts w:hint="eastAsia" w:ascii="仿宋" w:hAnsi="仿宋" w:eastAsia="仿宋"/>
          <w:b/>
          <w:color w:val="000000"/>
          <w:sz w:val="32"/>
          <w:szCs w:val="32"/>
        </w:rPr>
        <w:t>支出（类）</w:t>
      </w:r>
      <w:r>
        <w:rPr>
          <w:rStyle w:val="17"/>
          <w:rFonts w:hint="eastAsia" w:ascii="仿宋" w:hAnsi="仿宋" w:eastAsia="仿宋"/>
          <w:b w:val="0"/>
          <w:bCs/>
          <w:sz w:val="32"/>
          <w:szCs w:val="32"/>
        </w:rPr>
        <w:t>支出决算数为3.27万元，其中：</w:t>
      </w:r>
    </w:p>
    <w:p>
      <w:pPr>
        <w:spacing w:line="560" w:lineRule="exact"/>
        <w:ind w:left="638" w:leftChars="304"/>
        <w:rPr>
          <w:rStyle w:val="17"/>
          <w:rFonts w:ascii="仿宋" w:hAnsi="仿宋" w:eastAsia="仿宋"/>
          <w:b w:val="0"/>
          <w:bCs/>
          <w:sz w:val="32"/>
          <w:szCs w:val="32"/>
        </w:rPr>
      </w:pPr>
      <w:r>
        <w:rPr>
          <w:rFonts w:hint="eastAsia" w:ascii="仿宋" w:hAnsi="仿宋" w:eastAsia="仿宋"/>
          <w:b/>
          <w:color w:val="000000"/>
          <w:sz w:val="32"/>
          <w:szCs w:val="32"/>
        </w:rPr>
        <w:t>公</w:t>
      </w:r>
      <w:r>
        <w:rPr>
          <w:rFonts w:ascii="仿宋" w:hAnsi="仿宋" w:eastAsia="仿宋"/>
          <w:b/>
          <w:color w:val="000000"/>
          <w:sz w:val="32"/>
          <w:szCs w:val="32"/>
        </w:rPr>
        <w:t>安（</w:t>
      </w:r>
      <w:r>
        <w:rPr>
          <w:rFonts w:hint="eastAsia" w:ascii="仿宋" w:hAnsi="仿宋" w:eastAsia="仿宋"/>
          <w:b/>
          <w:color w:val="000000"/>
          <w:sz w:val="32"/>
          <w:szCs w:val="32"/>
        </w:rPr>
        <w:t>款</w:t>
      </w:r>
      <w:r>
        <w:rPr>
          <w:rFonts w:ascii="仿宋" w:hAnsi="仿宋" w:eastAsia="仿宋"/>
          <w:b/>
          <w:color w:val="000000"/>
          <w:sz w:val="32"/>
          <w:szCs w:val="32"/>
        </w:rPr>
        <w:t>）</w:t>
      </w:r>
      <w:r>
        <w:rPr>
          <w:rFonts w:hint="eastAsia" w:ascii="仿宋" w:hAnsi="仿宋" w:eastAsia="仿宋"/>
          <w:b/>
          <w:color w:val="000000"/>
          <w:sz w:val="32"/>
          <w:szCs w:val="32"/>
        </w:rPr>
        <w:t>其他公安支出</w:t>
      </w:r>
      <w:r>
        <w:rPr>
          <w:rFonts w:ascii="仿宋" w:hAnsi="仿宋" w:eastAsia="仿宋"/>
          <w:b/>
          <w:color w:val="000000"/>
          <w:sz w:val="32"/>
          <w:szCs w:val="32"/>
        </w:rPr>
        <w:t>（</w:t>
      </w:r>
      <w:r>
        <w:rPr>
          <w:rFonts w:hint="eastAsia" w:ascii="仿宋" w:hAnsi="仿宋" w:eastAsia="仿宋"/>
          <w:b/>
          <w:color w:val="000000"/>
          <w:sz w:val="32"/>
          <w:szCs w:val="32"/>
        </w:rPr>
        <w:t>项</w:t>
      </w:r>
      <w:r>
        <w:rPr>
          <w:rFonts w:ascii="仿宋" w:hAnsi="仿宋" w:eastAsia="仿宋"/>
          <w:b/>
          <w:color w:val="000000"/>
          <w:sz w:val="32"/>
          <w:szCs w:val="32"/>
        </w:rPr>
        <w:t>）</w:t>
      </w:r>
      <w:r>
        <w:rPr>
          <w:rStyle w:val="17"/>
          <w:rFonts w:hint="eastAsia" w:ascii="仿宋" w:hAnsi="仿宋" w:eastAsia="仿宋"/>
          <w:b w:val="0"/>
          <w:bCs/>
          <w:sz w:val="32"/>
          <w:szCs w:val="32"/>
        </w:rPr>
        <w:t>支</w:t>
      </w:r>
      <w:r>
        <w:rPr>
          <w:rStyle w:val="17"/>
          <w:rFonts w:ascii="仿宋" w:hAnsi="仿宋" w:eastAsia="仿宋"/>
          <w:b w:val="0"/>
          <w:bCs/>
          <w:sz w:val="32"/>
          <w:szCs w:val="32"/>
        </w:rPr>
        <w:t>出</w:t>
      </w:r>
      <w:r>
        <w:rPr>
          <w:rStyle w:val="17"/>
          <w:rFonts w:hint="eastAsia" w:ascii="仿宋" w:hAnsi="仿宋" w:eastAsia="仿宋"/>
          <w:b w:val="0"/>
          <w:bCs/>
          <w:sz w:val="32"/>
          <w:szCs w:val="32"/>
        </w:rPr>
        <w:t>数2.88万</w:t>
      </w:r>
      <w:r>
        <w:rPr>
          <w:rStyle w:val="17"/>
          <w:rFonts w:ascii="仿宋" w:hAnsi="仿宋" w:eastAsia="仿宋"/>
          <w:b w:val="0"/>
          <w:bCs/>
          <w:sz w:val="32"/>
          <w:szCs w:val="32"/>
        </w:rPr>
        <w:t>元，完</w:t>
      </w:r>
    </w:p>
    <w:p>
      <w:pPr>
        <w:spacing w:line="560" w:lineRule="exact"/>
        <w:rPr>
          <w:rStyle w:val="17"/>
          <w:bCs/>
        </w:rPr>
      </w:pPr>
      <w:r>
        <w:rPr>
          <w:rStyle w:val="17"/>
          <w:rFonts w:ascii="仿宋" w:hAnsi="仿宋" w:eastAsia="仿宋"/>
          <w:b w:val="0"/>
          <w:bCs/>
          <w:sz w:val="32"/>
          <w:szCs w:val="32"/>
        </w:rPr>
        <w:t>成预算</w:t>
      </w:r>
      <w:r>
        <w:rPr>
          <w:rStyle w:val="17"/>
          <w:rFonts w:hint="eastAsia" w:ascii="仿宋" w:hAnsi="仿宋" w:eastAsia="仿宋"/>
          <w:b w:val="0"/>
          <w:bCs/>
          <w:sz w:val="32"/>
          <w:szCs w:val="32"/>
        </w:rPr>
        <w:t>100%。</w:t>
      </w:r>
    </w:p>
    <w:p>
      <w:pPr>
        <w:spacing w:line="560" w:lineRule="exact"/>
        <w:ind w:firstLine="643" w:firstLineChars="200"/>
        <w:rPr>
          <w:rStyle w:val="17"/>
          <w:rFonts w:ascii="仿宋" w:hAnsi="仿宋" w:eastAsia="仿宋"/>
          <w:b w:val="0"/>
          <w:bCs/>
          <w:sz w:val="32"/>
          <w:szCs w:val="32"/>
        </w:rPr>
      </w:pPr>
      <w:r>
        <w:rPr>
          <w:rFonts w:hint="eastAsia" w:ascii="仿宋" w:hAnsi="仿宋" w:eastAsia="仿宋"/>
          <w:b/>
          <w:color w:val="000000"/>
          <w:sz w:val="32"/>
          <w:szCs w:val="32"/>
        </w:rPr>
        <w:t>司法</w:t>
      </w:r>
      <w:r>
        <w:rPr>
          <w:rFonts w:ascii="仿宋" w:hAnsi="仿宋" w:eastAsia="仿宋"/>
          <w:b/>
          <w:color w:val="000000"/>
          <w:sz w:val="32"/>
          <w:szCs w:val="32"/>
        </w:rPr>
        <w:t>（</w:t>
      </w:r>
      <w:r>
        <w:rPr>
          <w:rFonts w:hint="eastAsia" w:ascii="仿宋" w:hAnsi="仿宋" w:eastAsia="仿宋"/>
          <w:b/>
          <w:color w:val="000000"/>
          <w:sz w:val="32"/>
          <w:szCs w:val="32"/>
        </w:rPr>
        <w:t>款</w:t>
      </w:r>
      <w:r>
        <w:rPr>
          <w:rFonts w:ascii="仿宋" w:hAnsi="仿宋" w:eastAsia="仿宋"/>
          <w:b/>
          <w:color w:val="000000"/>
          <w:sz w:val="32"/>
          <w:szCs w:val="32"/>
        </w:rPr>
        <w:t>）</w:t>
      </w:r>
      <w:r>
        <w:rPr>
          <w:rFonts w:hint="eastAsia" w:ascii="仿宋" w:hAnsi="仿宋" w:eastAsia="仿宋"/>
          <w:b/>
          <w:color w:val="000000"/>
          <w:sz w:val="32"/>
          <w:szCs w:val="32"/>
        </w:rPr>
        <w:t>社区矫正</w:t>
      </w:r>
      <w:r>
        <w:rPr>
          <w:rFonts w:ascii="仿宋" w:hAnsi="仿宋" w:eastAsia="仿宋"/>
          <w:b/>
          <w:color w:val="000000"/>
          <w:sz w:val="32"/>
          <w:szCs w:val="32"/>
        </w:rPr>
        <w:t>（</w:t>
      </w:r>
      <w:r>
        <w:rPr>
          <w:rFonts w:hint="eastAsia" w:ascii="仿宋" w:hAnsi="仿宋" w:eastAsia="仿宋"/>
          <w:b/>
          <w:color w:val="000000"/>
          <w:sz w:val="32"/>
          <w:szCs w:val="32"/>
        </w:rPr>
        <w:t>项</w:t>
      </w:r>
      <w:r>
        <w:rPr>
          <w:rFonts w:ascii="仿宋" w:hAnsi="仿宋" w:eastAsia="仿宋"/>
          <w:b/>
          <w:color w:val="000000"/>
          <w:sz w:val="32"/>
          <w:szCs w:val="32"/>
        </w:rPr>
        <w:t>）</w:t>
      </w:r>
      <w:r>
        <w:rPr>
          <w:rStyle w:val="17"/>
          <w:rFonts w:ascii="仿宋" w:hAnsi="仿宋" w:eastAsia="仿宋"/>
          <w:b w:val="0"/>
          <w:bCs/>
          <w:sz w:val="32"/>
          <w:szCs w:val="32"/>
        </w:rPr>
        <w:t>支出</w:t>
      </w:r>
      <w:r>
        <w:rPr>
          <w:rStyle w:val="17"/>
          <w:rFonts w:hint="eastAsia" w:ascii="仿宋" w:hAnsi="仿宋" w:eastAsia="仿宋"/>
          <w:b w:val="0"/>
          <w:bCs/>
          <w:sz w:val="32"/>
          <w:szCs w:val="32"/>
        </w:rPr>
        <w:t>数0.39万</w:t>
      </w:r>
      <w:r>
        <w:rPr>
          <w:rStyle w:val="17"/>
          <w:rFonts w:ascii="仿宋" w:hAnsi="仿宋" w:eastAsia="仿宋"/>
          <w:b w:val="0"/>
          <w:bCs/>
          <w:sz w:val="32"/>
          <w:szCs w:val="32"/>
        </w:rPr>
        <w:t>元，完成预算</w:t>
      </w:r>
      <w:r>
        <w:rPr>
          <w:rStyle w:val="17"/>
          <w:rFonts w:hint="eastAsia" w:ascii="仿宋" w:hAnsi="仿宋" w:eastAsia="仿宋"/>
          <w:b w:val="0"/>
          <w:bCs/>
          <w:sz w:val="32"/>
          <w:szCs w:val="32"/>
        </w:rPr>
        <w:t>100%。</w:t>
      </w:r>
    </w:p>
    <w:p>
      <w:pPr>
        <w:spacing w:line="560" w:lineRule="exact"/>
        <w:ind w:firstLine="643" w:firstLineChars="200"/>
        <w:rPr>
          <w:rStyle w:val="17"/>
          <w:rFonts w:ascii="仿宋" w:hAnsi="仿宋" w:eastAsia="仿宋"/>
          <w:b w:val="0"/>
          <w:bCs/>
          <w:sz w:val="32"/>
          <w:szCs w:val="32"/>
        </w:rPr>
      </w:pPr>
      <w:r>
        <w:rPr>
          <w:rFonts w:hint="eastAsia" w:ascii="仿宋" w:hAnsi="仿宋" w:eastAsia="仿宋"/>
          <w:b/>
          <w:color w:val="000000"/>
          <w:sz w:val="32"/>
          <w:szCs w:val="32"/>
        </w:rPr>
        <w:t>3、文化旅游体育与传媒</w:t>
      </w:r>
      <w:r>
        <w:rPr>
          <w:rFonts w:ascii="仿宋" w:hAnsi="仿宋" w:eastAsia="仿宋"/>
          <w:b/>
          <w:color w:val="000000"/>
          <w:sz w:val="32"/>
          <w:szCs w:val="32"/>
        </w:rPr>
        <w:t>（</w:t>
      </w:r>
      <w:r>
        <w:rPr>
          <w:rFonts w:hint="eastAsia" w:ascii="仿宋" w:hAnsi="仿宋" w:eastAsia="仿宋"/>
          <w:b/>
          <w:color w:val="000000"/>
          <w:sz w:val="32"/>
          <w:szCs w:val="32"/>
        </w:rPr>
        <w:t>类</w:t>
      </w:r>
      <w:r>
        <w:rPr>
          <w:rFonts w:ascii="仿宋" w:hAnsi="仿宋" w:eastAsia="仿宋"/>
          <w:b/>
          <w:color w:val="000000"/>
          <w:sz w:val="32"/>
          <w:szCs w:val="32"/>
        </w:rPr>
        <w:t>）</w:t>
      </w:r>
      <w:r>
        <w:rPr>
          <w:rStyle w:val="17"/>
          <w:rFonts w:hint="eastAsia" w:ascii="仿宋" w:hAnsi="仿宋" w:eastAsia="仿宋"/>
          <w:b w:val="0"/>
          <w:bCs/>
          <w:sz w:val="32"/>
          <w:szCs w:val="32"/>
        </w:rPr>
        <w:t>支出决算数14.76万元，其中：</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文化和旅游</w:t>
      </w:r>
      <w:r>
        <w:rPr>
          <w:rFonts w:ascii="仿宋" w:hAnsi="仿宋" w:eastAsia="仿宋"/>
          <w:b/>
          <w:color w:val="000000"/>
          <w:sz w:val="32"/>
          <w:szCs w:val="32"/>
        </w:rPr>
        <w:t>（</w:t>
      </w:r>
      <w:r>
        <w:rPr>
          <w:rFonts w:hint="eastAsia" w:ascii="仿宋" w:hAnsi="仿宋" w:eastAsia="仿宋"/>
          <w:b/>
          <w:color w:val="000000"/>
          <w:sz w:val="32"/>
          <w:szCs w:val="32"/>
        </w:rPr>
        <w:t>款</w:t>
      </w:r>
      <w:r>
        <w:rPr>
          <w:rFonts w:ascii="仿宋" w:hAnsi="仿宋" w:eastAsia="仿宋"/>
          <w:b/>
          <w:color w:val="000000"/>
          <w:sz w:val="32"/>
          <w:szCs w:val="32"/>
        </w:rPr>
        <w:t>）</w:t>
      </w:r>
      <w:r>
        <w:rPr>
          <w:rFonts w:hint="eastAsia" w:ascii="仿宋" w:hAnsi="仿宋" w:eastAsia="仿宋"/>
          <w:b/>
          <w:color w:val="000000"/>
          <w:sz w:val="32"/>
          <w:szCs w:val="32"/>
        </w:rPr>
        <w:t>其他文化和旅游支出（项）</w:t>
      </w:r>
      <w:r>
        <w:rPr>
          <w:rStyle w:val="17"/>
          <w:rFonts w:ascii="仿宋" w:hAnsi="仿宋" w:eastAsia="仿宋"/>
          <w:b w:val="0"/>
          <w:bCs/>
          <w:sz w:val="32"/>
          <w:szCs w:val="32"/>
        </w:rPr>
        <w:t>支出</w:t>
      </w:r>
      <w:r>
        <w:rPr>
          <w:rStyle w:val="17"/>
          <w:rFonts w:hint="eastAsia" w:ascii="仿宋" w:hAnsi="仿宋" w:eastAsia="仿宋"/>
          <w:b w:val="0"/>
          <w:bCs/>
          <w:sz w:val="32"/>
          <w:szCs w:val="32"/>
        </w:rPr>
        <w:t>数14万</w:t>
      </w:r>
      <w:r>
        <w:rPr>
          <w:rStyle w:val="17"/>
          <w:rFonts w:ascii="仿宋" w:hAnsi="仿宋" w:eastAsia="仿宋"/>
          <w:b w:val="0"/>
          <w:bCs/>
          <w:sz w:val="32"/>
          <w:szCs w:val="32"/>
        </w:rPr>
        <w:t>元，完成预算</w:t>
      </w:r>
      <w:r>
        <w:rPr>
          <w:rStyle w:val="17"/>
          <w:rFonts w:hint="eastAsia" w:ascii="仿宋" w:hAnsi="仿宋" w:eastAsia="仿宋"/>
          <w:b w:val="0"/>
          <w:bCs/>
          <w:sz w:val="32"/>
          <w:szCs w:val="32"/>
        </w:rPr>
        <w:t>数100%。</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广播电视</w:t>
      </w:r>
      <w:r>
        <w:rPr>
          <w:rFonts w:ascii="仿宋" w:hAnsi="仿宋" w:eastAsia="仿宋"/>
          <w:b/>
          <w:color w:val="000000"/>
          <w:sz w:val="32"/>
          <w:szCs w:val="32"/>
        </w:rPr>
        <w:t>（</w:t>
      </w:r>
      <w:r>
        <w:rPr>
          <w:rFonts w:hint="eastAsia" w:ascii="仿宋" w:hAnsi="仿宋" w:eastAsia="仿宋"/>
          <w:b/>
          <w:color w:val="000000"/>
          <w:sz w:val="32"/>
          <w:szCs w:val="32"/>
        </w:rPr>
        <w:t>款</w:t>
      </w:r>
      <w:r>
        <w:rPr>
          <w:rFonts w:ascii="仿宋" w:hAnsi="仿宋" w:eastAsia="仿宋"/>
          <w:b/>
          <w:color w:val="000000"/>
          <w:sz w:val="32"/>
          <w:szCs w:val="32"/>
        </w:rPr>
        <w:t>）</w:t>
      </w:r>
      <w:r>
        <w:rPr>
          <w:rFonts w:hint="eastAsia" w:ascii="仿宋" w:hAnsi="仿宋" w:eastAsia="仿宋"/>
          <w:b/>
          <w:color w:val="000000"/>
          <w:sz w:val="32"/>
          <w:szCs w:val="32"/>
        </w:rPr>
        <w:t>其他广播电视支</w:t>
      </w:r>
      <w:r>
        <w:rPr>
          <w:rFonts w:ascii="仿宋" w:hAnsi="仿宋" w:eastAsia="仿宋"/>
          <w:b/>
          <w:color w:val="000000"/>
          <w:sz w:val="32"/>
          <w:szCs w:val="32"/>
        </w:rPr>
        <w:t>出（</w:t>
      </w:r>
      <w:r>
        <w:rPr>
          <w:rFonts w:hint="eastAsia" w:ascii="仿宋" w:hAnsi="仿宋" w:eastAsia="仿宋"/>
          <w:b/>
          <w:color w:val="000000"/>
          <w:sz w:val="32"/>
          <w:szCs w:val="32"/>
        </w:rPr>
        <w:t>项</w:t>
      </w:r>
      <w:r>
        <w:rPr>
          <w:rFonts w:ascii="仿宋" w:hAnsi="仿宋" w:eastAsia="仿宋"/>
          <w:b/>
          <w:color w:val="000000"/>
          <w:sz w:val="32"/>
          <w:szCs w:val="32"/>
        </w:rPr>
        <w:t>）</w:t>
      </w:r>
      <w:r>
        <w:rPr>
          <w:rStyle w:val="17"/>
          <w:rFonts w:ascii="仿宋" w:hAnsi="仿宋" w:eastAsia="仿宋"/>
          <w:b w:val="0"/>
          <w:bCs/>
          <w:sz w:val="32"/>
          <w:szCs w:val="32"/>
        </w:rPr>
        <w:t>支出</w:t>
      </w:r>
      <w:r>
        <w:rPr>
          <w:rStyle w:val="17"/>
          <w:rFonts w:hint="eastAsia" w:ascii="仿宋" w:hAnsi="仿宋" w:eastAsia="仿宋"/>
          <w:b w:val="0"/>
          <w:bCs/>
          <w:sz w:val="32"/>
          <w:szCs w:val="32"/>
        </w:rPr>
        <w:t>数0.76万</w:t>
      </w:r>
      <w:r>
        <w:rPr>
          <w:rStyle w:val="17"/>
          <w:rFonts w:ascii="仿宋" w:hAnsi="仿宋" w:eastAsia="仿宋"/>
          <w:b w:val="0"/>
          <w:bCs/>
          <w:sz w:val="32"/>
          <w:szCs w:val="32"/>
        </w:rPr>
        <w:t>元，完成预算</w:t>
      </w:r>
      <w:r>
        <w:rPr>
          <w:rStyle w:val="17"/>
          <w:rFonts w:hint="eastAsia" w:ascii="仿宋" w:hAnsi="仿宋" w:eastAsia="仿宋"/>
          <w:b w:val="0"/>
          <w:bCs/>
          <w:sz w:val="32"/>
          <w:szCs w:val="32"/>
        </w:rPr>
        <w:t>数</w:t>
      </w:r>
      <w:r>
        <w:rPr>
          <w:rStyle w:val="17"/>
          <w:rFonts w:ascii="仿宋" w:hAnsi="仿宋" w:eastAsia="仿宋"/>
          <w:b w:val="0"/>
          <w:bCs/>
          <w:sz w:val="32"/>
          <w:szCs w:val="32"/>
        </w:rPr>
        <w:t>100%</w:t>
      </w:r>
      <w:r>
        <w:rPr>
          <w:rStyle w:val="17"/>
          <w:rFonts w:hint="eastAsia" w:ascii="仿宋" w:hAnsi="仿宋" w:eastAsia="仿宋"/>
          <w:b w:val="0"/>
          <w:bCs/>
          <w:sz w:val="32"/>
          <w:szCs w:val="32"/>
        </w:rPr>
        <w:t>。</w:t>
      </w:r>
      <w:r>
        <w:rPr>
          <w:rStyle w:val="17"/>
          <w:rFonts w:hint="eastAsia"/>
          <w:bCs/>
        </w:rPr>
        <w:t xml:space="preserve">    </w:t>
      </w:r>
      <w:r>
        <w:rPr>
          <w:rFonts w:hint="eastAsia" w:ascii="仿宋" w:hAnsi="仿宋" w:eastAsia="仿宋"/>
          <w:b/>
          <w:color w:val="000000"/>
          <w:sz w:val="32"/>
          <w:szCs w:val="32"/>
        </w:rPr>
        <w:t xml:space="preserve">         </w:t>
      </w:r>
    </w:p>
    <w:p>
      <w:pPr>
        <w:spacing w:line="560" w:lineRule="exact"/>
        <w:ind w:firstLine="643" w:firstLineChars="200"/>
        <w:rPr>
          <w:rStyle w:val="17"/>
          <w:rFonts w:ascii="仿宋" w:hAnsi="仿宋" w:eastAsia="仿宋"/>
          <w:b w:val="0"/>
          <w:bCs/>
          <w:sz w:val="32"/>
          <w:szCs w:val="32"/>
        </w:rPr>
      </w:pPr>
      <w:r>
        <w:rPr>
          <w:rFonts w:hint="eastAsia" w:ascii="仿宋" w:hAnsi="仿宋" w:eastAsia="仿宋"/>
          <w:b/>
          <w:color w:val="000000"/>
          <w:sz w:val="32"/>
          <w:szCs w:val="32"/>
        </w:rPr>
        <w:t>4、社会</w:t>
      </w:r>
      <w:r>
        <w:rPr>
          <w:rFonts w:ascii="仿宋" w:hAnsi="仿宋" w:eastAsia="仿宋"/>
          <w:b/>
          <w:color w:val="000000"/>
          <w:sz w:val="32"/>
          <w:szCs w:val="32"/>
        </w:rPr>
        <w:t>保障和就业（</w:t>
      </w:r>
      <w:r>
        <w:rPr>
          <w:rFonts w:hint="eastAsia" w:ascii="仿宋" w:hAnsi="仿宋" w:eastAsia="仿宋"/>
          <w:b/>
          <w:color w:val="000000"/>
          <w:sz w:val="32"/>
          <w:szCs w:val="32"/>
        </w:rPr>
        <w:t>类</w:t>
      </w:r>
      <w:r>
        <w:rPr>
          <w:rFonts w:ascii="仿宋" w:hAnsi="仿宋" w:eastAsia="仿宋"/>
          <w:b/>
          <w:color w:val="000000"/>
          <w:sz w:val="32"/>
          <w:szCs w:val="32"/>
        </w:rPr>
        <w:t>）</w:t>
      </w:r>
      <w:r>
        <w:rPr>
          <w:rStyle w:val="17"/>
          <w:rFonts w:hint="eastAsia" w:ascii="仿宋" w:hAnsi="仿宋" w:eastAsia="仿宋"/>
          <w:b w:val="0"/>
          <w:bCs/>
          <w:sz w:val="32"/>
          <w:szCs w:val="32"/>
        </w:rPr>
        <w:t>支出决算数206.72万元，其中：</w:t>
      </w:r>
    </w:p>
    <w:p>
      <w:pPr>
        <w:spacing w:line="560" w:lineRule="exact"/>
        <w:ind w:firstLine="643" w:firstLineChars="200"/>
        <w:rPr>
          <w:rStyle w:val="17"/>
          <w:bCs/>
        </w:rPr>
      </w:pPr>
      <w:r>
        <w:rPr>
          <w:rFonts w:hint="eastAsia" w:ascii="仿宋" w:hAnsi="仿宋" w:eastAsia="仿宋"/>
          <w:b/>
          <w:color w:val="000000"/>
          <w:sz w:val="32"/>
          <w:szCs w:val="32"/>
        </w:rPr>
        <w:t>民政</w:t>
      </w:r>
      <w:r>
        <w:rPr>
          <w:rFonts w:ascii="仿宋" w:hAnsi="仿宋" w:eastAsia="仿宋"/>
          <w:b/>
          <w:color w:val="000000"/>
          <w:sz w:val="32"/>
          <w:szCs w:val="32"/>
        </w:rPr>
        <w:t>管理事务</w:t>
      </w:r>
      <w:r>
        <w:rPr>
          <w:rFonts w:hint="eastAsia" w:ascii="仿宋" w:hAnsi="仿宋" w:eastAsia="仿宋"/>
          <w:b/>
          <w:color w:val="000000"/>
          <w:sz w:val="32"/>
          <w:szCs w:val="32"/>
        </w:rPr>
        <w:t>（款）基层政权建设</w:t>
      </w:r>
      <w:r>
        <w:rPr>
          <w:rFonts w:ascii="仿宋" w:hAnsi="仿宋" w:eastAsia="仿宋"/>
          <w:b/>
          <w:color w:val="000000"/>
          <w:sz w:val="32"/>
          <w:szCs w:val="32"/>
        </w:rPr>
        <w:t>和社区</w:t>
      </w:r>
      <w:r>
        <w:rPr>
          <w:rFonts w:hint="eastAsia" w:ascii="仿宋" w:hAnsi="仿宋" w:eastAsia="仿宋"/>
          <w:b/>
          <w:color w:val="000000"/>
          <w:sz w:val="32"/>
          <w:szCs w:val="32"/>
        </w:rPr>
        <w:t>治理（项）</w:t>
      </w:r>
      <w:r>
        <w:rPr>
          <w:rStyle w:val="17"/>
          <w:rFonts w:ascii="仿宋" w:hAnsi="仿宋" w:eastAsia="仿宋"/>
          <w:b w:val="0"/>
          <w:bCs/>
          <w:sz w:val="32"/>
          <w:szCs w:val="32"/>
        </w:rPr>
        <w:t>支出</w:t>
      </w:r>
      <w:r>
        <w:rPr>
          <w:rStyle w:val="17"/>
          <w:rFonts w:hint="eastAsia" w:ascii="仿宋" w:hAnsi="仿宋" w:eastAsia="仿宋"/>
          <w:b w:val="0"/>
          <w:bCs/>
          <w:sz w:val="32"/>
          <w:szCs w:val="32"/>
        </w:rPr>
        <w:t>数105.25万</w:t>
      </w:r>
      <w:r>
        <w:rPr>
          <w:rStyle w:val="17"/>
          <w:rFonts w:ascii="仿宋" w:hAnsi="仿宋" w:eastAsia="仿宋"/>
          <w:b w:val="0"/>
          <w:bCs/>
          <w:sz w:val="32"/>
          <w:szCs w:val="32"/>
        </w:rPr>
        <w:t>元，完成预算</w:t>
      </w:r>
      <w:r>
        <w:rPr>
          <w:rStyle w:val="17"/>
          <w:rFonts w:hint="eastAsia" w:ascii="仿宋" w:hAnsi="仿宋" w:eastAsia="仿宋"/>
          <w:b w:val="0"/>
          <w:bCs/>
          <w:sz w:val="32"/>
          <w:szCs w:val="32"/>
        </w:rPr>
        <w:t>数</w:t>
      </w:r>
      <w:r>
        <w:rPr>
          <w:rStyle w:val="17"/>
          <w:rFonts w:ascii="仿宋" w:hAnsi="仿宋" w:eastAsia="仿宋"/>
          <w:b w:val="0"/>
          <w:bCs/>
          <w:sz w:val="32"/>
          <w:szCs w:val="32"/>
        </w:rPr>
        <w:t>100%</w:t>
      </w:r>
      <w:r>
        <w:rPr>
          <w:rStyle w:val="17"/>
          <w:rFonts w:hint="eastAsia" w:ascii="仿宋" w:hAnsi="仿宋" w:eastAsia="仿宋"/>
          <w:b w:val="0"/>
          <w:bCs/>
          <w:sz w:val="32"/>
          <w:szCs w:val="32"/>
        </w:rPr>
        <w:t>。</w:t>
      </w:r>
    </w:p>
    <w:p>
      <w:pPr>
        <w:spacing w:line="560" w:lineRule="exact"/>
        <w:ind w:firstLine="643" w:firstLineChars="200"/>
        <w:rPr>
          <w:rStyle w:val="17"/>
          <w:rFonts w:ascii="仿宋" w:hAnsi="仿宋" w:eastAsia="仿宋"/>
          <w:b w:val="0"/>
          <w:bCs/>
          <w:sz w:val="32"/>
          <w:szCs w:val="32"/>
        </w:rPr>
      </w:pPr>
      <w:r>
        <w:rPr>
          <w:rFonts w:hint="eastAsia" w:ascii="仿宋" w:hAnsi="仿宋" w:eastAsia="仿宋"/>
          <w:b/>
          <w:color w:val="000000"/>
          <w:sz w:val="32"/>
          <w:szCs w:val="32"/>
        </w:rPr>
        <w:t>行政事业</w:t>
      </w:r>
      <w:r>
        <w:rPr>
          <w:rFonts w:ascii="仿宋" w:hAnsi="仿宋" w:eastAsia="仿宋"/>
          <w:b/>
          <w:color w:val="000000"/>
          <w:sz w:val="32"/>
          <w:szCs w:val="32"/>
        </w:rPr>
        <w:t>单位</w:t>
      </w:r>
      <w:r>
        <w:rPr>
          <w:rFonts w:hint="eastAsia" w:ascii="仿宋" w:hAnsi="仿宋" w:eastAsia="仿宋"/>
          <w:b/>
          <w:color w:val="000000"/>
          <w:sz w:val="32"/>
          <w:szCs w:val="32"/>
        </w:rPr>
        <w:t>养老支出（款）</w:t>
      </w:r>
      <w:r>
        <w:rPr>
          <w:rStyle w:val="17"/>
          <w:rFonts w:hint="eastAsia" w:ascii="仿宋" w:hAnsi="仿宋" w:eastAsia="仿宋"/>
          <w:b w:val="0"/>
          <w:bCs/>
          <w:sz w:val="32"/>
          <w:szCs w:val="32"/>
        </w:rPr>
        <w:t>支出决算数为84.94万元：</w:t>
      </w:r>
      <w:r>
        <w:rPr>
          <w:rFonts w:hint="eastAsia" w:ascii="仿宋" w:hAnsi="仿宋" w:eastAsia="仿宋"/>
          <w:b/>
          <w:color w:val="000000"/>
          <w:sz w:val="32"/>
          <w:szCs w:val="32"/>
        </w:rPr>
        <w:t>机关事业单位基本养老保险缴费支出（项）</w:t>
      </w:r>
      <w:r>
        <w:rPr>
          <w:rStyle w:val="17"/>
          <w:rFonts w:ascii="仿宋" w:hAnsi="仿宋" w:eastAsia="仿宋"/>
          <w:b w:val="0"/>
          <w:bCs/>
          <w:sz w:val="32"/>
          <w:szCs w:val="32"/>
        </w:rPr>
        <w:t>支出</w:t>
      </w:r>
      <w:r>
        <w:rPr>
          <w:rStyle w:val="17"/>
          <w:rFonts w:hint="eastAsia" w:ascii="仿宋" w:hAnsi="仿宋" w:eastAsia="仿宋"/>
          <w:b w:val="0"/>
          <w:bCs/>
          <w:sz w:val="32"/>
          <w:szCs w:val="32"/>
        </w:rPr>
        <w:t>数54.07万</w:t>
      </w:r>
      <w:r>
        <w:rPr>
          <w:rStyle w:val="17"/>
          <w:rFonts w:ascii="仿宋" w:hAnsi="仿宋" w:eastAsia="仿宋"/>
          <w:b w:val="0"/>
          <w:bCs/>
          <w:sz w:val="32"/>
          <w:szCs w:val="32"/>
        </w:rPr>
        <w:t>元，完成预算100%</w:t>
      </w:r>
      <w:r>
        <w:rPr>
          <w:rStyle w:val="17"/>
          <w:rFonts w:hint="eastAsia" w:ascii="仿宋" w:hAnsi="仿宋" w:eastAsia="仿宋"/>
          <w:b w:val="0"/>
          <w:bCs/>
          <w:sz w:val="32"/>
          <w:szCs w:val="32"/>
        </w:rPr>
        <w:t>；</w:t>
      </w:r>
      <w:r>
        <w:rPr>
          <w:rFonts w:hint="eastAsia" w:ascii="仿宋" w:hAnsi="仿宋" w:eastAsia="仿宋"/>
          <w:b/>
          <w:color w:val="000000"/>
          <w:sz w:val="32"/>
          <w:szCs w:val="32"/>
        </w:rPr>
        <w:t>机关事业单位职业年金缴费支出（项）</w:t>
      </w:r>
      <w:r>
        <w:rPr>
          <w:rStyle w:val="17"/>
          <w:rFonts w:hint="eastAsia" w:ascii="仿宋" w:hAnsi="仿宋" w:eastAsia="仿宋"/>
          <w:b w:val="0"/>
          <w:bCs/>
          <w:sz w:val="32"/>
          <w:szCs w:val="32"/>
        </w:rPr>
        <w:t>支出数30.87万元，完成预算数100%。</w:t>
      </w:r>
    </w:p>
    <w:p>
      <w:pPr>
        <w:spacing w:line="560" w:lineRule="exact"/>
        <w:ind w:firstLine="643" w:firstLineChars="200"/>
        <w:rPr>
          <w:rStyle w:val="17"/>
          <w:rFonts w:ascii="仿宋" w:hAnsi="仿宋" w:eastAsia="仿宋"/>
          <w:b w:val="0"/>
          <w:bCs/>
          <w:sz w:val="32"/>
          <w:szCs w:val="32"/>
        </w:rPr>
      </w:pPr>
      <w:r>
        <w:rPr>
          <w:rFonts w:hint="eastAsia" w:ascii="仿宋" w:hAnsi="仿宋" w:eastAsia="仿宋"/>
          <w:b/>
          <w:color w:val="000000"/>
          <w:sz w:val="32"/>
          <w:szCs w:val="32"/>
        </w:rPr>
        <w:t>就业补助（款）公益性岗位补贴（项）</w:t>
      </w:r>
      <w:r>
        <w:rPr>
          <w:rStyle w:val="17"/>
          <w:rFonts w:hint="eastAsia" w:ascii="仿宋" w:hAnsi="仿宋" w:eastAsia="仿宋"/>
          <w:b w:val="0"/>
          <w:bCs/>
          <w:sz w:val="32"/>
          <w:szCs w:val="32"/>
        </w:rPr>
        <w:t>支出数11.16万元，完成预算数100%。</w:t>
      </w:r>
    </w:p>
    <w:p>
      <w:pPr>
        <w:spacing w:line="560" w:lineRule="exact"/>
        <w:ind w:firstLine="643" w:firstLineChars="200"/>
        <w:rPr>
          <w:rStyle w:val="17"/>
          <w:rFonts w:ascii="仿宋" w:hAnsi="仿宋" w:eastAsia="仿宋"/>
          <w:b w:val="0"/>
          <w:bCs/>
          <w:sz w:val="32"/>
          <w:szCs w:val="32"/>
        </w:rPr>
      </w:pPr>
      <w:r>
        <w:rPr>
          <w:rFonts w:hint="eastAsia" w:ascii="仿宋" w:hAnsi="仿宋" w:eastAsia="仿宋"/>
          <w:b/>
          <w:color w:val="000000"/>
          <w:sz w:val="32"/>
          <w:szCs w:val="32"/>
        </w:rPr>
        <w:t>抚恤（款）其它优抚支出（项）</w:t>
      </w:r>
      <w:r>
        <w:rPr>
          <w:rStyle w:val="17"/>
          <w:rFonts w:hint="eastAsia" w:ascii="仿宋" w:hAnsi="仿宋" w:eastAsia="仿宋"/>
          <w:b w:val="0"/>
          <w:bCs/>
          <w:sz w:val="32"/>
          <w:szCs w:val="32"/>
        </w:rPr>
        <w:t>支出数0.89万元，完成预算数100%。</w:t>
      </w:r>
    </w:p>
    <w:p>
      <w:pPr>
        <w:spacing w:line="560" w:lineRule="exact"/>
        <w:ind w:firstLine="643" w:firstLineChars="200"/>
        <w:rPr>
          <w:rStyle w:val="17"/>
          <w:bCs/>
        </w:rPr>
      </w:pPr>
      <w:r>
        <w:rPr>
          <w:rFonts w:hint="eastAsia" w:ascii="仿宋" w:hAnsi="仿宋" w:eastAsia="仿宋"/>
          <w:b/>
          <w:color w:val="000000"/>
          <w:sz w:val="32"/>
          <w:szCs w:val="32"/>
        </w:rPr>
        <w:t>退役安置（款）其它退役安置（项）</w:t>
      </w:r>
      <w:r>
        <w:rPr>
          <w:rStyle w:val="17"/>
          <w:rFonts w:hint="eastAsia" w:ascii="仿宋" w:hAnsi="仿宋" w:eastAsia="仿宋"/>
          <w:b w:val="0"/>
          <w:bCs/>
          <w:sz w:val="32"/>
          <w:szCs w:val="32"/>
        </w:rPr>
        <w:t>支出决算数0.02万元，完成预算数100%</w:t>
      </w:r>
      <w:r>
        <w:rPr>
          <w:rStyle w:val="17"/>
          <w:rFonts w:hint="eastAsia"/>
          <w:bCs/>
        </w:rPr>
        <w:t>。</w:t>
      </w:r>
    </w:p>
    <w:p>
      <w:pPr>
        <w:spacing w:line="560" w:lineRule="exact"/>
        <w:ind w:firstLine="643" w:firstLineChars="200"/>
        <w:rPr>
          <w:b/>
          <w:bCs/>
        </w:rPr>
      </w:pPr>
      <w:r>
        <w:rPr>
          <w:rFonts w:hint="eastAsia" w:ascii="仿宋" w:hAnsi="仿宋" w:eastAsia="仿宋"/>
          <w:b/>
          <w:color w:val="000000"/>
          <w:sz w:val="32"/>
          <w:szCs w:val="32"/>
        </w:rPr>
        <w:t>社会福利（款）养老服务（项）</w:t>
      </w:r>
      <w:r>
        <w:rPr>
          <w:rStyle w:val="17"/>
          <w:rFonts w:hint="eastAsia" w:ascii="仿宋" w:hAnsi="仿宋" w:eastAsia="仿宋"/>
          <w:b w:val="0"/>
          <w:bCs/>
          <w:sz w:val="32"/>
          <w:szCs w:val="32"/>
        </w:rPr>
        <w:t>支出决算数0.3万元，完成预算数100%</w:t>
      </w:r>
      <w:r>
        <w:rPr>
          <w:rStyle w:val="17"/>
          <w:rFonts w:hint="eastAsia"/>
          <w:bCs/>
        </w:rPr>
        <w:t>。</w:t>
      </w:r>
    </w:p>
    <w:p>
      <w:pPr>
        <w:spacing w:line="560" w:lineRule="exact"/>
        <w:ind w:firstLine="643" w:firstLineChars="200"/>
        <w:rPr>
          <w:rStyle w:val="17"/>
          <w:rFonts w:ascii="仿宋" w:hAnsi="仿宋" w:eastAsia="仿宋"/>
          <w:b w:val="0"/>
          <w:bCs/>
          <w:sz w:val="32"/>
          <w:szCs w:val="32"/>
        </w:rPr>
      </w:pPr>
      <w:r>
        <w:rPr>
          <w:rFonts w:hint="eastAsia" w:ascii="仿宋" w:hAnsi="仿宋" w:eastAsia="仿宋"/>
          <w:b/>
          <w:color w:val="000000"/>
          <w:sz w:val="32"/>
          <w:szCs w:val="32"/>
        </w:rPr>
        <w:t>残疾人事业（款）其他残疾人事业支出（项）</w:t>
      </w:r>
      <w:r>
        <w:rPr>
          <w:rStyle w:val="17"/>
          <w:rFonts w:ascii="仿宋" w:hAnsi="仿宋" w:eastAsia="仿宋"/>
          <w:b w:val="0"/>
          <w:bCs/>
          <w:sz w:val="32"/>
          <w:szCs w:val="32"/>
        </w:rPr>
        <w:t>支出数</w:t>
      </w:r>
      <w:r>
        <w:rPr>
          <w:rStyle w:val="17"/>
          <w:rFonts w:hint="eastAsia" w:ascii="仿宋" w:hAnsi="仿宋" w:eastAsia="仿宋"/>
          <w:b w:val="0"/>
          <w:bCs/>
          <w:sz w:val="32"/>
          <w:szCs w:val="32"/>
        </w:rPr>
        <w:t>4.16万</w:t>
      </w:r>
      <w:r>
        <w:rPr>
          <w:rStyle w:val="17"/>
          <w:rFonts w:ascii="仿宋" w:hAnsi="仿宋" w:eastAsia="仿宋"/>
          <w:b w:val="0"/>
          <w:bCs/>
          <w:sz w:val="32"/>
          <w:szCs w:val="32"/>
        </w:rPr>
        <w:t>元，完成预算100%</w:t>
      </w:r>
      <w:r>
        <w:rPr>
          <w:rStyle w:val="17"/>
          <w:rFonts w:hint="eastAsia" w:ascii="仿宋" w:hAnsi="仿宋" w:eastAsia="仿宋"/>
          <w:b w:val="0"/>
          <w:bCs/>
          <w:sz w:val="32"/>
          <w:szCs w:val="32"/>
        </w:rPr>
        <w:t>。</w:t>
      </w:r>
    </w:p>
    <w:p>
      <w:pPr>
        <w:spacing w:line="560" w:lineRule="exact"/>
        <w:ind w:firstLine="643" w:firstLineChars="200"/>
        <w:rPr>
          <w:rStyle w:val="17"/>
          <w:bCs/>
        </w:rPr>
      </w:pPr>
      <w:r>
        <w:rPr>
          <w:rFonts w:hint="eastAsia" w:ascii="仿宋" w:hAnsi="仿宋" w:eastAsia="仿宋"/>
          <w:b/>
          <w:color w:val="000000"/>
          <w:sz w:val="32"/>
          <w:szCs w:val="32"/>
        </w:rPr>
        <w:t>5、卫生健康支出（类）</w:t>
      </w:r>
      <w:r>
        <w:rPr>
          <w:rStyle w:val="17"/>
          <w:rFonts w:hint="eastAsia" w:ascii="仿宋" w:hAnsi="仿宋" w:eastAsia="仿宋"/>
          <w:b w:val="0"/>
          <w:bCs/>
          <w:sz w:val="32"/>
          <w:szCs w:val="32"/>
        </w:rPr>
        <w:t>支出决算数为43.35万元，其中</w:t>
      </w:r>
      <w:r>
        <w:rPr>
          <w:rStyle w:val="17"/>
          <w:rFonts w:hint="eastAsia"/>
          <w:bCs/>
        </w:rPr>
        <w:t>：</w:t>
      </w:r>
    </w:p>
    <w:p>
      <w:pPr>
        <w:spacing w:line="560" w:lineRule="exact"/>
        <w:ind w:firstLine="643" w:firstLineChars="200"/>
        <w:rPr>
          <w:rStyle w:val="17"/>
          <w:bCs/>
        </w:rPr>
      </w:pPr>
      <w:r>
        <w:rPr>
          <w:rFonts w:hint="eastAsia" w:ascii="仿宋" w:hAnsi="仿宋" w:eastAsia="仿宋"/>
          <w:b/>
          <w:color w:val="000000"/>
          <w:sz w:val="32"/>
          <w:szCs w:val="32"/>
        </w:rPr>
        <w:t>公共卫生（款）重大公共卫生服务（项）</w:t>
      </w:r>
      <w:r>
        <w:rPr>
          <w:rStyle w:val="17"/>
          <w:rFonts w:hint="eastAsia" w:ascii="仿宋" w:hAnsi="仿宋" w:eastAsia="仿宋"/>
          <w:b w:val="0"/>
          <w:bCs/>
          <w:sz w:val="32"/>
          <w:szCs w:val="32"/>
        </w:rPr>
        <w:t>支出决算数6.15万元，完成预算数100%</w:t>
      </w:r>
      <w:r>
        <w:rPr>
          <w:rStyle w:val="17"/>
          <w:rFonts w:hint="eastAsia"/>
          <w:bCs/>
        </w:rPr>
        <w:t>。</w:t>
      </w:r>
    </w:p>
    <w:p>
      <w:pPr>
        <w:spacing w:line="560" w:lineRule="exact"/>
        <w:ind w:firstLine="643" w:firstLineChars="200"/>
        <w:rPr>
          <w:rStyle w:val="17"/>
          <w:rFonts w:ascii="仿宋" w:hAnsi="仿宋" w:eastAsia="仿宋"/>
          <w:b w:val="0"/>
          <w:bCs/>
          <w:sz w:val="32"/>
          <w:szCs w:val="32"/>
        </w:rPr>
      </w:pPr>
      <w:r>
        <w:rPr>
          <w:rFonts w:hint="eastAsia" w:ascii="仿宋" w:hAnsi="仿宋" w:eastAsia="仿宋"/>
          <w:b/>
          <w:color w:val="000000"/>
          <w:sz w:val="32"/>
          <w:szCs w:val="32"/>
        </w:rPr>
        <w:t>行政事业单位医疗（款）支出决算数27.97万元：行政单位医疗（项）</w:t>
      </w:r>
      <w:r>
        <w:rPr>
          <w:rStyle w:val="17"/>
          <w:rFonts w:ascii="仿宋" w:hAnsi="仿宋" w:eastAsia="仿宋"/>
          <w:b w:val="0"/>
          <w:bCs/>
          <w:sz w:val="32"/>
          <w:szCs w:val="32"/>
        </w:rPr>
        <w:t>支出</w:t>
      </w:r>
      <w:r>
        <w:rPr>
          <w:rStyle w:val="17"/>
          <w:rFonts w:hint="eastAsia" w:ascii="仿宋" w:hAnsi="仿宋" w:eastAsia="仿宋"/>
          <w:b w:val="0"/>
          <w:bCs/>
          <w:sz w:val="32"/>
          <w:szCs w:val="32"/>
        </w:rPr>
        <w:t>数14.08万</w:t>
      </w:r>
      <w:r>
        <w:rPr>
          <w:rStyle w:val="17"/>
          <w:rFonts w:ascii="仿宋" w:hAnsi="仿宋" w:eastAsia="仿宋"/>
          <w:b w:val="0"/>
          <w:bCs/>
          <w:sz w:val="32"/>
          <w:szCs w:val="32"/>
        </w:rPr>
        <w:t>元，完成预算100%</w:t>
      </w:r>
      <w:r>
        <w:rPr>
          <w:rStyle w:val="17"/>
          <w:rFonts w:hint="eastAsia" w:ascii="仿宋" w:hAnsi="仿宋" w:eastAsia="仿宋"/>
          <w:b w:val="0"/>
          <w:bCs/>
          <w:sz w:val="32"/>
          <w:szCs w:val="32"/>
        </w:rPr>
        <w:t>；</w:t>
      </w:r>
      <w:r>
        <w:rPr>
          <w:rFonts w:hint="eastAsia" w:ascii="仿宋" w:hAnsi="仿宋" w:eastAsia="仿宋"/>
          <w:b/>
          <w:color w:val="000000"/>
          <w:sz w:val="32"/>
          <w:szCs w:val="32"/>
        </w:rPr>
        <w:t>事业单位医疗（项）</w:t>
      </w:r>
      <w:r>
        <w:rPr>
          <w:rStyle w:val="17"/>
          <w:rFonts w:ascii="仿宋" w:hAnsi="仿宋" w:eastAsia="仿宋"/>
          <w:b w:val="0"/>
          <w:bCs/>
          <w:sz w:val="32"/>
          <w:szCs w:val="32"/>
        </w:rPr>
        <w:t>支出数</w:t>
      </w:r>
      <w:r>
        <w:rPr>
          <w:rStyle w:val="17"/>
          <w:rFonts w:hint="eastAsia" w:ascii="仿宋" w:hAnsi="仿宋" w:eastAsia="仿宋"/>
          <w:b w:val="0"/>
          <w:bCs/>
          <w:sz w:val="32"/>
          <w:szCs w:val="32"/>
        </w:rPr>
        <w:t>8.34万</w:t>
      </w:r>
      <w:r>
        <w:rPr>
          <w:rStyle w:val="17"/>
          <w:rFonts w:ascii="仿宋" w:hAnsi="仿宋" w:eastAsia="仿宋"/>
          <w:b w:val="0"/>
          <w:bCs/>
          <w:sz w:val="32"/>
          <w:szCs w:val="32"/>
        </w:rPr>
        <w:t>元，完成预算100%</w:t>
      </w:r>
      <w:r>
        <w:rPr>
          <w:rStyle w:val="17"/>
          <w:rFonts w:hint="eastAsia" w:ascii="仿宋" w:hAnsi="仿宋" w:eastAsia="仿宋"/>
          <w:b w:val="0"/>
          <w:bCs/>
          <w:sz w:val="32"/>
          <w:szCs w:val="32"/>
        </w:rPr>
        <w:t>；</w:t>
      </w:r>
      <w:r>
        <w:rPr>
          <w:rFonts w:hint="eastAsia" w:ascii="仿宋" w:hAnsi="仿宋" w:eastAsia="仿宋"/>
          <w:b/>
          <w:color w:val="000000"/>
          <w:sz w:val="32"/>
          <w:szCs w:val="32"/>
        </w:rPr>
        <w:t>公务员医疗补助（项）</w:t>
      </w:r>
      <w:r>
        <w:rPr>
          <w:rStyle w:val="17"/>
          <w:rFonts w:ascii="仿宋" w:hAnsi="仿宋" w:eastAsia="仿宋"/>
          <w:b w:val="0"/>
          <w:bCs/>
          <w:sz w:val="32"/>
          <w:szCs w:val="32"/>
        </w:rPr>
        <w:t>支出数</w:t>
      </w:r>
      <w:r>
        <w:rPr>
          <w:rStyle w:val="17"/>
          <w:rFonts w:hint="eastAsia" w:ascii="仿宋" w:hAnsi="仿宋" w:eastAsia="仿宋"/>
          <w:b w:val="0"/>
          <w:bCs/>
          <w:sz w:val="32"/>
          <w:szCs w:val="32"/>
        </w:rPr>
        <w:t>5.55万</w:t>
      </w:r>
      <w:r>
        <w:rPr>
          <w:rStyle w:val="17"/>
          <w:rFonts w:ascii="仿宋" w:hAnsi="仿宋" w:eastAsia="仿宋"/>
          <w:b w:val="0"/>
          <w:bCs/>
          <w:sz w:val="32"/>
          <w:szCs w:val="32"/>
        </w:rPr>
        <w:t>元，完成预算100%</w:t>
      </w:r>
      <w:r>
        <w:rPr>
          <w:rStyle w:val="17"/>
          <w:rFonts w:hint="eastAsia" w:ascii="仿宋" w:hAnsi="仿宋" w:eastAsia="仿宋"/>
          <w:b w:val="0"/>
          <w:bCs/>
          <w:sz w:val="32"/>
          <w:szCs w:val="32"/>
        </w:rPr>
        <w:t>。</w:t>
      </w:r>
    </w:p>
    <w:p>
      <w:pPr>
        <w:spacing w:line="560" w:lineRule="exact"/>
        <w:rPr>
          <w:rStyle w:val="17"/>
          <w:rFonts w:ascii="仿宋" w:hAnsi="仿宋" w:eastAsia="仿宋"/>
          <w:b w:val="0"/>
          <w:bCs/>
          <w:sz w:val="32"/>
          <w:szCs w:val="32"/>
        </w:rPr>
      </w:pPr>
      <w:r>
        <w:rPr>
          <w:rFonts w:hint="eastAsia" w:ascii="仿宋" w:hAnsi="仿宋" w:eastAsia="仿宋"/>
          <w:b/>
          <w:color w:val="000000"/>
          <w:sz w:val="32"/>
          <w:szCs w:val="32"/>
        </w:rPr>
        <w:t>　 其他卫生健康支出（款）其他卫生健康支出（项）</w:t>
      </w:r>
      <w:r>
        <w:rPr>
          <w:rStyle w:val="17"/>
          <w:rFonts w:ascii="仿宋" w:hAnsi="仿宋" w:eastAsia="仿宋"/>
          <w:b w:val="0"/>
          <w:bCs/>
          <w:sz w:val="32"/>
          <w:szCs w:val="32"/>
        </w:rPr>
        <w:t>支出</w:t>
      </w:r>
      <w:r>
        <w:rPr>
          <w:rStyle w:val="17"/>
          <w:rFonts w:hint="eastAsia" w:ascii="仿宋" w:hAnsi="仿宋" w:eastAsia="仿宋"/>
          <w:b w:val="0"/>
          <w:bCs/>
          <w:sz w:val="32"/>
          <w:szCs w:val="32"/>
        </w:rPr>
        <w:t>数9.23万</w:t>
      </w:r>
      <w:r>
        <w:rPr>
          <w:rStyle w:val="17"/>
          <w:rFonts w:ascii="仿宋" w:hAnsi="仿宋" w:eastAsia="仿宋"/>
          <w:b w:val="0"/>
          <w:bCs/>
          <w:sz w:val="32"/>
          <w:szCs w:val="32"/>
        </w:rPr>
        <w:t>元，</w:t>
      </w:r>
      <w:r>
        <w:rPr>
          <w:rStyle w:val="17"/>
          <w:rFonts w:hint="eastAsia" w:ascii="仿宋" w:hAnsi="仿宋" w:eastAsia="仿宋"/>
          <w:b w:val="0"/>
          <w:bCs/>
          <w:sz w:val="32"/>
          <w:szCs w:val="32"/>
        </w:rPr>
        <w:t>完成预算100%。</w:t>
      </w:r>
    </w:p>
    <w:p>
      <w:pPr>
        <w:spacing w:line="560" w:lineRule="exact"/>
        <w:ind w:left="638" w:leftChars="304" w:firstLine="1"/>
        <w:rPr>
          <w:rStyle w:val="17"/>
          <w:bCs/>
        </w:rPr>
      </w:pPr>
      <w:r>
        <w:rPr>
          <w:rFonts w:hint="eastAsia" w:ascii="仿宋" w:hAnsi="仿宋" w:eastAsia="仿宋"/>
          <w:b/>
          <w:color w:val="000000"/>
          <w:sz w:val="32"/>
          <w:szCs w:val="32"/>
        </w:rPr>
        <w:t>6、城乡社区支出（类）</w:t>
      </w:r>
      <w:r>
        <w:rPr>
          <w:rStyle w:val="17"/>
          <w:rFonts w:hint="eastAsia" w:ascii="仿宋" w:hAnsi="仿宋" w:eastAsia="仿宋"/>
          <w:b w:val="0"/>
          <w:bCs/>
          <w:sz w:val="32"/>
          <w:szCs w:val="32"/>
        </w:rPr>
        <w:t>支出决算数10.48万元，其中：</w:t>
      </w:r>
    </w:p>
    <w:p>
      <w:pPr>
        <w:spacing w:line="560" w:lineRule="exact"/>
        <w:ind w:firstLine="630" w:firstLineChars="196"/>
        <w:rPr>
          <w:rStyle w:val="17"/>
          <w:rFonts w:ascii="仿宋" w:hAnsi="仿宋" w:eastAsia="仿宋"/>
          <w:b w:val="0"/>
          <w:bCs/>
          <w:sz w:val="32"/>
          <w:szCs w:val="32"/>
        </w:rPr>
      </w:pPr>
      <w:r>
        <w:rPr>
          <w:rFonts w:hint="eastAsia" w:ascii="仿宋" w:hAnsi="仿宋" w:eastAsia="仿宋"/>
          <w:b/>
          <w:color w:val="000000"/>
          <w:sz w:val="32"/>
          <w:szCs w:val="32"/>
        </w:rPr>
        <w:t>城乡社区管理事务（款）其它城乡社区管理事务（项）</w:t>
      </w:r>
      <w:r>
        <w:rPr>
          <w:rStyle w:val="17"/>
          <w:rFonts w:ascii="仿宋" w:hAnsi="仿宋" w:eastAsia="仿宋"/>
          <w:b w:val="0"/>
          <w:bCs/>
          <w:sz w:val="32"/>
          <w:szCs w:val="32"/>
        </w:rPr>
        <w:t>支出</w:t>
      </w:r>
      <w:r>
        <w:rPr>
          <w:rStyle w:val="17"/>
          <w:rFonts w:hint="eastAsia" w:ascii="仿宋" w:hAnsi="仿宋" w:eastAsia="仿宋"/>
          <w:b w:val="0"/>
          <w:bCs/>
          <w:sz w:val="32"/>
          <w:szCs w:val="32"/>
        </w:rPr>
        <w:t>数9.57万</w:t>
      </w:r>
      <w:r>
        <w:rPr>
          <w:rStyle w:val="17"/>
          <w:rFonts w:ascii="仿宋" w:hAnsi="仿宋" w:eastAsia="仿宋"/>
          <w:b w:val="0"/>
          <w:bCs/>
          <w:sz w:val="32"/>
          <w:szCs w:val="32"/>
        </w:rPr>
        <w:t>元，完成预算100%</w:t>
      </w:r>
      <w:r>
        <w:rPr>
          <w:rStyle w:val="17"/>
          <w:rFonts w:hint="eastAsia" w:ascii="仿宋" w:hAnsi="仿宋" w:eastAsia="仿宋"/>
          <w:b w:val="0"/>
          <w:bCs/>
          <w:sz w:val="32"/>
          <w:szCs w:val="32"/>
        </w:rPr>
        <w:t>。</w:t>
      </w:r>
    </w:p>
    <w:p>
      <w:pPr>
        <w:spacing w:line="560" w:lineRule="exact"/>
        <w:ind w:firstLine="630" w:firstLineChars="196"/>
        <w:rPr>
          <w:rStyle w:val="17"/>
          <w:rFonts w:ascii="仿宋" w:hAnsi="仿宋" w:eastAsia="仿宋"/>
          <w:b w:val="0"/>
          <w:bCs/>
          <w:sz w:val="32"/>
          <w:szCs w:val="32"/>
        </w:rPr>
      </w:pPr>
      <w:r>
        <w:rPr>
          <w:rFonts w:hint="eastAsia" w:ascii="仿宋" w:hAnsi="仿宋" w:eastAsia="仿宋"/>
          <w:b/>
          <w:color w:val="000000"/>
          <w:sz w:val="32"/>
          <w:szCs w:val="32"/>
        </w:rPr>
        <w:t>其它城乡社区支出（款）其它城乡社区支出（项）</w:t>
      </w:r>
      <w:r>
        <w:rPr>
          <w:rStyle w:val="17"/>
          <w:rFonts w:hint="eastAsia" w:ascii="仿宋" w:hAnsi="仿宋" w:eastAsia="仿宋"/>
          <w:b w:val="0"/>
          <w:bCs/>
          <w:sz w:val="32"/>
          <w:szCs w:val="32"/>
        </w:rPr>
        <w:t>支出决算数0.91万元，完成预算数100%。</w:t>
      </w:r>
    </w:p>
    <w:p>
      <w:pPr>
        <w:numPr>
          <w:ilvl w:val="0"/>
          <w:numId w:val="3"/>
        </w:numPr>
        <w:spacing w:line="560" w:lineRule="exact"/>
        <w:ind w:left="638" w:leftChars="304" w:firstLine="1"/>
        <w:rPr>
          <w:rStyle w:val="17"/>
          <w:rFonts w:ascii="仿宋" w:hAnsi="仿宋" w:eastAsia="仿宋"/>
          <w:b w:val="0"/>
          <w:bCs/>
          <w:sz w:val="32"/>
          <w:szCs w:val="32"/>
        </w:rPr>
      </w:pPr>
      <w:r>
        <w:rPr>
          <w:rFonts w:hint="eastAsia" w:ascii="仿宋" w:hAnsi="仿宋" w:eastAsia="仿宋"/>
          <w:b/>
          <w:color w:val="000000"/>
          <w:sz w:val="32"/>
          <w:szCs w:val="32"/>
        </w:rPr>
        <w:t>农林水支出（类）</w:t>
      </w:r>
      <w:r>
        <w:rPr>
          <w:rStyle w:val="17"/>
          <w:rFonts w:hint="eastAsia" w:ascii="仿宋" w:hAnsi="仿宋" w:eastAsia="仿宋"/>
          <w:b w:val="0"/>
          <w:bCs/>
          <w:sz w:val="32"/>
          <w:szCs w:val="32"/>
        </w:rPr>
        <w:t>支出决算数为537.77万元，其中：</w:t>
      </w:r>
    </w:p>
    <w:p>
      <w:pPr>
        <w:spacing w:line="560" w:lineRule="exact"/>
        <w:ind w:left="638" w:leftChars="304"/>
        <w:rPr>
          <w:rFonts w:ascii="仿宋" w:hAnsi="仿宋" w:eastAsia="仿宋"/>
          <w:b/>
          <w:color w:val="000000"/>
          <w:sz w:val="32"/>
          <w:szCs w:val="32"/>
        </w:rPr>
      </w:pPr>
      <w:r>
        <w:rPr>
          <w:rFonts w:hint="eastAsia" w:ascii="仿宋" w:hAnsi="仿宋" w:eastAsia="仿宋"/>
          <w:b/>
          <w:color w:val="000000"/>
          <w:sz w:val="32"/>
          <w:szCs w:val="32"/>
        </w:rPr>
        <w:t>农业农村（款）</w:t>
      </w:r>
      <w:r>
        <w:rPr>
          <w:rStyle w:val="17"/>
          <w:rFonts w:hint="eastAsia" w:ascii="仿宋" w:hAnsi="仿宋" w:eastAsia="仿宋"/>
          <w:b w:val="0"/>
          <w:bCs/>
          <w:sz w:val="32"/>
          <w:szCs w:val="32"/>
        </w:rPr>
        <w:t>支出决算数154.51万元：</w:t>
      </w:r>
      <w:r>
        <w:rPr>
          <w:rFonts w:hint="eastAsia" w:ascii="仿宋" w:hAnsi="仿宋" w:eastAsia="仿宋"/>
          <w:b/>
          <w:color w:val="000000"/>
          <w:sz w:val="32"/>
          <w:szCs w:val="32"/>
        </w:rPr>
        <w:t>事业运行（项）：</w:t>
      </w:r>
    </w:p>
    <w:p>
      <w:pPr>
        <w:spacing w:line="560" w:lineRule="exact"/>
        <w:rPr>
          <w:rStyle w:val="17"/>
          <w:rFonts w:ascii="仿宋" w:hAnsi="仿宋" w:eastAsia="仿宋"/>
          <w:color w:val="000000"/>
          <w:sz w:val="32"/>
          <w:szCs w:val="32"/>
        </w:rPr>
      </w:pPr>
      <w:r>
        <w:rPr>
          <w:rStyle w:val="17"/>
          <w:rFonts w:hint="eastAsia" w:ascii="仿宋" w:hAnsi="仿宋" w:eastAsia="仿宋"/>
          <w:b w:val="0"/>
          <w:bCs/>
          <w:sz w:val="32"/>
          <w:szCs w:val="32"/>
        </w:rPr>
        <w:t>支出决算数115.06万元，完成预算数100%；</w:t>
      </w:r>
      <w:r>
        <w:rPr>
          <w:rFonts w:hint="eastAsia" w:ascii="仿宋" w:hAnsi="仿宋" w:eastAsia="仿宋"/>
          <w:b/>
          <w:color w:val="000000"/>
          <w:sz w:val="32"/>
          <w:szCs w:val="32"/>
        </w:rPr>
        <w:t>农村道路建设（项）</w:t>
      </w:r>
      <w:r>
        <w:rPr>
          <w:rStyle w:val="17"/>
          <w:rFonts w:hint="eastAsia" w:ascii="仿宋" w:hAnsi="仿宋" w:eastAsia="仿宋"/>
          <w:b w:val="0"/>
          <w:bCs/>
          <w:sz w:val="32"/>
          <w:szCs w:val="32"/>
        </w:rPr>
        <w:t>支出决算数2.21万元，完成预算数100%；</w:t>
      </w:r>
      <w:r>
        <w:rPr>
          <w:rFonts w:hint="eastAsia" w:ascii="仿宋" w:hAnsi="仿宋" w:eastAsia="仿宋"/>
          <w:b/>
          <w:color w:val="000000"/>
          <w:sz w:val="32"/>
          <w:szCs w:val="32"/>
        </w:rPr>
        <w:t>对高校毕业生到基层任职补助（项）</w:t>
      </w:r>
      <w:r>
        <w:rPr>
          <w:rStyle w:val="17"/>
          <w:rFonts w:hint="eastAsia" w:ascii="仿宋" w:hAnsi="仿宋" w:eastAsia="仿宋"/>
          <w:b w:val="0"/>
          <w:bCs/>
          <w:sz w:val="32"/>
          <w:szCs w:val="32"/>
        </w:rPr>
        <w:t>支出决算数12.88万元，完成预算数100%；</w:t>
      </w:r>
      <w:r>
        <w:rPr>
          <w:rFonts w:hint="eastAsia" w:ascii="仿宋" w:hAnsi="仿宋" w:eastAsia="仿宋"/>
          <w:b/>
          <w:color w:val="000000"/>
          <w:sz w:val="32"/>
          <w:szCs w:val="32"/>
        </w:rPr>
        <w:t>其它农业农村支出（项）</w:t>
      </w:r>
      <w:r>
        <w:rPr>
          <w:rStyle w:val="17"/>
          <w:rFonts w:ascii="仿宋" w:hAnsi="仿宋" w:eastAsia="仿宋"/>
          <w:b w:val="0"/>
          <w:bCs/>
          <w:sz w:val="32"/>
          <w:szCs w:val="32"/>
        </w:rPr>
        <w:t>支出</w:t>
      </w:r>
      <w:r>
        <w:rPr>
          <w:rStyle w:val="17"/>
          <w:rFonts w:hint="eastAsia" w:ascii="仿宋" w:hAnsi="仿宋" w:eastAsia="仿宋"/>
          <w:b w:val="0"/>
          <w:bCs/>
          <w:sz w:val="32"/>
          <w:szCs w:val="32"/>
        </w:rPr>
        <w:t>数24.36万</w:t>
      </w:r>
      <w:r>
        <w:rPr>
          <w:rStyle w:val="17"/>
          <w:rFonts w:ascii="仿宋" w:hAnsi="仿宋" w:eastAsia="仿宋"/>
          <w:b w:val="0"/>
          <w:bCs/>
          <w:sz w:val="32"/>
          <w:szCs w:val="32"/>
        </w:rPr>
        <w:t>元，完成预算100%</w:t>
      </w:r>
      <w:r>
        <w:rPr>
          <w:rStyle w:val="17"/>
          <w:rFonts w:hint="eastAsia" w:ascii="仿宋" w:hAnsi="仿宋" w:eastAsia="仿宋"/>
          <w:b w:val="0"/>
          <w:bCs/>
          <w:sz w:val="32"/>
          <w:szCs w:val="32"/>
        </w:rPr>
        <w:t>。</w:t>
      </w:r>
      <w:r>
        <w:rPr>
          <w:rStyle w:val="17"/>
          <w:rFonts w:ascii="仿宋" w:hAnsi="仿宋" w:eastAsia="仿宋"/>
          <w:b w:val="0"/>
          <w:bCs/>
          <w:sz w:val="32"/>
          <w:szCs w:val="32"/>
        </w:rPr>
        <w:t xml:space="preserve"> </w:t>
      </w:r>
    </w:p>
    <w:p>
      <w:pPr>
        <w:spacing w:line="560" w:lineRule="exact"/>
        <w:ind w:firstLine="643" w:firstLineChars="200"/>
        <w:rPr>
          <w:rStyle w:val="17"/>
          <w:rFonts w:ascii="仿宋" w:hAnsi="仿宋" w:eastAsia="仿宋"/>
          <w:b w:val="0"/>
          <w:bCs/>
          <w:sz w:val="32"/>
          <w:szCs w:val="32"/>
        </w:rPr>
      </w:pPr>
      <w:r>
        <w:rPr>
          <w:rFonts w:hint="eastAsia" w:ascii="仿宋" w:hAnsi="仿宋" w:eastAsia="仿宋"/>
          <w:b/>
          <w:color w:val="000000"/>
          <w:sz w:val="32"/>
          <w:szCs w:val="32"/>
        </w:rPr>
        <w:t>水利（款）其它水利支出（项）</w:t>
      </w:r>
      <w:r>
        <w:rPr>
          <w:rStyle w:val="17"/>
          <w:rFonts w:hint="eastAsia" w:ascii="仿宋" w:hAnsi="仿宋" w:eastAsia="仿宋"/>
          <w:b w:val="0"/>
          <w:bCs/>
          <w:sz w:val="32"/>
          <w:szCs w:val="32"/>
        </w:rPr>
        <w:t>支出数0.36万</w:t>
      </w:r>
      <w:r>
        <w:rPr>
          <w:rStyle w:val="17"/>
          <w:rFonts w:ascii="仿宋" w:hAnsi="仿宋" w:eastAsia="仿宋"/>
          <w:b w:val="0"/>
          <w:bCs/>
          <w:sz w:val="32"/>
          <w:szCs w:val="32"/>
        </w:rPr>
        <w:t>元，完成预算100%</w:t>
      </w:r>
      <w:r>
        <w:rPr>
          <w:rStyle w:val="17"/>
          <w:rFonts w:hint="eastAsia" w:ascii="仿宋" w:hAnsi="仿宋" w:eastAsia="仿宋"/>
          <w:b w:val="0"/>
          <w:bCs/>
          <w:sz w:val="32"/>
          <w:szCs w:val="32"/>
        </w:rPr>
        <w:t>。</w:t>
      </w:r>
    </w:p>
    <w:p>
      <w:pPr>
        <w:spacing w:line="560" w:lineRule="exact"/>
        <w:ind w:firstLine="643" w:firstLineChars="200"/>
        <w:rPr>
          <w:rFonts w:ascii="仿宋" w:hAnsi="仿宋" w:eastAsia="仿宋"/>
          <w:bCs/>
          <w:sz w:val="32"/>
          <w:szCs w:val="32"/>
        </w:rPr>
      </w:pPr>
      <w:r>
        <w:rPr>
          <w:rFonts w:hint="eastAsia" w:ascii="仿宋" w:hAnsi="仿宋" w:eastAsia="仿宋"/>
          <w:b/>
          <w:color w:val="000000"/>
          <w:sz w:val="32"/>
          <w:szCs w:val="32"/>
        </w:rPr>
        <w:t>巩固脱贫衔接乡村振兴（款）其它巩固脱贫衔接乡村振兴支出（项）</w:t>
      </w:r>
      <w:r>
        <w:rPr>
          <w:rStyle w:val="17"/>
          <w:rFonts w:hint="eastAsia" w:ascii="仿宋" w:hAnsi="仿宋" w:eastAsia="仿宋"/>
          <w:b w:val="0"/>
          <w:bCs/>
          <w:sz w:val="32"/>
          <w:szCs w:val="32"/>
        </w:rPr>
        <w:t>支出数151.26万</w:t>
      </w:r>
      <w:r>
        <w:rPr>
          <w:rStyle w:val="17"/>
          <w:rFonts w:ascii="仿宋" w:hAnsi="仿宋" w:eastAsia="仿宋"/>
          <w:b w:val="0"/>
          <w:bCs/>
          <w:sz w:val="32"/>
          <w:szCs w:val="32"/>
        </w:rPr>
        <w:t>元，完成预算100%</w:t>
      </w:r>
      <w:r>
        <w:rPr>
          <w:rStyle w:val="17"/>
          <w:rFonts w:hint="eastAsia" w:ascii="仿宋" w:hAnsi="仿宋" w:eastAsia="仿宋"/>
          <w:b w:val="0"/>
          <w:bCs/>
          <w:sz w:val="32"/>
          <w:szCs w:val="32"/>
        </w:rPr>
        <w:t>。</w:t>
      </w:r>
    </w:p>
    <w:p>
      <w:pPr>
        <w:spacing w:line="560" w:lineRule="exact"/>
        <w:ind w:firstLine="643" w:firstLineChars="200"/>
        <w:rPr>
          <w:rStyle w:val="17"/>
          <w:rFonts w:ascii="仿宋" w:hAnsi="仿宋" w:eastAsia="仿宋"/>
          <w:b w:val="0"/>
          <w:bCs/>
          <w:sz w:val="32"/>
          <w:szCs w:val="32"/>
        </w:rPr>
      </w:pPr>
      <w:r>
        <w:rPr>
          <w:rFonts w:hint="eastAsia" w:ascii="仿宋" w:hAnsi="仿宋" w:eastAsia="仿宋"/>
          <w:b/>
          <w:color w:val="000000"/>
          <w:sz w:val="32"/>
          <w:szCs w:val="32"/>
        </w:rPr>
        <w:t>农村综合改革（款）对村民委员会和村党支部的补助（项）</w:t>
      </w:r>
      <w:r>
        <w:rPr>
          <w:rStyle w:val="17"/>
          <w:rFonts w:hint="eastAsia" w:ascii="仿宋" w:hAnsi="仿宋" w:eastAsia="仿宋"/>
          <w:b w:val="0"/>
          <w:bCs/>
          <w:sz w:val="32"/>
          <w:szCs w:val="32"/>
        </w:rPr>
        <w:t>支出决算数229.64万元，完成预算100%。</w:t>
      </w:r>
    </w:p>
    <w:p>
      <w:pPr>
        <w:pStyle w:val="27"/>
        <w:spacing w:line="560" w:lineRule="exact"/>
        <w:ind w:left="420" w:firstLine="161" w:firstLineChars="50"/>
        <w:rPr>
          <w:b/>
          <w:bCs/>
        </w:rPr>
      </w:pPr>
      <w:r>
        <w:rPr>
          <w:rFonts w:hint="eastAsia" w:ascii="仿宋" w:hAnsi="仿宋" w:eastAsia="仿宋"/>
          <w:b/>
          <w:color w:val="000000"/>
          <w:sz w:val="32"/>
          <w:szCs w:val="32"/>
        </w:rPr>
        <w:t>8 交通运输(类）公路水路运输（款）海事管理（项）</w:t>
      </w:r>
    </w:p>
    <w:p>
      <w:pPr>
        <w:spacing w:line="560" w:lineRule="exact"/>
        <w:rPr>
          <w:rStyle w:val="17"/>
          <w:rFonts w:ascii="仿宋" w:hAnsi="仿宋" w:eastAsia="仿宋"/>
          <w:b w:val="0"/>
          <w:bCs/>
          <w:sz w:val="32"/>
          <w:szCs w:val="32"/>
        </w:rPr>
      </w:pPr>
      <w:r>
        <w:rPr>
          <w:rStyle w:val="17"/>
          <w:rFonts w:hint="eastAsia" w:ascii="仿宋" w:hAnsi="仿宋" w:eastAsia="仿宋"/>
          <w:b w:val="0"/>
          <w:bCs/>
          <w:sz w:val="32"/>
          <w:szCs w:val="32"/>
        </w:rPr>
        <w:t>支出决算数0.4万元，完成预算数100%。</w:t>
      </w:r>
    </w:p>
    <w:p>
      <w:pPr>
        <w:spacing w:line="560" w:lineRule="exact"/>
        <w:ind w:firstLine="643" w:firstLineChars="200"/>
        <w:rPr>
          <w:rStyle w:val="17"/>
          <w:bCs/>
        </w:rPr>
      </w:pPr>
      <w:r>
        <w:rPr>
          <w:rFonts w:hint="eastAsia" w:ascii="仿宋" w:hAnsi="仿宋" w:eastAsia="仿宋"/>
          <w:b/>
          <w:color w:val="000000"/>
          <w:sz w:val="32"/>
          <w:szCs w:val="32"/>
        </w:rPr>
        <w:t>9、住房保障支出（类）住房改革支出（款）住房公积</w:t>
      </w:r>
      <w:r>
        <w:rPr>
          <w:rFonts w:ascii="仿宋" w:hAnsi="仿宋" w:eastAsia="仿宋"/>
          <w:b/>
          <w:color w:val="000000"/>
          <w:sz w:val="32"/>
          <w:szCs w:val="32"/>
        </w:rPr>
        <w:t>金</w:t>
      </w:r>
      <w:r>
        <w:rPr>
          <w:rFonts w:hint="eastAsia" w:ascii="仿宋" w:hAnsi="仿宋" w:eastAsia="仿宋"/>
          <w:b/>
          <w:color w:val="000000"/>
          <w:sz w:val="32"/>
          <w:szCs w:val="32"/>
        </w:rPr>
        <w:t>（项）</w:t>
      </w:r>
      <w:r>
        <w:rPr>
          <w:rStyle w:val="17"/>
          <w:rFonts w:ascii="仿宋" w:hAnsi="仿宋" w:eastAsia="仿宋"/>
          <w:b w:val="0"/>
          <w:bCs/>
          <w:sz w:val="32"/>
          <w:szCs w:val="32"/>
        </w:rPr>
        <w:t>支出数</w:t>
      </w:r>
      <w:r>
        <w:rPr>
          <w:rStyle w:val="17"/>
          <w:rFonts w:hint="eastAsia" w:ascii="仿宋" w:hAnsi="仿宋" w:eastAsia="仿宋"/>
          <w:b w:val="0"/>
          <w:bCs/>
          <w:sz w:val="32"/>
          <w:szCs w:val="32"/>
        </w:rPr>
        <w:t>71.47万</w:t>
      </w:r>
      <w:r>
        <w:rPr>
          <w:rStyle w:val="17"/>
          <w:rFonts w:ascii="仿宋" w:hAnsi="仿宋" w:eastAsia="仿宋"/>
          <w:b w:val="0"/>
          <w:bCs/>
          <w:sz w:val="32"/>
          <w:szCs w:val="32"/>
        </w:rPr>
        <w:t>元，完成预算100%</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rPr>
        <w:t>10</w:t>
      </w:r>
      <w:r>
        <w:rPr>
          <w:rStyle w:val="17"/>
          <w:rFonts w:ascii="仿宋" w:hAnsi="仿宋" w:eastAsia="仿宋"/>
          <w:bCs/>
          <w:sz w:val="32"/>
          <w:szCs w:val="32"/>
        </w:rPr>
        <w:t>.</w:t>
      </w:r>
      <w:r>
        <w:rPr>
          <w:rStyle w:val="17"/>
          <w:rFonts w:hint="eastAsia" w:ascii="仿宋" w:hAnsi="仿宋" w:eastAsia="仿宋"/>
          <w:bCs/>
          <w:sz w:val="32"/>
          <w:szCs w:val="32"/>
        </w:rPr>
        <w:t>灾害防治及应急管理支出（类）应急事务（款）应急管理（项）</w:t>
      </w:r>
      <w:r>
        <w:rPr>
          <w:rStyle w:val="17"/>
          <w:rFonts w:hint="eastAsia" w:ascii="仿宋" w:hAnsi="仿宋" w:eastAsia="仿宋"/>
          <w:b w:val="0"/>
          <w:bCs/>
          <w:sz w:val="32"/>
          <w:szCs w:val="32"/>
        </w:rPr>
        <w:t>支出决算为3.36万元，完成预算100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tabs>
          <w:tab w:val="right" w:pos="8306"/>
        </w:tabs>
        <w:spacing w:line="600" w:lineRule="exact"/>
        <w:ind w:firstLine="640"/>
        <w:outlineLvl w:val="1"/>
        <w:rPr>
          <w:rStyle w:val="29"/>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22年一般公共预算财政拨款基本支出814.62万元，其中：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715.12万元，主要包括：基本工资、津贴补贴、奖金、伙食补助费、绩效工资、机关事业单位基本养老保险缴费、职业年金缴费、职工基本医疗保险缴费、公务员医疗补助缴费、其他社会保障缴费、住房公积金、对个人和家庭的补助、生活补助、奖励金支出等。</w:t>
      </w:r>
      <w:r>
        <w:rPr>
          <w:rFonts w:ascii="仿宋" w:hAnsi="仿宋" w:eastAsia="仿宋"/>
          <w:sz w:val="32"/>
          <w:szCs w:val="32"/>
        </w:rPr>
        <w:br w:type="textWrapping"/>
      </w:r>
      <w:r>
        <w:rPr>
          <w:rFonts w:hint="eastAsia" w:ascii="仿宋" w:hAnsi="仿宋" w:eastAsia="仿宋"/>
          <w:sz w:val="32"/>
          <w:szCs w:val="32"/>
        </w:rPr>
        <w:t>　　公用经费99.50万元，主要包括：办公费、水费、电费、邮电费、差旅费、会议费、公务接待费、工会经费、福利费、公务用车运行维护费、其他交通费和其他商品和服务支出等。</w:t>
      </w:r>
    </w:p>
    <w:p>
      <w:pPr>
        <w:spacing w:line="600" w:lineRule="exact"/>
        <w:ind w:firstLine="640"/>
        <w:outlineLvl w:val="1"/>
        <w:rPr>
          <w:rStyle w:val="29"/>
          <w:rFonts w:ascii="黑体" w:hAnsi="黑体" w:eastAsia="黑体"/>
          <w:b w:val="0"/>
        </w:rPr>
      </w:pPr>
      <w:bookmarkStart w:id="36" w:name="_Toc15396609"/>
      <w:bookmarkStart w:id="37" w:name="_Toc15377215"/>
      <w:r>
        <w:rPr>
          <w:rStyle w:val="29"/>
          <w:rFonts w:hint="eastAsia" w:ascii="黑体" w:hAnsi="黑体" w:eastAsia="黑体"/>
        </w:rPr>
        <w:t>七、</w:t>
      </w:r>
      <w:r>
        <w:rPr>
          <w:rStyle w:val="29"/>
          <w:rFonts w:hint="eastAsia" w:ascii="黑体" w:hAnsi="黑体" w:eastAsia="黑体"/>
          <w:b w:val="0"/>
        </w:rPr>
        <w:t>财政拨款“三公”经费支出决算情况说明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22年“三公”经费财政拨款支出决算为3.73万元，完成预算100</w:t>
      </w:r>
      <w:r>
        <w:rPr>
          <w:rFonts w:ascii="仿宋" w:hAnsi="仿宋" w:eastAsia="仿宋"/>
          <w:sz w:val="32"/>
          <w:szCs w:val="32"/>
        </w:rPr>
        <w:t>%</w:t>
      </w:r>
      <w:r>
        <w:rPr>
          <w:rFonts w:hint="eastAsia" w:ascii="仿宋" w:hAnsi="仿宋" w:eastAsia="仿宋"/>
          <w:sz w:val="32"/>
          <w:szCs w:val="32"/>
        </w:rPr>
        <w:t>，较上年增加0.49万元，增长15.12%。决算数与预算数持平。“三公”经费较上年增长主要原因是公务用车运行维护费较上年增加，因车辆使用时间增加，维修维护费用增加，“三公”经费增加。</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22年“三公”经费财政拨款支出决算中，公务用车购置及运行维护费支出决算3.51万元，占94.10</w:t>
      </w:r>
      <w:r>
        <w:rPr>
          <w:rFonts w:ascii="仿宋" w:hAnsi="仿宋" w:eastAsia="仿宋"/>
          <w:sz w:val="32"/>
          <w:szCs w:val="32"/>
        </w:rPr>
        <w:t>%</w:t>
      </w:r>
      <w:r>
        <w:rPr>
          <w:rFonts w:hint="eastAsia" w:ascii="仿宋" w:hAnsi="仿宋" w:eastAsia="仿宋"/>
          <w:sz w:val="32"/>
          <w:szCs w:val="32"/>
        </w:rPr>
        <w:t>；公务接待费支出决算0.22万元，占5.90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pStyle w:val="2"/>
        <w:spacing w:before="93"/>
      </w:pPr>
      <w:r>
        <w:rPr>
          <w:rFonts w:hint="eastAsia"/>
        </w:rPr>
        <w:drawing>
          <wp:inline distT="0" distB="0" distL="114300" distR="114300">
            <wp:extent cx="5208270" cy="4563745"/>
            <wp:effectExtent l="4445" t="4445" r="14605" b="19050"/>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b/>
          <w:sz w:val="32"/>
          <w:szCs w:val="32"/>
        </w:rPr>
      </w:pPr>
    </w:p>
    <w:p>
      <w:pPr>
        <w:spacing w:line="600" w:lineRule="exact"/>
        <w:ind w:firstLine="640"/>
        <w:rPr>
          <w:rFonts w:ascii="仿宋" w:hAnsi="仿宋" w:eastAsia="仿宋"/>
          <w:sz w:val="32"/>
          <w:szCs w:val="32"/>
        </w:rPr>
      </w:pPr>
      <w:r>
        <w:rPr>
          <w:rFonts w:ascii="仿宋_GB2312" w:eastAsia="仿宋_GB2312"/>
          <w:b/>
          <w:sz w:val="32"/>
          <w:szCs w:val="32"/>
        </w:rPr>
        <w:t>1.</w:t>
      </w:r>
      <w:r>
        <w:rPr>
          <w:rFonts w:hint="eastAsia" w:ascii="仿宋_GB2312" w:eastAsia="仿宋_GB2312"/>
          <w:b/>
          <w:sz w:val="32"/>
          <w:szCs w:val="32"/>
        </w:rPr>
        <w:t>公务用车购置及运行维护费支出</w:t>
      </w:r>
      <w:r>
        <w:rPr>
          <w:rFonts w:hint="eastAsia" w:ascii="仿宋_GB2312" w:eastAsia="仿宋_GB2312"/>
          <w:sz w:val="32"/>
          <w:szCs w:val="32"/>
        </w:rPr>
        <w:t>3.51万元,</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 w:hAnsi="仿宋" w:eastAsia="仿宋"/>
          <w:sz w:val="32"/>
          <w:szCs w:val="32"/>
        </w:rPr>
        <w:t>公务用车购置及运行维护费支出决算比</w:t>
      </w:r>
      <w:r>
        <w:rPr>
          <w:rFonts w:ascii="仿宋" w:hAnsi="仿宋" w:eastAsia="仿宋"/>
          <w:sz w:val="32"/>
          <w:szCs w:val="32"/>
        </w:rPr>
        <w:t>20</w:t>
      </w:r>
      <w:r>
        <w:rPr>
          <w:rFonts w:hint="eastAsia" w:ascii="仿宋" w:hAnsi="仿宋" w:eastAsia="仿宋"/>
          <w:sz w:val="32"/>
          <w:szCs w:val="32"/>
        </w:rPr>
        <w:t>21年增加0.75万元，增长27.17</w:t>
      </w:r>
      <w:r>
        <w:rPr>
          <w:rFonts w:ascii="仿宋" w:hAnsi="仿宋" w:eastAsia="仿宋"/>
          <w:sz w:val="32"/>
          <w:szCs w:val="32"/>
        </w:rPr>
        <w:t>%</w:t>
      </w:r>
      <w:r>
        <w:rPr>
          <w:rFonts w:hint="eastAsia" w:ascii="仿宋" w:hAnsi="仿宋" w:eastAsia="仿宋"/>
          <w:sz w:val="32"/>
          <w:szCs w:val="32"/>
        </w:rPr>
        <w:t>。主要原因是车辆使用时间增加，维修维护费用增加。</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0万元，2022年度未更新购置车辆。</w:t>
      </w: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22年</w:t>
      </w:r>
      <w:r>
        <w:rPr>
          <w:rFonts w:ascii="仿宋" w:hAnsi="仿宋" w:eastAsia="仿宋"/>
          <w:sz w:val="32"/>
          <w:szCs w:val="32"/>
        </w:rPr>
        <w:t>12</w:t>
      </w:r>
      <w:r>
        <w:rPr>
          <w:rFonts w:hint="eastAsia" w:ascii="仿宋" w:hAnsi="仿宋" w:eastAsia="仿宋"/>
          <w:sz w:val="32"/>
          <w:szCs w:val="32"/>
        </w:rPr>
        <w:t>月底，单位共有公务用车2辆，其中：轿车2辆。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3.51万元。</w:t>
      </w:r>
      <w:r>
        <w:rPr>
          <w:rFonts w:hint="eastAsia" w:ascii="仿宋" w:hAnsi="仿宋" w:eastAsia="仿宋"/>
          <w:sz w:val="32"/>
          <w:szCs w:val="32"/>
        </w:rPr>
        <w:t>主要用于生态环境保护、消防、地质灾害、企业生产安全巡查等重点工作和森林防灭火、防汛减灾等各类应急事务管理所需的公务用车燃料费、维修费、过路过桥费、保险费等支出。</w:t>
      </w:r>
    </w:p>
    <w:p>
      <w:pPr>
        <w:spacing w:line="600" w:lineRule="exact"/>
        <w:ind w:firstLine="640"/>
        <w:rPr>
          <w:rFonts w:ascii="仿宋" w:hAnsi="仿宋" w:eastAsia="仿宋"/>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0.22万元，</w:t>
      </w:r>
      <w:r>
        <w:rPr>
          <w:rFonts w:hint="eastAsia" w:ascii="仿宋" w:hAnsi="仿宋" w:eastAsia="仿宋"/>
          <w:sz w:val="32"/>
          <w:szCs w:val="32"/>
        </w:rPr>
        <w:t>完成预算100</w:t>
      </w:r>
      <w:r>
        <w:rPr>
          <w:rFonts w:ascii="仿宋" w:hAnsi="仿宋" w:eastAsia="仿宋"/>
          <w:sz w:val="32"/>
          <w:szCs w:val="32"/>
        </w:rPr>
        <w:t>%</w:t>
      </w:r>
      <w:r>
        <w:rPr>
          <w:rFonts w:hint="eastAsia" w:ascii="仿宋" w:hAnsi="仿宋" w:eastAsia="仿宋"/>
          <w:sz w:val="32"/>
          <w:szCs w:val="32"/>
        </w:rPr>
        <w:t>。公务接待费支出决算比</w:t>
      </w:r>
      <w:r>
        <w:rPr>
          <w:rFonts w:ascii="仿宋" w:hAnsi="仿宋" w:eastAsia="仿宋"/>
          <w:sz w:val="32"/>
          <w:szCs w:val="32"/>
        </w:rPr>
        <w:t>20</w:t>
      </w:r>
      <w:r>
        <w:rPr>
          <w:rFonts w:hint="eastAsia" w:ascii="仿宋" w:hAnsi="仿宋" w:eastAsia="仿宋"/>
          <w:sz w:val="32"/>
          <w:szCs w:val="32"/>
        </w:rPr>
        <w:t>21年减少0.26万元，下降54.17</w:t>
      </w:r>
      <w:r>
        <w:rPr>
          <w:rFonts w:ascii="仿宋" w:hAnsi="仿宋" w:eastAsia="仿宋"/>
          <w:sz w:val="32"/>
          <w:szCs w:val="32"/>
        </w:rPr>
        <w:t>%</w:t>
      </w:r>
      <w:r>
        <w:rPr>
          <w:rFonts w:hint="eastAsia" w:ascii="仿宋" w:hAnsi="仿宋" w:eastAsia="仿宋"/>
          <w:sz w:val="32"/>
          <w:szCs w:val="32"/>
        </w:rPr>
        <w:t>。主要原因是接待人次减少。其中：</w:t>
      </w:r>
    </w:p>
    <w:p>
      <w:pPr>
        <w:spacing w:line="600" w:lineRule="exact"/>
        <w:ind w:firstLine="640"/>
        <w:rPr>
          <w:rFonts w:ascii="仿宋" w:hAnsi="仿宋" w:eastAsia="仿宋"/>
          <w:sz w:val="32"/>
          <w:szCs w:val="32"/>
        </w:rPr>
      </w:pPr>
      <w:r>
        <w:rPr>
          <w:rFonts w:hint="eastAsia" w:ascii="仿宋_GB2312" w:eastAsia="仿宋_GB2312"/>
          <w:sz w:val="32"/>
          <w:szCs w:val="32"/>
        </w:rPr>
        <w:t>国内公务接待支出0.22万元，</w:t>
      </w:r>
      <w:r>
        <w:rPr>
          <w:rFonts w:hint="eastAsia" w:ascii="仿宋" w:hAnsi="仿宋" w:eastAsia="仿宋"/>
          <w:sz w:val="32"/>
          <w:szCs w:val="32"/>
        </w:rPr>
        <w:t>主要用于开展农村集体经济交流和结队共建帮扶活动开支的用餐费。国内公务接待2批次，22人次（不包括陪同人员），共计支出0.22万元，具体内容包括：绿心街道到本镇交流农村集体经济发展经验接待餐费0.1万元和峨边县沙坪镇来我镇开展结队帮扶工作接待餐费0.12万元。</w:t>
      </w:r>
    </w:p>
    <w:p>
      <w:pPr>
        <w:spacing w:line="600" w:lineRule="exact"/>
        <w:ind w:firstLine="640"/>
        <w:outlineLvl w:val="1"/>
        <w:rPr>
          <w:rStyle w:val="29"/>
          <w:rFonts w:ascii="黑体" w:hAnsi="黑体" w:eastAsia="黑体"/>
        </w:rPr>
      </w:pPr>
      <w:bookmarkStart w:id="40" w:name="_Toc15377218"/>
      <w:bookmarkStart w:id="41" w:name="_Toc15396610"/>
      <w:r>
        <w:rPr>
          <w:rFonts w:hint="eastAsia" w:ascii="黑体" w:eastAsia="黑体"/>
          <w:sz w:val="32"/>
          <w:szCs w:val="32"/>
        </w:rPr>
        <w:t>八、</w:t>
      </w:r>
      <w:r>
        <w:rPr>
          <w:rStyle w:val="29"/>
          <w:rFonts w:hint="eastAsia" w:ascii="黑体" w:hAnsi="黑体" w:eastAsia="黑体"/>
          <w:b w:val="0"/>
        </w:rPr>
        <w:t>政府性基金预算支出决算情况说明</w:t>
      </w:r>
      <w:bookmarkEnd w:id="40"/>
      <w:bookmarkEnd w:id="41"/>
    </w:p>
    <w:p>
      <w:pPr>
        <w:spacing w:line="600" w:lineRule="exact"/>
        <w:ind w:firstLine="640"/>
        <w:rPr>
          <w:rFonts w:ascii="仿宋" w:hAnsi="仿宋" w:eastAsia="仿宋"/>
          <w:sz w:val="32"/>
          <w:szCs w:val="32"/>
        </w:rPr>
      </w:pPr>
      <w:r>
        <w:rPr>
          <w:rFonts w:hint="eastAsia" w:ascii="仿宋" w:hAnsi="仿宋" w:eastAsia="仿宋"/>
          <w:sz w:val="32"/>
          <w:szCs w:val="32"/>
        </w:rPr>
        <w:t>本部门</w:t>
      </w:r>
      <w:r>
        <w:rPr>
          <w:rFonts w:ascii="仿宋" w:hAnsi="仿宋" w:eastAsia="仿宋"/>
          <w:sz w:val="32"/>
          <w:szCs w:val="32"/>
        </w:rPr>
        <w:t>20</w:t>
      </w:r>
      <w:r>
        <w:rPr>
          <w:rFonts w:hint="eastAsia" w:ascii="仿宋" w:hAnsi="仿宋" w:eastAsia="仿宋"/>
          <w:sz w:val="32"/>
          <w:szCs w:val="32"/>
        </w:rPr>
        <w:t>22年政府性基金预算财政拨款支出0万元。</w:t>
      </w:r>
    </w:p>
    <w:p>
      <w:pPr>
        <w:numPr>
          <w:ilvl w:val="0"/>
          <w:numId w:val="4"/>
        </w:numPr>
        <w:spacing w:line="600" w:lineRule="exact"/>
        <w:ind w:firstLine="640"/>
        <w:outlineLvl w:val="1"/>
        <w:rPr>
          <w:rStyle w:val="29"/>
          <w:rFonts w:ascii="黑体" w:hAnsi="黑体" w:eastAsia="黑体"/>
          <w:b w:val="0"/>
        </w:rPr>
      </w:pPr>
      <w:bookmarkStart w:id="42" w:name="_Toc15396611"/>
      <w:bookmarkStart w:id="43" w:name="_Toc15377219"/>
      <w:r>
        <w:rPr>
          <w:rStyle w:val="29"/>
          <w:rFonts w:hint="eastAsia" w:ascii="黑体" w:hAnsi="黑体" w:eastAsia="黑体"/>
          <w:b w:val="0"/>
        </w:rPr>
        <w:t>国有资本经营预算支出决算情况说明</w:t>
      </w:r>
      <w:bookmarkEnd w:id="42"/>
      <w:bookmarkEnd w:id="43"/>
    </w:p>
    <w:p>
      <w:pPr>
        <w:spacing w:line="600" w:lineRule="exact"/>
        <w:ind w:firstLine="640"/>
        <w:rPr>
          <w:rFonts w:ascii="仿宋" w:hAnsi="仿宋" w:eastAsia="仿宋"/>
          <w:sz w:val="32"/>
          <w:szCs w:val="32"/>
        </w:rPr>
      </w:pPr>
      <w:r>
        <w:rPr>
          <w:rFonts w:hint="eastAsia" w:ascii="仿宋" w:hAnsi="仿宋" w:eastAsia="仿宋"/>
          <w:sz w:val="32"/>
          <w:szCs w:val="32"/>
        </w:rPr>
        <w:t>本部门</w:t>
      </w:r>
      <w:r>
        <w:rPr>
          <w:rFonts w:ascii="仿宋" w:hAnsi="仿宋" w:eastAsia="仿宋"/>
          <w:sz w:val="32"/>
          <w:szCs w:val="32"/>
        </w:rPr>
        <w:t>20</w:t>
      </w:r>
      <w:r>
        <w:rPr>
          <w:rFonts w:hint="eastAsia" w:ascii="仿宋" w:hAnsi="仿宋" w:eastAsia="仿宋"/>
          <w:sz w:val="32"/>
          <w:szCs w:val="32"/>
        </w:rPr>
        <w:t>22年国有资本经营预算财政拨款支出0万元。</w:t>
      </w:r>
    </w:p>
    <w:p>
      <w:pPr>
        <w:numPr>
          <w:ilvl w:val="0"/>
          <w:numId w:val="4"/>
        </w:numPr>
        <w:spacing w:line="600" w:lineRule="exact"/>
        <w:ind w:firstLine="640"/>
        <w:outlineLvl w:val="1"/>
        <w:rPr>
          <w:rStyle w:val="29"/>
          <w:rFonts w:ascii="黑体" w:hAnsi="黑体" w:eastAsia="黑体"/>
          <w:b w:val="0"/>
        </w:rPr>
      </w:pPr>
      <w:bookmarkStart w:id="44" w:name="_Toc15377221"/>
      <w:bookmarkStart w:id="45" w:name="_Toc15396612"/>
      <w:r>
        <w:rPr>
          <w:rStyle w:val="29"/>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22年，本部门机关运行经费支出99.50万元，比</w:t>
      </w:r>
      <w:r>
        <w:rPr>
          <w:rFonts w:ascii="仿宋" w:hAnsi="仿宋" w:eastAsia="仿宋"/>
          <w:sz w:val="32"/>
          <w:szCs w:val="32"/>
        </w:rPr>
        <w:t>20</w:t>
      </w:r>
      <w:r>
        <w:rPr>
          <w:rFonts w:hint="eastAsia" w:ascii="仿宋" w:hAnsi="仿宋" w:eastAsia="仿宋"/>
          <w:sz w:val="32"/>
          <w:szCs w:val="32"/>
        </w:rPr>
        <w:t>21年增加0.03万元，增长0.03</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21年决算数持平。主要原因新增安置退伍人员，人员增加，运行经费增加。</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22年，本部门政府采购支出总额142.06万元，其中：政府采购货物支出1.9万元、政府采购工程支出140.16万元。主要用于原仙米寺段产业路提升工程采购。授予中小企业合同金额142.06万元，占政府采购支出总额的100</w:t>
      </w:r>
      <w:r>
        <w:rPr>
          <w:rFonts w:ascii="仿宋" w:hAnsi="仿宋" w:eastAsia="仿宋"/>
          <w:sz w:val="32"/>
          <w:szCs w:val="32"/>
        </w:rPr>
        <w:t>%</w:t>
      </w:r>
      <w:r>
        <w:rPr>
          <w:rFonts w:hint="eastAsia" w:ascii="仿宋" w:hAnsi="仿宋" w:eastAsia="仿宋"/>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spacing w:line="600" w:lineRule="exact"/>
        <w:ind w:firstLine="64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22年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日，本部门共有车辆2辆，其中：应急保障用车2辆，主要是用于应急巡查等公务保障。无单价</w:t>
      </w:r>
      <w:r>
        <w:rPr>
          <w:rFonts w:ascii="仿宋" w:hAnsi="仿宋" w:eastAsia="仿宋"/>
          <w:sz w:val="32"/>
          <w:szCs w:val="32"/>
        </w:rPr>
        <w:t>100</w:t>
      </w:r>
      <w:r>
        <w:rPr>
          <w:rFonts w:hint="eastAsia" w:ascii="仿宋" w:hAnsi="仿宋" w:eastAsia="仿宋"/>
          <w:sz w:val="32"/>
          <w:szCs w:val="32"/>
        </w:rPr>
        <w:t>万元以上专用设备。</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rPr>
          <w:rFonts w:ascii="仿宋" w:hAnsi="仿宋" w:eastAsia="仿宋"/>
          <w:sz w:val="32"/>
          <w:szCs w:val="32"/>
        </w:rPr>
      </w:pPr>
      <w:r>
        <w:rPr>
          <w:rFonts w:hint="eastAsia" w:ascii="仿宋" w:hAnsi="仿宋" w:eastAsia="仿宋"/>
          <w:sz w:val="32"/>
          <w:szCs w:val="32"/>
        </w:rPr>
        <w:t>根据预算绩效管理要求，本部门在2022年度预算编制阶段，组织对基层组织活动和公共服务运行、专职网格员、三支一扶人员经费、人居环境治理环卫包干和棉竹镇仙米寺段产业提升道路项目项目5个项目开展了预算事前绩效评估，对32个项目编制了绩效目标，预算执行过程中，选取5个项目开展绩效监控。</w:t>
      </w:r>
    </w:p>
    <w:p>
      <w:pPr>
        <w:spacing w:line="600" w:lineRule="exact"/>
        <w:ind w:firstLine="640"/>
        <w:rPr>
          <w:rFonts w:ascii="仿宋" w:hAnsi="仿宋" w:eastAsia="仿宋"/>
          <w:sz w:val="32"/>
          <w:szCs w:val="32"/>
        </w:rPr>
      </w:pPr>
      <w:r>
        <w:rPr>
          <w:rFonts w:hint="eastAsia" w:ascii="仿宋" w:hAnsi="仿宋" w:eastAsia="仿宋"/>
          <w:sz w:val="32"/>
          <w:szCs w:val="32"/>
        </w:rPr>
        <w:t xml:space="preserve"> 组织对本部门2022年度一般公共预算资金全面开展绩</w:t>
      </w:r>
    </w:p>
    <w:p>
      <w:pPr>
        <w:spacing w:line="600" w:lineRule="exact"/>
        <w:ind w:firstLine="640"/>
        <w:rPr>
          <w:rFonts w:ascii="仿宋" w:hAnsi="仿宋" w:eastAsia="仿宋"/>
          <w:sz w:val="32"/>
          <w:szCs w:val="32"/>
        </w:rPr>
      </w:pPr>
      <w:r>
        <w:rPr>
          <w:rFonts w:hint="eastAsia" w:ascii="仿宋" w:hAnsi="仿宋" w:eastAsia="仿宋"/>
          <w:sz w:val="32"/>
          <w:szCs w:val="32"/>
        </w:rPr>
        <w:t>效评价，形成2022年棉竹镇整体支出绩效评价报告、三支一扶人员经费项目支出绩效自评表、专职网格员项目自评表、人居环境治理环卫包干项目自评表。从评价情况来看，本年度整体支出绩效评价指标体系自评分为99分，预算安排控制较好，均控制在预算编制以内。预算执行方面，支出总额控制在预算总额以内，不存在截留或滞留专项资金情况。（绩效自评报告详见附件。</w:t>
      </w:r>
      <w:bookmarkStart w:id="49" w:name="_Toc15377225"/>
      <w:bookmarkStart w:id="50" w:name="_Toc15396613"/>
      <w:r>
        <w:rPr>
          <w:rFonts w:hint="eastAsia" w:ascii="仿宋" w:hAnsi="仿宋" w:eastAsia="仿宋"/>
          <w:sz w:val="32"/>
          <w:szCs w:val="32"/>
        </w:rPr>
        <w:t>）</w:t>
      </w:r>
    </w:p>
    <w:bookmarkEnd w:id="49"/>
    <w:bookmarkEnd w:id="50"/>
    <w:p>
      <w:pPr>
        <w:widowControl/>
        <w:jc w:val="center"/>
        <w:rPr>
          <w:rStyle w:val="35"/>
          <w:rFonts w:ascii="黑体" w:hAnsi="黑体" w:eastAsia="黑体"/>
          <w:sz w:val="48"/>
          <w:szCs w:val="48"/>
        </w:rPr>
      </w:pPr>
    </w:p>
    <w:p>
      <w:pPr>
        <w:widowControl/>
        <w:jc w:val="center"/>
        <w:rPr>
          <w:rFonts w:ascii="黑体" w:hAnsi="黑体" w:eastAsia="黑体"/>
          <w:b/>
          <w:bCs/>
          <w:kern w:val="44"/>
          <w:sz w:val="48"/>
          <w:szCs w:val="48"/>
        </w:rPr>
      </w:pPr>
      <w:r>
        <w:rPr>
          <w:rStyle w:val="35"/>
          <w:rFonts w:hint="eastAsia" w:ascii="黑体" w:hAnsi="黑体" w:eastAsia="黑体"/>
          <w:sz w:val="48"/>
          <w:szCs w:val="48"/>
        </w:rPr>
        <w:t>第三部分  名词解释</w:t>
      </w:r>
    </w:p>
    <w:p>
      <w:pPr>
        <w:spacing w:line="600" w:lineRule="exact"/>
        <w:ind w:firstLine="64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财政拨款收入：指单位从同级财政部门取得的财政预算资金。</w:t>
      </w:r>
    </w:p>
    <w:p>
      <w:pPr>
        <w:spacing w:line="600" w:lineRule="exact"/>
        <w:ind w:firstLine="64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 xml:space="preserve"> 其他收入：指除上述“财政拨款收入”、“事业收入”、“经营收入”等以外的收入。主要是单位历年各</w:t>
      </w:r>
      <w:r>
        <w:rPr>
          <w:rFonts w:ascii="仿宋" w:hAnsi="仿宋" w:eastAsia="仿宋"/>
          <w:sz w:val="32"/>
          <w:szCs w:val="32"/>
        </w:rPr>
        <w:t>项工作经费结余</w:t>
      </w:r>
      <w:r>
        <w:rPr>
          <w:rFonts w:hint="eastAsia" w:ascii="仿宋" w:hAnsi="仿宋" w:eastAsia="仿宋"/>
          <w:sz w:val="32"/>
          <w:szCs w:val="32"/>
        </w:rPr>
        <w:t>、待</w:t>
      </w:r>
      <w:r>
        <w:rPr>
          <w:rFonts w:ascii="仿宋" w:hAnsi="仿宋" w:eastAsia="仿宋"/>
          <w:sz w:val="32"/>
          <w:szCs w:val="32"/>
        </w:rPr>
        <w:t>拨付各</w:t>
      </w:r>
      <w:r>
        <w:rPr>
          <w:rFonts w:hint="eastAsia" w:ascii="仿宋" w:hAnsi="仿宋" w:eastAsia="仿宋"/>
          <w:sz w:val="32"/>
          <w:szCs w:val="32"/>
        </w:rPr>
        <w:t>村（社</w:t>
      </w:r>
      <w:r>
        <w:rPr>
          <w:rFonts w:ascii="仿宋" w:hAnsi="仿宋" w:eastAsia="仿宋"/>
          <w:sz w:val="32"/>
          <w:szCs w:val="32"/>
        </w:rPr>
        <w:t>区</w:t>
      </w:r>
      <w:r>
        <w:rPr>
          <w:rFonts w:hint="eastAsia" w:ascii="仿宋" w:hAnsi="仿宋" w:eastAsia="仿宋"/>
          <w:sz w:val="32"/>
          <w:szCs w:val="32"/>
        </w:rPr>
        <w:t>）、</w:t>
      </w:r>
      <w:r>
        <w:rPr>
          <w:rFonts w:ascii="仿宋" w:hAnsi="仿宋" w:eastAsia="仿宋"/>
          <w:sz w:val="32"/>
          <w:szCs w:val="32"/>
        </w:rPr>
        <w:t>社</w:t>
      </w:r>
      <w:r>
        <w:rPr>
          <w:rFonts w:hint="eastAsia" w:ascii="仿宋" w:hAnsi="仿宋" w:eastAsia="仿宋"/>
          <w:sz w:val="32"/>
          <w:szCs w:val="32"/>
        </w:rPr>
        <w:t>的</w:t>
      </w:r>
      <w:r>
        <w:rPr>
          <w:rFonts w:ascii="仿宋" w:hAnsi="仿宋" w:eastAsia="仿宋"/>
          <w:sz w:val="32"/>
          <w:szCs w:val="32"/>
        </w:rPr>
        <w:t>各项目</w:t>
      </w:r>
      <w:r>
        <w:rPr>
          <w:rFonts w:hint="eastAsia" w:ascii="仿宋" w:hAnsi="仿宋" w:eastAsia="仿宋"/>
          <w:sz w:val="32"/>
          <w:szCs w:val="32"/>
        </w:rPr>
        <w:t>征</w:t>
      </w:r>
      <w:r>
        <w:rPr>
          <w:rFonts w:ascii="仿宋" w:hAnsi="仿宋" w:eastAsia="仿宋"/>
          <w:sz w:val="32"/>
          <w:szCs w:val="32"/>
        </w:rPr>
        <w:t>地拆迁工作经费</w:t>
      </w:r>
      <w:r>
        <w:rPr>
          <w:rFonts w:hint="eastAsia" w:ascii="仿宋" w:hAnsi="仿宋" w:eastAsia="仿宋"/>
          <w:sz w:val="32"/>
          <w:szCs w:val="32"/>
        </w:rPr>
        <w:t>等。</w:t>
      </w:r>
    </w:p>
    <w:p>
      <w:pPr>
        <w:spacing w:line="600" w:lineRule="exact"/>
        <w:ind w:firstLine="64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 xml:space="preserve">. </w:t>
      </w:r>
      <w:r>
        <w:rPr>
          <w:rFonts w:hint="eastAsia" w:ascii="仿宋" w:hAnsi="仿宋" w:eastAsia="仿宋"/>
          <w:sz w:val="32"/>
          <w:szCs w:val="32"/>
        </w:rPr>
        <w:t>年初结转和结余：指以前年度尚未完成、结转到本年按有关规定继续使用的资金。</w:t>
      </w:r>
    </w:p>
    <w:p>
      <w:pPr>
        <w:spacing w:line="600" w:lineRule="exact"/>
        <w:ind w:firstLine="64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 xml:space="preserve">. </w:t>
      </w:r>
      <w:r>
        <w:rPr>
          <w:rFonts w:hint="eastAsia" w:ascii="仿宋" w:hAnsi="仿宋" w:eastAsia="仿宋"/>
          <w:sz w:val="32"/>
          <w:szCs w:val="32"/>
        </w:rPr>
        <w:t>年末结转和结余：指单位按有关规定结转到下年或以后年度继续使用的资金。</w:t>
      </w:r>
    </w:p>
    <w:p>
      <w:pPr>
        <w:spacing w:line="600" w:lineRule="exact"/>
        <w:ind w:firstLine="640"/>
        <w:rPr>
          <w:rFonts w:ascii="仿宋" w:hAnsi="仿宋" w:eastAsia="仿宋"/>
          <w:sz w:val="32"/>
          <w:szCs w:val="32"/>
        </w:rPr>
      </w:pPr>
      <w:r>
        <w:rPr>
          <w:rFonts w:hint="eastAsia" w:ascii="仿宋" w:hAnsi="仿宋" w:eastAsia="仿宋"/>
          <w:sz w:val="32"/>
          <w:szCs w:val="32"/>
        </w:rPr>
        <w:t>5. 一</w:t>
      </w:r>
      <w:r>
        <w:rPr>
          <w:rFonts w:ascii="仿宋" w:hAnsi="仿宋" w:eastAsia="仿宋"/>
          <w:sz w:val="32"/>
          <w:szCs w:val="32"/>
        </w:rPr>
        <w:t>般公共</w:t>
      </w:r>
      <w:r>
        <w:rPr>
          <w:rFonts w:hint="eastAsia" w:ascii="仿宋" w:hAnsi="仿宋" w:eastAsia="仿宋"/>
          <w:sz w:val="32"/>
          <w:szCs w:val="32"/>
        </w:rPr>
        <w:t>服务（类）人</w:t>
      </w:r>
      <w:r>
        <w:rPr>
          <w:rFonts w:ascii="仿宋" w:hAnsi="仿宋" w:eastAsia="仿宋"/>
          <w:sz w:val="32"/>
          <w:szCs w:val="32"/>
        </w:rPr>
        <w:t>大事务支</w:t>
      </w:r>
      <w:r>
        <w:rPr>
          <w:rFonts w:hint="eastAsia" w:ascii="仿宋" w:hAnsi="仿宋" w:eastAsia="仿宋"/>
          <w:sz w:val="32"/>
          <w:szCs w:val="32"/>
        </w:rPr>
        <w:t>出（款）一</w:t>
      </w:r>
      <w:r>
        <w:rPr>
          <w:rFonts w:ascii="仿宋" w:hAnsi="仿宋" w:eastAsia="仿宋"/>
          <w:sz w:val="32"/>
          <w:szCs w:val="32"/>
        </w:rPr>
        <w:t>般</w:t>
      </w:r>
      <w:r>
        <w:rPr>
          <w:rFonts w:hint="eastAsia" w:ascii="仿宋" w:hAnsi="仿宋" w:eastAsia="仿宋"/>
          <w:sz w:val="32"/>
          <w:szCs w:val="32"/>
        </w:rPr>
        <w:t>行</w:t>
      </w:r>
      <w:r>
        <w:rPr>
          <w:rFonts w:ascii="仿宋" w:hAnsi="仿宋" w:eastAsia="仿宋"/>
          <w:sz w:val="32"/>
          <w:szCs w:val="32"/>
        </w:rPr>
        <w:t>政</w:t>
      </w:r>
      <w:r>
        <w:rPr>
          <w:rFonts w:hint="eastAsia" w:ascii="仿宋" w:hAnsi="仿宋" w:eastAsia="仿宋"/>
          <w:sz w:val="32"/>
          <w:szCs w:val="32"/>
        </w:rPr>
        <w:t>管理</w:t>
      </w:r>
      <w:r>
        <w:rPr>
          <w:rFonts w:ascii="仿宋" w:hAnsi="仿宋" w:eastAsia="仿宋"/>
          <w:sz w:val="32"/>
          <w:szCs w:val="32"/>
        </w:rPr>
        <w:t>事务支出</w:t>
      </w:r>
      <w:r>
        <w:rPr>
          <w:rFonts w:hint="eastAsia" w:ascii="仿宋" w:hAnsi="仿宋" w:eastAsia="仿宋"/>
          <w:sz w:val="32"/>
          <w:szCs w:val="32"/>
        </w:rPr>
        <w:t>（项）：指用</w:t>
      </w:r>
      <w:r>
        <w:rPr>
          <w:rFonts w:ascii="仿宋" w:hAnsi="仿宋" w:eastAsia="仿宋"/>
          <w:sz w:val="32"/>
          <w:szCs w:val="32"/>
        </w:rPr>
        <w:t>于</w:t>
      </w:r>
      <w:r>
        <w:rPr>
          <w:rFonts w:hint="eastAsia" w:ascii="仿宋" w:hAnsi="仿宋" w:eastAsia="仿宋"/>
          <w:sz w:val="32"/>
          <w:szCs w:val="32"/>
        </w:rPr>
        <w:t>人大</w:t>
      </w:r>
      <w:r>
        <w:rPr>
          <w:rFonts w:ascii="仿宋" w:hAnsi="仿宋" w:eastAsia="仿宋"/>
          <w:sz w:val="32"/>
          <w:szCs w:val="32"/>
        </w:rPr>
        <w:t>代表</w:t>
      </w:r>
      <w:r>
        <w:rPr>
          <w:rFonts w:hint="eastAsia" w:ascii="仿宋" w:hAnsi="仿宋" w:eastAsia="仿宋"/>
          <w:sz w:val="32"/>
          <w:szCs w:val="32"/>
        </w:rPr>
        <w:t>工作日常支出；代表工作（项）：指用于人大代表</w:t>
      </w:r>
      <w:r>
        <w:rPr>
          <w:rFonts w:ascii="仿宋" w:hAnsi="仿宋" w:eastAsia="仿宋"/>
          <w:sz w:val="32"/>
          <w:szCs w:val="32"/>
        </w:rPr>
        <w:t>活动经费</w:t>
      </w:r>
      <w:r>
        <w:rPr>
          <w:rFonts w:hint="eastAsia" w:ascii="仿宋" w:hAnsi="仿宋" w:eastAsia="仿宋"/>
          <w:sz w:val="32"/>
          <w:szCs w:val="32"/>
        </w:rPr>
        <w:t>支</w:t>
      </w:r>
      <w:r>
        <w:rPr>
          <w:rFonts w:ascii="仿宋" w:hAnsi="仿宋" w:eastAsia="仿宋"/>
          <w:sz w:val="32"/>
          <w:szCs w:val="32"/>
        </w:rPr>
        <w:t>出</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般公共</w:t>
      </w:r>
      <w:r>
        <w:rPr>
          <w:rFonts w:hint="eastAsia" w:ascii="仿宋" w:hAnsi="仿宋" w:eastAsia="仿宋"/>
          <w:sz w:val="32"/>
          <w:szCs w:val="32"/>
        </w:rPr>
        <w:t>服务（类）政府办公厅（室）及相关机构事务（款）行政运行（项）：指主要用于政府机</w:t>
      </w:r>
      <w:r>
        <w:rPr>
          <w:rFonts w:ascii="仿宋" w:hAnsi="仿宋" w:eastAsia="仿宋"/>
          <w:sz w:val="32"/>
          <w:szCs w:val="32"/>
        </w:rPr>
        <w:t>关</w:t>
      </w:r>
      <w:r>
        <w:rPr>
          <w:rFonts w:hint="eastAsia" w:ascii="仿宋" w:hAnsi="仿宋" w:eastAsia="仿宋"/>
          <w:sz w:val="32"/>
          <w:szCs w:val="32"/>
        </w:rPr>
        <w:t>单位人员工资、日常运转以及为完成特定行政工作任务和事业发展目标而安排的年度项目支出;一般行政管理事务（项）：指</w:t>
      </w:r>
      <w:r>
        <w:rPr>
          <w:rFonts w:ascii="仿宋" w:hAnsi="仿宋" w:eastAsia="仿宋"/>
          <w:sz w:val="32"/>
          <w:szCs w:val="32"/>
        </w:rPr>
        <w:t>用于</w:t>
      </w:r>
      <w:r>
        <w:rPr>
          <w:rFonts w:hint="eastAsia" w:ascii="仿宋" w:hAnsi="仿宋" w:eastAsia="仿宋"/>
          <w:sz w:val="32"/>
          <w:szCs w:val="32"/>
        </w:rPr>
        <w:t>关心</w:t>
      </w:r>
      <w:r>
        <w:rPr>
          <w:rFonts w:ascii="仿宋" w:hAnsi="仿宋" w:eastAsia="仿宋"/>
          <w:sz w:val="32"/>
          <w:szCs w:val="32"/>
        </w:rPr>
        <w:t>下一代工作、</w:t>
      </w:r>
      <w:r>
        <w:rPr>
          <w:rFonts w:hint="eastAsia" w:ascii="仿宋" w:hAnsi="仿宋" w:eastAsia="仿宋"/>
          <w:sz w:val="32"/>
          <w:szCs w:val="32"/>
        </w:rPr>
        <w:t>维稳</w:t>
      </w:r>
      <w:r>
        <w:rPr>
          <w:rFonts w:ascii="仿宋" w:hAnsi="仿宋" w:eastAsia="仿宋"/>
          <w:sz w:val="32"/>
          <w:szCs w:val="32"/>
        </w:rPr>
        <w:t>工作</w:t>
      </w:r>
      <w:r>
        <w:rPr>
          <w:rFonts w:hint="eastAsia" w:ascii="仿宋" w:hAnsi="仿宋" w:eastAsia="仿宋"/>
          <w:sz w:val="32"/>
          <w:szCs w:val="32"/>
        </w:rPr>
        <w:t>等</w:t>
      </w:r>
      <w:r>
        <w:rPr>
          <w:rFonts w:ascii="仿宋" w:hAnsi="仿宋" w:eastAsia="仿宋"/>
          <w:sz w:val="32"/>
          <w:szCs w:val="32"/>
        </w:rPr>
        <w:t>乡镇工</w:t>
      </w:r>
      <w:r>
        <w:rPr>
          <w:rFonts w:hint="eastAsia" w:ascii="仿宋" w:hAnsi="仿宋" w:eastAsia="仿宋"/>
          <w:sz w:val="32"/>
          <w:szCs w:val="32"/>
        </w:rPr>
        <w:t>作</w:t>
      </w:r>
      <w:r>
        <w:rPr>
          <w:rFonts w:ascii="仿宋" w:hAnsi="仿宋" w:eastAsia="仿宋"/>
          <w:sz w:val="32"/>
          <w:szCs w:val="32"/>
        </w:rPr>
        <w:t>经费支出</w:t>
      </w:r>
      <w:r>
        <w:rPr>
          <w:rFonts w:hint="eastAsia" w:ascii="仿宋" w:hAnsi="仿宋" w:eastAsia="仿宋"/>
          <w:sz w:val="32"/>
          <w:szCs w:val="32"/>
        </w:rPr>
        <w:t>；信访事务（项）：指用于信访工作相关经费支出。事业运行（项）：指用于事业单位人员工资支出。</w:t>
      </w:r>
    </w:p>
    <w:p>
      <w:pPr>
        <w:spacing w:line="600" w:lineRule="exact"/>
        <w:ind w:firstLine="64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般公共</w:t>
      </w:r>
      <w:r>
        <w:rPr>
          <w:rFonts w:hint="eastAsia" w:ascii="仿宋" w:hAnsi="仿宋" w:eastAsia="仿宋"/>
          <w:sz w:val="32"/>
          <w:szCs w:val="32"/>
        </w:rPr>
        <w:t>服务（类）组织事务（款）一般行政管理事务（项）：指用于组织部门选调生到村任职相关经费支出。</w:t>
      </w:r>
    </w:p>
    <w:p>
      <w:pPr>
        <w:spacing w:line="600" w:lineRule="exact"/>
        <w:ind w:firstLine="640"/>
        <w:rPr>
          <w:rFonts w:ascii="仿宋" w:hAnsi="仿宋" w:eastAsia="仿宋"/>
          <w:sz w:val="32"/>
          <w:szCs w:val="32"/>
        </w:rPr>
      </w:pPr>
      <w:r>
        <w:rPr>
          <w:rFonts w:ascii="仿宋" w:hAnsi="仿宋" w:eastAsia="仿宋"/>
          <w:sz w:val="32"/>
          <w:szCs w:val="32"/>
        </w:rPr>
        <w:t xml:space="preserve">6. </w:t>
      </w:r>
      <w:r>
        <w:rPr>
          <w:rFonts w:hint="eastAsia" w:ascii="仿宋" w:hAnsi="仿宋" w:eastAsia="仿宋"/>
          <w:sz w:val="32"/>
          <w:szCs w:val="32"/>
        </w:rPr>
        <w:t>公共</w:t>
      </w:r>
      <w:r>
        <w:rPr>
          <w:rFonts w:ascii="仿宋" w:hAnsi="仿宋" w:eastAsia="仿宋"/>
          <w:sz w:val="32"/>
          <w:szCs w:val="32"/>
        </w:rPr>
        <w:t>安全</w:t>
      </w:r>
      <w:r>
        <w:rPr>
          <w:rFonts w:hint="eastAsia" w:ascii="仿宋" w:hAnsi="仿宋" w:eastAsia="仿宋"/>
          <w:sz w:val="32"/>
          <w:szCs w:val="32"/>
        </w:rPr>
        <w:t>（类）公</w:t>
      </w:r>
      <w:r>
        <w:rPr>
          <w:rFonts w:ascii="仿宋" w:hAnsi="仿宋" w:eastAsia="仿宋"/>
          <w:sz w:val="32"/>
          <w:szCs w:val="32"/>
        </w:rPr>
        <w:t>安（</w:t>
      </w:r>
      <w:r>
        <w:rPr>
          <w:rFonts w:hint="eastAsia" w:ascii="仿宋" w:hAnsi="仿宋" w:eastAsia="仿宋"/>
          <w:sz w:val="32"/>
          <w:szCs w:val="32"/>
        </w:rPr>
        <w:t>款</w:t>
      </w:r>
      <w:r>
        <w:rPr>
          <w:rFonts w:ascii="仿宋" w:hAnsi="仿宋" w:eastAsia="仿宋"/>
          <w:sz w:val="32"/>
          <w:szCs w:val="32"/>
        </w:rPr>
        <w:t>）</w:t>
      </w:r>
      <w:r>
        <w:rPr>
          <w:rFonts w:hint="eastAsia" w:ascii="仿宋" w:hAnsi="仿宋" w:eastAsia="仿宋"/>
          <w:sz w:val="32"/>
          <w:szCs w:val="32"/>
        </w:rPr>
        <w:t>其他公安支出</w:t>
      </w:r>
      <w:r>
        <w:rPr>
          <w:rFonts w:ascii="仿宋" w:hAnsi="仿宋" w:eastAsia="仿宋"/>
          <w:sz w:val="32"/>
          <w:szCs w:val="32"/>
        </w:rPr>
        <w:t>（</w:t>
      </w:r>
      <w:r>
        <w:rPr>
          <w:rFonts w:hint="eastAsia" w:ascii="仿宋" w:hAnsi="仿宋" w:eastAsia="仿宋"/>
          <w:sz w:val="32"/>
          <w:szCs w:val="32"/>
        </w:rPr>
        <w:t>项</w:t>
      </w:r>
      <w:r>
        <w:rPr>
          <w:rFonts w:ascii="仿宋" w:hAnsi="仿宋" w:eastAsia="仿宋"/>
          <w:sz w:val="32"/>
          <w:szCs w:val="32"/>
        </w:rPr>
        <w:t>）</w:t>
      </w:r>
      <w:r>
        <w:rPr>
          <w:rFonts w:hint="eastAsia" w:ascii="仿宋" w:hAnsi="仿宋" w:eastAsia="仿宋"/>
          <w:sz w:val="32"/>
          <w:szCs w:val="32"/>
        </w:rPr>
        <w:t>：指用</w:t>
      </w:r>
      <w:r>
        <w:rPr>
          <w:rFonts w:ascii="仿宋" w:hAnsi="仿宋" w:eastAsia="仿宋"/>
          <w:sz w:val="32"/>
          <w:szCs w:val="32"/>
        </w:rPr>
        <w:t>于</w:t>
      </w:r>
      <w:r>
        <w:rPr>
          <w:rFonts w:hint="eastAsia" w:ascii="仿宋" w:hAnsi="仿宋" w:eastAsia="仿宋"/>
          <w:sz w:val="32"/>
          <w:szCs w:val="32"/>
        </w:rPr>
        <w:t>交</w:t>
      </w:r>
      <w:r>
        <w:rPr>
          <w:rFonts w:ascii="仿宋" w:hAnsi="仿宋" w:eastAsia="仿宋"/>
          <w:sz w:val="32"/>
          <w:szCs w:val="32"/>
        </w:rPr>
        <w:t>通协管</w:t>
      </w:r>
      <w:r>
        <w:rPr>
          <w:rFonts w:hint="eastAsia" w:ascii="仿宋" w:hAnsi="仿宋" w:eastAsia="仿宋"/>
          <w:sz w:val="32"/>
          <w:szCs w:val="32"/>
        </w:rPr>
        <w:t>站</w:t>
      </w:r>
      <w:r>
        <w:rPr>
          <w:rFonts w:ascii="仿宋" w:hAnsi="仿宋" w:eastAsia="仿宋"/>
          <w:sz w:val="32"/>
          <w:szCs w:val="32"/>
        </w:rPr>
        <w:t>日常巡查</w:t>
      </w:r>
      <w:r>
        <w:rPr>
          <w:rFonts w:hint="eastAsia" w:ascii="仿宋" w:hAnsi="仿宋" w:eastAsia="仿宋"/>
          <w:sz w:val="32"/>
          <w:szCs w:val="32"/>
        </w:rPr>
        <w:t>等</w:t>
      </w:r>
      <w:r>
        <w:rPr>
          <w:rFonts w:ascii="仿宋" w:hAnsi="仿宋" w:eastAsia="仿宋"/>
          <w:sz w:val="32"/>
          <w:szCs w:val="32"/>
        </w:rPr>
        <w:t>支出</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sz w:val="32"/>
          <w:szCs w:val="32"/>
        </w:rPr>
        <w:t>公共</w:t>
      </w:r>
      <w:r>
        <w:rPr>
          <w:rFonts w:ascii="仿宋" w:hAnsi="仿宋" w:eastAsia="仿宋"/>
          <w:sz w:val="32"/>
          <w:szCs w:val="32"/>
        </w:rPr>
        <w:t>安全支出</w:t>
      </w:r>
      <w:r>
        <w:rPr>
          <w:rFonts w:hint="eastAsia" w:ascii="仿宋" w:hAnsi="仿宋" w:eastAsia="仿宋"/>
          <w:sz w:val="32"/>
          <w:szCs w:val="32"/>
        </w:rPr>
        <w:t>（类）司法</w:t>
      </w:r>
      <w:r>
        <w:rPr>
          <w:rFonts w:ascii="仿宋" w:hAnsi="仿宋" w:eastAsia="仿宋"/>
          <w:sz w:val="32"/>
          <w:szCs w:val="32"/>
        </w:rPr>
        <w:t>（</w:t>
      </w:r>
      <w:r>
        <w:rPr>
          <w:rFonts w:hint="eastAsia" w:ascii="仿宋" w:hAnsi="仿宋" w:eastAsia="仿宋"/>
          <w:sz w:val="32"/>
          <w:szCs w:val="32"/>
        </w:rPr>
        <w:t>款</w:t>
      </w:r>
      <w:r>
        <w:rPr>
          <w:rFonts w:ascii="仿宋" w:hAnsi="仿宋" w:eastAsia="仿宋"/>
          <w:sz w:val="32"/>
          <w:szCs w:val="32"/>
        </w:rPr>
        <w:t>）</w:t>
      </w:r>
      <w:r>
        <w:rPr>
          <w:rFonts w:hint="eastAsia" w:ascii="仿宋" w:hAnsi="仿宋" w:eastAsia="仿宋"/>
          <w:sz w:val="32"/>
          <w:szCs w:val="32"/>
        </w:rPr>
        <w:t>社区矫正</w:t>
      </w:r>
      <w:r>
        <w:rPr>
          <w:rFonts w:ascii="仿宋" w:hAnsi="仿宋" w:eastAsia="仿宋"/>
          <w:sz w:val="32"/>
          <w:szCs w:val="32"/>
        </w:rPr>
        <w:t>（</w:t>
      </w:r>
      <w:r>
        <w:rPr>
          <w:rFonts w:hint="eastAsia" w:ascii="仿宋" w:hAnsi="仿宋" w:eastAsia="仿宋"/>
          <w:sz w:val="32"/>
          <w:szCs w:val="32"/>
        </w:rPr>
        <w:t>项</w:t>
      </w:r>
      <w:r>
        <w:rPr>
          <w:rFonts w:ascii="仿宋" w:hAnsi="仿宋" w:eastAsia="仿宋"/>
          <w:sz w:val="32"/>
          <w:szCs w:val="32"/>
        </w:rPr>
        <w:t>）</w:t>
      </w:r>
      <w:r>
        <w:rPr>
          <w:rFonts w:hint="eastAsia" w:ascii="仿宋" w:hAnsi="仿宋" w:eastAsia="仿宋"/>
          <w:sz w:val="32"/>
          <w:szCs w:val="32"/>
        </w:rPr>
        <w:t>：用于</w:t>
      </w:r>
      <w:r>
        <w:rPr>
          <w:rFonts w:ascii="仿宋" w:hAnsi="仿宋" w:eastAsia="仿宋"/>
          <w:sz w:val="32"/>
          <w:szCs w:val="32"/>
        </w:rPr>
        <w:t>社区矫正工作支出</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 xml:space="preserve"> 文化旅游体育</w:t>
      </w:r>
      <w:r>
        <w:rPr>
          <w:rFonts w:ascii="仿宋" w:hAnsi="仿宋" w:eastAsia="仿宋"/>
          <w:sz w:val="32"/>
          <w:szCs w:val="32"/>
        </w:rPr>
        <w:t>与传媒（</w:t>
      </w:r>
      <w:r>
        <w:rPr>
          <w:rFonts w:hint="eastAsia" w:ascii="仿宋" w:hAnsi="仿宋" w:eastAsia="仿宋"/>
          <w:sz w:val="32"/>
          <w:szCs w:val="32"/>
        </w:rPr>
        <w:t>类</w:t>
      </w:r>
      <w:r>
        <w:rPr>
          <w:rFonts w:ascii="仿宋" w:hAnsi="仿宋" w:eastAsia="仿宋"/>
          <w:sz w:val="32"/>
          <w:szCs w:val="32"/>
        </w:rPr>
        <w:t>）</w:t>
      </w:r>
      <w:r>
        <w:rPr>
          <w:rFonts w:hint="eastAsia" w:ascii="仿宋" w:hAnsi="仿宋" w:eastAsia="仿宋"/>
          <w:sz w:val="32"/>
          <w:szCs w:val="32"/>
        </w:rPr>
        <w:t>文化和旅游</w:t>
      </w:r>
      <w:r>
        <w:rPr>
          <w:rFonts w:ascii="仿宋" w:hAnsi="仿宋" w:eastAsia="仿宋"/>
          <w:sz w:val="32"/>
          <w:szCs w:val="32"/>
        </w:rPr>
        <w:t>（</w:t>
      </w:r>
      <w:r>
        <w:rPr>
          <w:rFonts w:hint="eastAsia" w:ascii="仿宋" w:hAnsi="仿宋" w:eastAsia="仿宋"/>
          <w:sz w:val="32"/>
          <w:szCs w:val="32"/>
        </w:rPr>
        <w:t>款</w:t>
      </w:r>
      <w:r>
        <w:rPr>
          <w:rFonts w:ascii="仿宋" w:hAnsi="仿宋" w:eastAsia="仿宋"/>
          <w:sz w:val="32"/>
          <w:szCs w:val="32"/>
        </w:rPr>
        <w:t>）</w:t>
      </w:r>
      <w:r>
        <w:rPr>
          <w:rFonts w:hint="eastAsia" w:ascii="仿宋" w:hAnsi="仿宋" w:eastAsia="仿宋"/>
          <w:sz w:val="32"/>
          <w:szCs w:val="32"/>
        </w:rPr>
        <w:t>其他文化和旅游支出</w:t>
      </w:r>
      <w:r>
        <w:rPr>
          <w:rFonts w:ascii="仿宋" w:hAnsi="仿宋" w:eastAsia="仿宋"/>
          <w:sz w:val="32"/>
          <w:szCs w:val="32"/>
        </w:rPr>
        <w:t>（</w:t>
      </w:r>
      <w:r>
        <w:rPr>
          <w:rFonts w:hint="eastAsia" w:ascii="仿宋" w:hAnsi="仿宋" w:eastAsia="仿宋"/>
          <w:sz w:val="32"/>
          <w:szCs w:val="32"/>
        </w:rPr>
        <w:t>项</w:t>
      </w:r>
      <w:r>
        <w:rPr>
          <w:rFonts w:ascii="仿宋" w:hAnsi="仿宋" w:eastAsia="仿宋"/>
          <w:sz w:val="32"/>
          <w:szCs w:val="32"/>
        </w:rPr>
        <w:t>）</w:t>
      </w:r>
      <w:r>
        <w:rPr>
          <w:rFonts w:hint="eastAsia" w:ascii="仿宋" w:hAnsi="仿宋" w:eastAsia="仿宋"/>
          <w:sz w:val="32"/>
          <w:szCs w:val="32"/>
        </w:rPr>
        <w:t>：指用于开</w:t>
      </w:r>
      <w:r>
        <w:rPr>
          <w:rFonts w:ascii="仿宋" w:hAnsi="仿宋" w:eastAsia="仿宋"/>
          <w:sz w:val="32"/>
          <w:szCs w:val="32"/>
        </w:rPr>
        <w:t>展</w:t>
      </w:r>
      <w:r>
        <w:rPr>
          <w:rFonts w:hint="eastAsia" w:ascii="仿宋" w:hAnsi="仿宋" w:eastAsia="仿宋"/>
          <w:sz w:val="32"/>
          <w:szCs w:val="32"/>
        </w:rPr>
        <w:t>文化</w:t>
      </w:r>
      <w:r>
        <w:rPr>
          <w:rFonts w:ascii="仿宋" w:hAnsi="仿宋" w:eastAsia="仿宋"/>
          <w:sz w:val="32"/>
          <w:szCs w:val="32"/>
        </w:rPr>
        <w:t>活动</w:t>
      </w:r>
      <w:r>
        <w:rPr>
          <w:rFonts w:hint="eastAsia" w:ascii="仿宋" w:hAnsi="仿宋" w:eastAsia="仿宋"/>
          <w:sz w:val="32"/>
          <w:szCs w:val="32"/>
        </w:rPr>
        <w:t>、</w:t>
      </w:r>
      <w:r>
        <w:rPr>
          <w:rFonts w:ascii="仿宋" w:hAnsi="仿宋" w:eastAsia="仿宋"/>
          <w:sz w:val="32"/>
          <w:szCs w:val="32"/>
        </w:rPr>
        <w:t>文化站</w:t>
      </w:r>
      <w:r>
        <w:rPr>
          <w:rFonts w:hint="eastAsia" w:ascii="仿宋" w:hAnsi="仿宋" w:eastAsia="仿宋"/>
          <w:sz w:val="32"/>
          <w:szCs w:val="32"/>
        </w:rPr>
        <w:t>建设、</w:t>
      </w:r>
      <w:r>
        <w:rPr>
          <w:rFonts w:ascii="仿宋" w:hAnsi="仿宋" w:eastAsia="仿宋"/>
          <w:sz w:val="32"/>
          <w:szCs w:val="32"/>
        </w:rPr>
        <w:t>文化</w:t>
      </w:r>
      <w:r>
        <w:rPr>
          <w:rFonts w:hint="eastAsia" w:ascii="仿宋" w:hAnsi="仿宋" w:eastAsia="仿宋"/>
          <w:sz w:val="32"/>
          <w:szCs w:val="32"/>
        </w:rPr>
        <w:t>站免费</w:t>
      </w:r>
      <w:r>
        <w:rPr>
          <w:rFonts w:ascii="仿宋" w:hAnsi="仿宋" w:eastAsia="仿宋"/>
          <w:sz w:val="32"/>
          <w:szCs w:val="32"/>
        </w:rPr>
        <w:t>开放</w:t>
      </w:r>
      <w:r>
        <w:rPr>
          <w:rFonts w:hint="eastAsia" w:ascii="仿宋" w:hAnsi="仿宋" w:eastAsia="仿宋"/>
          <w:sz w:val="32"/>
          <w:szCs w:val="32"/>
        </w:rPr>
        <w:t>等支</w:t>
      </w:r>
      <w:r>
        <w:rPr>
          <w:rFonts w:ascii="仿宋" w:hAnsi="仿宋" w:eastAsia="仿宋"/>
          <w:sz w:val="32"/>
          <w:szCs w:val="32"/>
        </w:rPr>
        <w:t>出</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sz w:val="32"/>
          <w:szCs w:val="32"/>
        </w:rPr>
        <w:t>文化旅游体育</w:t>
      </w:r>
      <w:r>
        <w:rPr>
          <w:rFonts w:ascii="仿宋" w:hAnsi="仿宋" w:eastAsia="仿宋"/>
          <w:sz w:val="32"/>
          <w:szCs w:val="32"/>
        </w:rPr>
        <w:t>与传媒（</w:t>
      </w:r>
      <w:r>
        <w:rPr>
          <w:rFonts w:hint="eastAsia" w:ascii="仿宋" w:hAnsi="仿宋" w:eastAsia="仿宋"/>
          <w:sz w:val="32"/>
          <w:szCs w:val="32"/>
        </w:rPr>
        <w:t>类</w:t>
      </w:r>
      <w:r>
        <w:rPr>
          <w:rFonts w:ascii="仿宋" w:hAnsi="仿宋" w:eastAsia="仿宋"/>
          <w:sz w:val="32"/>
          <w:szCs w:val="32"/>
        </w:rPr>
        <w:t>）</w:t>
      </w:r>
      <w:r>
        <w:rPr>
          <w:rFonts w:hint="eastAsia" w:ascii="仿宋" w:hAnsi="仿宋" w:eastAsia="仿宋"/>
          <w:sz w:val="32"/>
          <w:szCs w:val="32"/>
        </w:rPr>
        <w:t>广播电视</w:t>
      </w:r>
      <w:r>
        <w:rPr>
          <w:rFonts w:ascii="仿宋" w:hAnsi="仿宋" w:eastAsia="仿宋"/>
          <w:sz w:val="32"/>
          <w:szCs w:val="32"/>
        </w:rPr>
        <w:t>（</w:t>
      </w:r>
      <w:r>
        <w:rPr>
          <w:rFonts w:hint="eastAsia" w:ascii="仿宋" w:hAnsi="仿宋" w:eastAsia="仿宋"/>
          <w:sz w:val="32"/>
          <w:szCs w:val="32"/>
        </w:rPr>
        <w:t>款</w:t>
      </w:r>
      <w:r>
        <w:rPr>
          <w:rFonts w:ascii="仿宋" w:hAnsi="仿宋" w:eastAsia="仿宋"/>
          <w:sz w:val="32"/>
          <w:szCs w:val="32"/>
        </w:rPr>
        <w:t>）</w:t>
      </w:r>
      <w:r>
        <w:rPr>
          <w:rFonts w:hint="eastAsia" w:ascii="仿宋" w:hAnsi="仿宋" w:eastAsia="仿宋"/>
          <w:sz w:val="32"/>
          <w:szCs w:val="32"/>
        </w:rPr>
        <w:t>其他广播电视支出</w:t>
      </w:r>
      <w:r>
        <w:rPr>
          <w:rFonts w:ascii="仿宋" w:hAnsi="仿宋" w:eastAsia="仿宋"/>
          <w:sz w:val="32"/>
          <w:szCs w:val="32"/>
        </w:rPr>
        <w:t>（</w:t>
      </w:r>
      <w:r>
        <w:rPr>
          <w:rFonts w:hint="eastAsia" w:ascii="仿宋" w:hAnsi="仿宋" w:eastAsia="仿宋"/>
          <w:sz w:val="32"/>
          <w:szCs w:val="32"/>
        </w:rPr>
        <w:t>项</w:t>
      </w:r>
      <w:r>
        <w:rPr>
          <w:rFonts w:ascii="仿宋" w:hAnsi="仿宋" w:eastAsia="仿宋"/>
          <w:sz w:val="32"/>
          <w:szCs w:val="32"/>
        </w:rPr>
        <w:t>）</w:t>
      </w:r>
      <w:r>
        <w:rPr>
          <w:rFonts w:hint="eastAsia" w:ascii="仿宋" w:hAnsi="仿宋" w:eastAsia="仿宋"/>
          <w:sz w:val="32"/>
          <w:szCs w:val="32"/>
        </w:rPr>
        <w:t>：指用</w:t>
      </w:r>
      <w:r>
        <w:rPr>
          <w:rFonts w:ascii="仿宋" w:hAnsi="仿宋" w:eastAsia="仿宋"/>
          <w:sz w:val="32"/>
          <w:szCs w:val="32"/>
        </w:rPr>
        <w:t>于广播运行维</w:t>
      </w:r>
      <w:r>
        <w:rPr>
          <w:rFonts w:hint="eastAsia" w:ascii="仿宋" w:hAnsi="仿宋" w:eastAsia="仿宋"/>
          <w:sz w:val="32"/>
          <w:szCs w:val="32"/>
        </w:rPr>
        <w:t>护</w:t>
      </w:r>
      <w:r>
        <w:rPr>
          <w:rFonts w:ascii="仿宋" w:hAnsi="仿宋" w:eastAsia="仿宋"/>
          <w:sz w:val="32"/>
          <w:szCs w:val="32"/>
        </w:rPr>
        <w:t>支出</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 社会</w:t>
      </w:r>
      <w:r>
        <w:rPr>
          <w:rFonts w:ascii="仿宋" w:hAnsi="仿宋" w:eastAsia="仿宋"/>
          <w:sz w:val="32"/>
          <w:szCs w:val="32"/>
        </w:rPr>
        <w:t>保障和就业（</w:t>
      </w:r>
      <w:r>
        <w:rPr>
          <w:rFonts w:hint="eastAsia" w:ascii="仿宋" w:hAnsi="仿宋" w:eastAsia="仿宋"/>
          <w:sz w:val="32"/>
          <w:szCs w:val="32"/>
        </w:rPr>
        <w:t>类</w:t>
      </w:r>
      <w:r>
        <w:rPr>
          <w:rFonts w:ascii="仿宋" w:hAnsi="仿宋" w:eastAsia="仿宋"/>
          <w:sz w:val="32"/>
          <w:szCs w:val="32"/>
        </w:rPr>
        <w:t>）</w:t>
      </w:r>
      <w:r>
        <w:rPr>
          <w:rFonts w:hint="eastAsia" w:ascii="仿宋" w:hAnsi="仿宋" w:eastAsia="仿宋"/>
          <w:sz w:val="32"/>
          <w:szCs w:val="32"/>
        </w:rPr>
        <w:t>民政</w:t>
      </w:r>
      <w:r>
        <w:rPr>
          <w:rFonts w:ascii="仿宋" w:hAnsi="仿宋" w:eastAsia="仿宋"/>
          <w:sz w:val="32"/>
          <w:szCs w:val="32"/>
        </w:rPr>
        <w:t>管理事务</w:t>
      </w:r>
      <w:r>
        <w:rPr>
          <w:rFonts w:hint="eastAsia" w:ascii="仿宋" w:hAnsi="仿宋" w:eastAsia="仿宋"/>
          <w:sz w:val="32"/>
          <w:szCs w:val="32"/>
        </w:rPr>
        <w:t>（款）基层政权</w:t>
      </w:r>
      <w:r>
        <w:rPr>
          <w:rFonts w:ascii="仿宋" w:hAnsi="仿宋" w:eastAsia="仿宋"/>
          <w:sz w:val="32"/>
          <w:szCs w:val="32"/>
        </w:rPr>
        <w:t>和社区</w:t>
      </w:r>
      <w:r>
        <w:rPr>
          <w:rFonts w:hint="eastAsia" w:ascii="仿宋" w:hAnsi="仿宋" w:eastAsia="仿宋"/>
          <w:sz w:val="32"/>
          <w:szCs w:val="32"/>
        </w:rPr>
        <w:t>治理（项）：指</w:t>
      </w:r>
      <w:r>
        <w:rPr>
          <w:rFonts w:ascii="仿宋" w:hAnsi="仿宋" w:eastAsia="仿宋"/>
          <w:sz w:val="32"/>
          <w:szCs w:val="32"/>
        </w:rPr>
        <w:t>用于社区干部生活补助</w:t>
      </w:r>
      <w:r>
        <w:rPr>
          <w:rFonts w:hint="eastAsia" w:ascii="仿宋" w:hAnsi="仿宋" w:eastAsia="仿宋"/>
          <w:sz w:val="32"/>
          <w:szCs w:val="32"/>
        </w:rPr>
        <w:t>和</w:t>
      </w:r>
      <w:r>
        <w:rPr>
          <w:rFonts w:ascii="仿宋" w:hAnsi="仿宋" w:eastAsia="仿宋"/>
          <w:sz w:val="32"/>
          <w:szCs w:val="32"/>
        </w:rPr>
        <w:t>社会保障缴费支出</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sz w:val="32"/>
          <w:szCs w:val="32"/>
        </w:rPr>
        <w:t>社会</w:t>
      </w:r>
      <w:r>
        <w:rPr>
          <w:rFonts w:ascii="仿宋" w:hAnsi="仿宋" w:eastAsia="仿宋"/>
          <w:sz w:val="32"/>
          <w:szCs w:val="32"/>
        </w:rPr>
        <w:t>保障和就业（</w:t>
      </w:r>
      <w:r>
        <w:rPr>
          <w:rFonts w:hint="eastAsia" w:ascii="仿宋" w:hAnsi="仿宋" w:eastAsia="仿宋"/>
          <w:sz w:val="32"/>
          <w:szCs w:val="32"/>
        </w:rPr>
        <w:t>类</w:t>
      </w:r>
      <w:r>
        <w:rPr>
          <w:rFonts w:ascii="仿宋" w:hAnsi="仿宋" w:eastAsia="仿宋"/>
          <w:sz w:val="32"/>
          <w:szCs w:val="32"/>
        </w:rPr>
        <w:t>）</w:t>
      </w:r>
      <w:r>
        <w:rPr>
          <w:rFonts w:hint="eastAsia" w:ascii="仿宋" w:hAnsi="仿宋" w:eastAsia="仿宋"/>
          <w:sz w:val="32"/>
          <w:szCs w:val="32"/>
        </w:rPr>
        <w:t>行政事业</w:t>
      </w:r>
      <w:r>
        <w:rPr>
          <w:rFonts w:ascii="仿宋" w:hAnsi="仿宋" w:eastAsia="仿宋"/>
          <w:sz w:val="32"/>
          <w:szCs w:val="32"/>
        </w:rPr>
        <w:t>单位</w:t>
      </w:r>
      <w:r>
        <w:rPr>
          <w:rFonts w:hint="eastAsia" w:ascii="仿宋" w:hAnsi="仿宋" w:eastAsia="仿宋"/>
          <w:sz w:val="32"/>
          <w:szCs w:val="32"/>
        </w:rPr>
        <w:t>养老支出（款）机关事业单位基本养老保险缴费支出（项）：指用</w:t>
      </w:r>
      <w:r>
        <w:rPr>
          <w:rFonts w:ascii="仿宋" w:hAnsi="仿宋" w:eastAsia="仿宋"/>
          <w:sz w:val="32"/>
          <w:szCs w:val="32"/>
        </w:rPr>
        <w:t>于机关事业单位基本养老保险金缴费支出</w:t>
      </w:r>
      <w:r>
        <w:rPr>
          <w:rFonts w:hint="eastAsia" w:ascii="仿宋" w:hAnsi="仿宋" w:eastAsia="仿宋"/>
          <w:sz w:val="32"/>
          <w:szCs w:val="32"/>
        </w:rPr>
        <w:t>；机关事业单位职业年金缴费支出（项）：指用</w:t>
      </w:r>
      <w:r>
        <w:rPr>
          <w:rFonts w:ascii="仿宋" w:hAnsi="仿宋" w:eastAsia="仿宋"/>
          <w:sz w:val="32"/>
          <w:szCs w:val="32"/>
        </w:rPr>
        <w:t>于机关事业单位职</w:t>
      </w:r>
      <w:r>
        <w:rPr>
          <w:rFonts w:hint="eastAsia" w:ascii="仿宋" w:hAnsi="仿宋" w:eastAsia="仿宋"/>
          <w:sz w:val="32"/>
          <w:szCs w:val="32"/>
        </w:rPr>
        <w:t>业</w:t>
      </w:r>
      <w:r>
        <w:rPr>
          <w:rFonts w:ascii="仿宋" w:hAnsi="仿宋" w:eastAsia="仿宋"/>
          <w:sz w:val="32"/>
          <w:szCs w:val="32"/>
        </w:rPr>
        <w:t>年金缴费支出</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sz w:val="32"/>
          <w:szCs w:val="32"/>
        </w:rPr>
        <w:t>社会</w:t>
      </w:r>
      <w:r>
        <w:rPr>
          <w:rFonts w:ascii="仿宋" w:hAnsi="仿宋" w:eastAsia="仿宋"/>
          <w:sz w:val="32"/>
          <w:szCs w:val="32"/>
        </w:rPr>
        <w:t>保障和就业（</w:t>
      </w:r>
      <w:r>
        <w:rPr>
          <w:rFonts w:hint="eastAsia" w:ascii="仿宋" w:hAnsi="仿宋" w:eastAsia="仿宋"/>
          <w:sz w:val="32"/>
          <w:szCs w:val="32"/>
        </w:rPr>
        <w:t>类</w:t>
      </w:r>
      <w:r>
        <w:rPr>
          <w:rFonts w:ascii="仿宋" w:hAnsi="仿宋" w:eastAsia="仿宋"/>
          <w:sz w:val="32"/>
          <w:szCs w:val="32"/>
        </w:rPr>
        <w:t>）</w:t>
      </w:r>
      <w:r>
        <w:rPr>
          <w:rFonts w:hint="eastAsia" w:ascii="仿宋" w:hAnsi="仿宋" w:eastAsia="仿宋"/>
          <w:sz w:val="32"/>
          <w:szCs w:val="32"/>
        </w:rPr>
        <w:t>就业补助（款）公益性岗位补贴（项）：指用</w:t>
      </w:r>
      <w:r>
        <w:rPr>
          <w:rFonts w:ascii="仿宋" w:hAnsi="仿宋" w:eastAsia="仿宋"/>
          <w:sz w:val="32"/>
          <w:szCs w:val="32"/>
        </w:rPr>
        <w:t>于</w:t>
      </w:r>
      <w:r>
        <w:rPr>
          <w:rFonts w:hint="eastAsia" w:ascii="仿宋" w:hAnsi="仿宋" w:eastAsia="仿宋"/>
          <w:sz w:val="32"/>
          <w:szCs w:val="32"/>
        </w:rPr>
        <w:t>公益性岗位人员工资和社会保障缴费</w:t>
      </w:r>
      <w:r>
        <w:rPr>
          <w:rFonts w:ascii="仿宋" w:hAnsi="仿宋" w:eastAsia="仿宋"/>
          <w:sz w:val="32"/>
          <w:szCs w:val="32"/>
        </w:rPr>
        <w:t>支出</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sz w:val="32"/>
          <w:szCs w:val="32"/>
        </w:rPr>
        <w:t>社会</w:t>
      </w:r>
      <w:r>
        <w:rPr>
          <w:rFonts w:ascii="仿宋" w:hAnsi="仿宋" w:eastAsia="仿宋"/>
          <w:sz w:val="32"/>
          <w:szCs w:val="32"/>
        </w:rPr>
        <w:t>保障和就业（</w:t>
      </w:r>
      <w:r>
        <w:rPr>
          <w:rFonts w:hint="eastAsia" w:ascii="仿宋" w:hAnsi="仿宋" w:eastAsia="仿宋"/>
          <w:sz w:val="32"/>
          <w:szCs w:val="32"/>
        </w:rPr>
        <w:t>类</w:t>
      </w:r>
      <w:r>
        <w:rPr>
          <w:rFonts w:ascii="仿宋" w:hAnsi="仿宋" w:eastAsia="仿宋"/>
          <w:sz w:val="32"/>
          <w:szCs w:val="32"/>
        </w:rPr>
        <w:t>）</w:t>
      </w:r>
      <w:r>
        <w:rPr>
          <w:rFonts w:hint="eastAsia" w:ascii="仿宋" w:hAnsi="仿宋" w:eastAsia="仿宋"/>
          <w:sz w:val="32"/>
          <w:szCs w:val="32"/>
        </w:rPr>
        <w:t>抚恤（款）其它优抚支出（项）：指用</w:t>
      </w:r>
      <w:r>
        <w:rPr>
          <w:rFonts w:ascii="仿宋" w:hAnsi="仿宋" w:eastAsia="仿宋"/>
          <w:sz w:val="32"/>
          <w:szCs w:val="32"/>
        </w:rPr>
        <w:t>于</w:t>
      </w:r>
      <w:r>
        <w:rPr>
          <w:rFonts w:hint="eastAsia" w:ascii="仿宋" w:hAnsi="仿宋" w:eastAsia="仿宋"/>
          <w:sz w:val="32"/>
          <w:szCs w:val="32"/>
        </w:rPr>
        <w:t>遗属补助</w:t>
      </w:r>
      <w:r>
        <w:rPr>
          <w:rFonts w:ascii="仿宋" w:hAnsi="仿宋" w:eastAsia="仿宋"/>
          <w:sz w:val="32"/>
          <w:szCs w:val="32"/>
        </w:rPr>
        <w:t>支出</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sz w:val="32"/>
          <w:szCs w:val="32"/>
        </w:rPr>
        <w:t>社会</w:t>
      </w:r>
      <w:r>
        <w:rPr>
          <w:rFonts w:ascii="仿宋" w:hAnsi="仿宋" w:eastAsia="仿宋"/>
          <w:sz w:val="32"/>
          <w:szCs w:val="32"/>
        </w:rPr>
        <w:t>保障和就业（</w:t>
      </w:r>
      <w:r>
        <w:rPr>
          <w:rFonts w:hint="eastAsia" w:ascii="仿宋" w:hAnsi="仿宋" w:eastAsia="仿宋"/>
          <w:sz w:val="32"/>
          <w:szCs w:val="32"/>
        </w:rPr>
        <w:t>类</w:t>
      </w:r>
      <w:r>
        <w:rPr>
          <w:rFonts w:ascii="仿宋" w:hAnsi="仿宋" w:eastAsia="仿宋"/>
          <w:sz w:val="32"/>
          <w:szCs w:val="32"/>
        </w:rPr>
        <w:t>）</w:t>
      </w:r>
      <w:r>
        <w:rPr>
          <w:rFonts w:hint="eastAsia" w:ascii="仿宋" w:hAnsi="仿宋" w:eastAsia="仿宋"/>
          <w:sz w:val="32"/>
          <w:szCs w:val="32"/>
        </w:rPr>
        <w:t>退役安置（款）其他退役安置支出（项）：指用</w:t>
      </w:r>
      <w:r>
        <w:rPr>
          <w:rFonts w:ascii="仿宋" w:hAnsi="仿宋" w:eastAsia="仿宋"/>
          <w:sz w:val="32"/>
          <w:szCs w:val="32"/>
        </w:rPr>
        <w:t>于</w:t>
      </w:r>
      <w:r>
        <w:rPr>
          <w:rFonts w:hint="eastAsia" w:ascii="仿宋" w:hAnsi="仿宋" w:eastAsia="仿宋"/>
          <w:sz w:val="32"/>
          <w:szCs w:val="32"/>
        </w:rPr>
        <w:t>天空山村军转干活动经费支出。</w:t>
      </w:r>
    </w:p>
    <w:p>
      <w:pPr>
        <w:spacing w:line="600" w:lineRule="exact"/>
        <w:ind w:firstLine="640"/>
        <w:rPr>
          <w:rFonts w:ascii="仿宋" w:hAnsi="仿宋" w:eastAsia="仿宋"/>
          <w:sz w:val="32"/>
          <w:szCs w:val="32"/>
        </w:rPr>
      </w:pPr>
      <w:r>
        <w:rPr>
          <w:rFonts w:hint="eastAsia" w:ascii="仿宋" w:hAnsi="仿宋" w:eastAsia="仿宋"/>
          <w:sz w:val="32"/>
          <w:szCs w:val="32"/>
        </w:rPr>
        <w:t>社会</w:t>
      </w:r>
      <w:r>
        <w:rPr>
          <w:rFonts w:ascii="仿宋" w:hAnsi="仿宋" w:eastAsia="仿宋"/>
          <w:sz w:val="32"/>
          <w:szCs w:val="32"/>
        </w:rPr>
        <w:t>保障和就业（</w:t>
      </w:r>
      <w:r>
        <w:rPr>
          <w:rFonts w:hint="eastAsia" w:ascii="仿宋" w:hAnsi="仿宋" w:eastAsia="仿宋"/>
          <w:sz w:val="32"/>
          <w:szCs w:val="32"/>
        </w:rPr>
        <w:t>类</w:t>
      </w:r>
      <w:r>
        <w:rPr>
          <w:rFonts w:ascii="仿宋" w:hAnsi="仿宋" w:eastAsia="仿宋"/>
          <w:sz w:val="32"/>
          <w:szCs w:val="32"/>
        </w:rPr>
        <w:t>）</w:t>
      </w:r>
      <w:r>
        <w:rPr>
          <w:rFonts w:hint="eastAsia" w:ascii="仿宋" w:hAnsi="仿宋" w:eastAsia="仿宋"/>
          <w:sz w:val="32"/>
          <w:szCs w:val="32"/>
        </w:rPr>
        <w:t>社会福利（款）养老服务（项）：指用</w:t>
      </w:r>
      <w:r>
        <w:rPr>
          <w:rFonts w:ascii="仿宋" w:hAnsi="仿宋" w:eastAsia="仿宋"/>
          <w:sz w:val="32"/>
          <w:szCs w:val="32"/>
        </w:rPr>
        <w:t>于</w:t>
      </w:r>
      <w:r>
        <w:rPr>
          <w:rFonts w:hint="eastAsia" w:ascii="仿宋" w:hAnsi="仿宋" w:eastAsia="仿宋"/>
          <w:sz w:val="32"/>
          <w:szCs w:val="32"/>
        </w:rPr>
        <w:t>棉竹镇社区养老综合体工程建设支出。</w:t>
      </w:r>
    </w:p>
    <w:p>
      <w:pPr>
        <w:spacing w:line="600" w:lineRule="exact"/>
        <w:ind w:firstLine="640"/>
        <w:rPr>
          <w:rFonts w:ascii="仿宋" w:hAnsi="仿宋" w:eastAsia="仿宋"/>
          <w:sz w:val="32"/>
          <w:szCs w:val="32"/>
        </w:rPr>
      </w:pPr>
      <w:r>
        <w:rPr>
          <w:rFonts w:hint="eastAsia" w:ascii="仿宋" w:hAnsi="仿宋" w:eastAsia="仿宋"/>
          <w:sz w:val="32"/>
          <w:szCs w:val="32"/>
        </w:rPr>
        <w:t>社会</w:t>
      </w:r>
      <w:r>
        <w:rPr>
          <w:rFonts w:ascii="仿宋" w:hAnsi="仿宋" w:eastAsia="仿宋"/>
          <w:sz w:val="32"/>
          <w:szCs w:val="32"/>
        </w:rPr>
        <w:t>保障和就业（</w:t>
      </w:r>
      <w:r>
        <w:rPr>
          <w:rFonts w:hint="eastAsia" w:ascii="仿宋" w:hAnsi="仿宋" w:eastAsia="仿宋"/>
          <w:sz w:val="32"/>
          <w:szCs w:val="32"/>
        </w:rPr>
        <w:t>类</w:t>
      </w:r>
      <w:r>
        <w:rPr>
          <w:rFonts w:ascii="仿宋" w:hAnsi="仿宋" w:eastAsia="仿宋"/>
          <w:sz w:val="32"/>
          <w:szCs w:val="32"/>
        </w:rPr>
        <w:t>）</w:t>
      </w:r>
      <w:r>
        <w:rPr>
          <w:rFonts w:hint="eastAsia" w:ascii="仿宋" w:hAnsi="仿宋" w:eastAsia="仿宋"/>
          <w:sz w:val="32"/>
          <w:szCs w:val="32"/>
        </w:rPr>
        <w:t>残疾人事业（款）其他残疾人事业支出（项）：指用</w:t>
      </w:r>
      <w:r>
        <w:rPr>
          <w:rFonts w:ascii="仿宋" w:hAnsi="仿宋" w:eastAsia="仿宋"/>
          <w:sz w:val="32"/>
          <w:szCs w:val="32"/>
        </w:rPr>
        <w:t>于行政事业单位</w:t>
      </w:r>
      <w:r>
        <w:rPr>
          <w:rFonts w:hint="eastAsia" w:ascii="仿宋" w:hAnsi="仿宋" w:eastAsia="仿宋"/>
          <w:sz w:val="32"/>
          <w:szCs w:val="32"/>
        </w:rPr>
        <w:t>残疾</w:t>
      </w:r>
      <w:r>
        <w:rPr>
          <w:rFonts w:ascii="仿宋" w:hAnsi="仿宋" w:eastAsia="仿宋"/>
          <w:sz w:val="32"/>
          <w:szCs w:val="32"/>
        </w:rPr>
        <w:t>人保障</w:t>
      </w:r>
      <w:r>
        <w:rPr>
          <w:rFonts w:hint="eastAsia" w:ascii="仿宋" w:hAnsi="仿宋" w:eastAsia="仿宋"/>
          <w:sz w:val="32"/>
          <w:szCs w:val="32"/>
        </w:rPr>
        <w:t>金</w:t>
      </w:r>
      <w:r>
        <w:rPr>
          <w:rFonts w:ascii="仿宋" w:hAnsi="仿宋" w:eastAsia="仿宋"/>
          <w:sz w:val="32"/>
          <w:szCs w:val="32"/>
        </w:rPr>
        <w:t>缴费支出</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 xml:space="preserve"> 卫生健康支出（类）公共卫生（款）重大公共卫生服务（项）：指用</w:t>
      </w:r>
      <w:r>
        <w:rPr>
          <w:rFonts w:ascii="仿宋" w:hAnsi="仿宋" w:eastAsia="仿宋"/>
          <w:sz w:val="32"/>
          <w:szCs w:val="32"/>
        </w:rPr>
        <w:t>于</w:t>
      </w:r>
      <w:r>
        <w:rPr>
          <w:rFonts w:hint="eastAsia" w:ascii="仿宋" w:hAnsi="仿宋" w:eastAsia="仿宋"/>
          <w:sz w:val="32"/>
          <w:szCs w:val="32"/>
        </w:rPr>
        <w:t>疫情防控相关</w:t>
      </w:r>
      <w:r>
        <w:rPr>
          <w:rFonts w:ascii="仿宋" w:hAnsi="仿宋" w:eastAsia="仿宋"/>
          <w:sz w:val="32"/>
          <w:szCs w:val="32"/>
        </w:rPr>
        <w:t>支出</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sz w:val="32"/>
          <w:szCs w:val="32"/>
        </w:rPr>
        <w:t>卫生健康支出（类）行政事业单位医疗（款）行政单位医疗（项）：指用</w:t>
      </w:r>
      <w:r>
        <w:rPr>
          <w:rFonts w:ascii="仿宋" w:hAnsi="仿宋" w:eastAsia="仿宋"/>
          <w:sz w:val="32"/>
          <w:szCs w:val="32"/>
        </w:rPr>
        <w:t>于</w:t>
      </w:r>
      <w:r>
        <w:rPr>
          <w:rFonts w:hint="eastAsia" w:ascii="仿宋" w:hAnsi="仿宋" w:eastAsia="仿宋"/>
          <w:sz w:val="32"/>
          <w:szCs w:val="32"/>
        </w:rPr>
        <w:t>行政</w:t>
      </w:r>
      <w:r>
        <w:rPr>
          <w:rFonts w:ascii="仿宋" w:hAnsi="仿宋" w:eastAsia="仿宋"/>
          <w:sz w:val="32"/>
          <w:szCs w:val="32"/>
        </w:rPr>
        <w:t>单位医疗保险缴费支出</w:t>
      </w:r>
      <w:r>
        <w:rPr>
          <w:rFonts w:hint="eastAsia" w:ascii="仿宋" w:hAnsi="仿宋" w:eastAsia="仿宋"/>
          <w:sz w:val="32"/>
          <w:szCs w:val="32"/>
        </w:rPr>
        <w:t>；事业单位医疗（项）：指用事业</w:t>
      </w:r>
      <w:r>
        <w:rPr>
          <w:rFonts w:ascii="仿宋" w:hAnsi="仿宋" w:eastAsia="仿宋"/>
          <w:sz w:val="32"/>
          <w:szCs w:val="32"/>
        </w:rPr>
        <w:t>单位医疗保险缴费支出</w:t>
      </w:r>
      <w:r>
        <w:rPr>
          <w:rFonts w:hint="eastAsia" w:ascii="仿宋" w:hAnsi="仿宋" w:eastAsia="仿宋"/>
          <w:sz w:val="32"/>
          <w:szCs w:val="32"/>
        </w:rPr>
        <w:t>。公务员医疗补助（项）：指用于行政单位公务员医疗补助费支出。</w:t>
      </w:r>
    </w:p>
    <w:p>
      <w:pPr>
        <w:spacing w:line="600" w:lineRule="exact"/>
        <w:ind w:firstLine="640"/>
        <w:rPr>
          <w:rFonts w:ascii="仿宋" w:hAnsi="仿宋" w:eastAsia="仿宋"/>
          <w:sz w:val="32"/>
          <w:szCs w:val="32"/>
        </w:rPr>
      </w:pPr>
      <w:r>
        <w:rPr>
          <w:rFonts w:hint="eastAsia" w:ascii="仿宋" w:hAnsi="仿宋" w:eastAsia="仿宋"/>
          <w:sz w:val="32"/>
          <w:szCs w:val="32"/>
        </w:rPr>
        <w:t>卫生健康（类）其他卫生健康（款）其他卫生健康支出（项）：指用</w:t>
      </w:r>
      <w:r>
        <w:rPr>
          <w:rFonts w:ascii="仿宋" w:hAnsi="仿宋" w:eastAsia="仿宋"/>
          <w:sz w:val="32"/>
          <w:szCs w:val="32"/>
        </w:rPr>
        <w:t>于</w:t>
      </w:r>
      <w:r>
        <w:rPr>
          <w:rFonts w:hint="eastAsia" w:ascii="仿宋" w:hAnsi="仿宋" w:eastAsia="仿宋"/>
          <w:sz w:val="32"/>
          <w:szCs w:val="32"/>
        </w:rPr>
        <w:t>疫情防控、献血补助等支出。</w:t>
      </w:r>
    </w:p>
    <w:p>
      <w:pPr>
        <w:spacing w:line="600" w:lineRule="exact"/>
        <w:ind w:firstLine="640"/>
        <w:rPr>
          <w:rFonts w:ascii="仿宋" w:hAnsi="仿宋" w:eastAsia="仿宋"/>
          <w:sz w:val="32"/>
          <w:szCs w:val="32"/>
        </w:rPr>
      </w:pPr>
      <w:r>
        <w:rPr>
          <w:rFonts w:hint="eastAsia" w:ascii="仿宋" w:hAnsi="仿宋" w:eastAsia="仿宋"/>
          <w:sz w:val="32"/>
          <w:szCs w:val="32"/>
        </w:rPr>
        <w:t>10、城乡社区支出（类）城乡社区管理事务（款）其它城乡社区管理事务支出（项）：指</w:t>
      </w:r>
      <w:r>
        <w:rPr>
          <w:rFonts w:ascii="仿宋" w:hAnsi="仿宋" w:eastAsia="仿宋"/>
          <w:sz w:val="32"/>
          <w:szCs w:val="32"/>
        </w:rPr>
        <w:t>用于</w:t>
      </w:r>
      <w:r>
        <w:rPr>
          <w:rFonts w:hint="eastAsia" w:ascii="仿宋" w:hAnsi="仿宋" w:eastAsia="仿宋"/>
          <w:sz w:val="32"/>
          <w:szCs w:val="32"/>
        </w:rPr>
        <w:t>专职网格员工资、社会保障缴费等支</w:t>
      </w:r>
      <w:r>
        <w:rPr>
          <w:rFonts w:ascii="仿宋" w:hAnsi="仿宋" w:eastAsia="仿宋"/>
          <w:sz w:val="32"/>
          <w:szCs w:val="32"/>
        </w:rPr>
        <w:t>出。</w:t>
      </w:r>
    </w:p>
    <w:p>
      <w:pPr>
        <w:spacing w:line="600" w:lineRule="exact"/>
        <w:ind w:firstLine="640"/>
        <w:rPr>
          <w:rFonts w:ascii="仿宋" w:hAnsi="仿宋" w:eastAsia="仿宋"/>
          <w:sz w:val="32"/>
          <w:szCs w:val="32"/>
        </w:rPr>
      </w:pPr>
      <w:r>
        <w:rPr>
          <w:rFonts w:hint="eastAsia" w:ascii="仿宋" w:hAnsi="仿宋" w:eastAsia="仿宋"/>
          <w:sz w:val="32"/>
          <w:szCs w:val="32"/>
        </w:rPr>
        <w:t>城乡社区支出（类）其它城乡社区支出（款）其它城乡社区支出（项）：指</w:t>
      </w:r>
      <w:r>
        <w:rPr>
          <w:rFonts w:ascii="仿宋" w:hAnsi="仿宋" w:eastAsia="仿宋"/>
          <w:sz w:val="32"/>
          <w:szCs w:val="32"/>
        </w:rPr>
        <w:t>用于</w:t>
      </w:r>
      <w:r>
        <w:rPr>
          <w:rFonts w:hint="eastAsia" w:ascii="仿宋" w:hAnsi="仿宋" w:eastAsia="仿宋"/>
          <w:sz w:val="32"/>
          <w:szCs w:val="32"/>
        </w:rPr>
        <w:t>大棚房专项整治经费等支</w:t>
      </w:r>
      <w:r>
        <w:rPr>
          <w:rFonts w:ascii="仿宋" w:hAnsi="仿宋" w:eastAsia="仿宋"/>
          <w:sz w:val="32"/>
          <w:szCs w:val="32"/>
        </w:rPr>
        <w:t>出。</w:t>
      </w:r>
    </w:p>
    <w:p>
      <w:pPr>
        <w:spacing w:line="600" w:lineRule="exact"/>
        <w:ind w:firstLine="640"/>
        <w:rPr>
          <w:rFonts w:ascii="仿宋" w:hAnsi="仿宋" w:eastAsia="仿宋"/>
          <w:sz w:val="32"/>
          <w:szCs w:val="32"/>
        </w:rPr>
      </w:pPr>
      <w:r>
        <w:rPr>
          <w:rFonts w:hint="eastAsia" w:ascii="仿宋" w:hAnsi="仿宋" w:eastAsia="仿宋"/>
          <w:sz w:val="32"/>
          <w:szCs w:val="32"/>
        </w:rPr>
        <w:t>11、农林水支出（类）农业农村（款）事业运行（项）：指用于内设事业中心人员工资支出；农村道路建设（项）：指用于各村道路维修维护相关支出；对高校毕业生到基层任职补助（项）：指用</w:t>
      </w:r>
      <w:r>
        <w:rPr>
          <w:rFonts w:ascii="仿宋" w:hAnsi="仿宋" w:eastAsia="仿宋"/>
          <w:sz w:val="32"/>
          <w:szCs w:val="32"/>
        </w:rPr>
        <w:t>于三支一</w:t>
      </w:r>
      <w:r>
        <w:rPr>
          <w:rFonts w:hint="eastAsia" w:ascii="仿宋" w:hAnsi="仿宋" w:eastAsia="仿宋"/>
          <w:sz w:val="32"/>
          <w:szCs w:val="32"/>
        </w:rPr>
        <w:t>扶</w:t>
      </w:r>
      <w:r>
        <w:rPr>
          <w:rFonts w:ascii="仿宋" w:hAnsi="仿宋" w:eastAsia="仿宋"/>
          <w:sz w:val="32"/>
          <w:szCs w:val="32"/>
        </w:rPr>
        <w:t>人员</w:t>
      </w:r>
      <w:r>
        <w:rPr>
          <w:rFonts w:hint="eastAsia" w:ascii="仿宋" w:hAnsi="仿宋" w:eastAsia="仿宋"/>
          <w:sz w:val="32"/>
          <w:szCs w:val="32"/>
        </w:rPr>
        <w:t>的</w:t>
      </w:r>
      <w:r>
        <w:rPr>
          <w:rFonts w:ascii="仿宋" w:hAnsi="仿宋" w:eastAsia="仿宋"/>
          <w:sz w:val="32"/>
          <w:szCs w:val="32"/>
        </w:rPr>
        <w:t>工</w:t>
      </w:r>
      <w:r>
        <w:rPr>
          <w:rFonts w:hint="eastAsia" w:ascii="仿宋" w:hAnsi="仿宋" w:eastAsia="仿宋"/>
          <w:sz w:val="32"/>
          <w:szCs w:val="32"/>
        </w:rPr>
        <w:t>资</w:t>
      </w:r>
      <w:r>
        <w:rPr>
          <w:rFonts w:ascii="仿宋" w:hAnsi="仿宋" w:eastAsia="仿宋"/>
          <w:sz w:val="32"/>
          <w:szCs w:val="32"/>
        </w:rPr>
        <w:t>、社</w:t>
      </w:r>
      <w:r>
        <w:rPr>
          <w:rFonts w:hint="eastAsia" w:ascii="仿宋" w:hAnsi="仿宋" w:eastAsia="仿宋"/>
          <w:sz w:val="32"/>
          <w:szCs w:val="32"/>
        </w:rPr>
        <w:t>会</w:t>
      </w:r>
      <w:r>
        <w:rPr>
          <w:rFonts w:ascii="仿宋" w:hAnsi="仿宋" w:eastAsia="仿宋"/>
          <w:sz w:val="32"/>
          <w:szCs w:val="32"/>
        </w:rPr>
        <w:t>保障缴费等支出</w:t>
      </w:r>
      <w:r>
        <w:rPr>
          <w:rFonts w:hint="eastAsia" w:ascii="仿宋" w:hAnsi="仿宋" w:eastAsia="仿宋"/>
          <w:sz w:val="32"/>
          <w:szCs w:val="32"/>
        </w:rPr>
        <w:t>。其他农业农村支出（项）：指用于社区办公场所物业管理费用、乡村振兴示范点建设、社工岗人员工资和社会保障缴费支出、心连心岗便民服务点经费等支出。</w:t>
      </w:r>
    </w:p>
    <w:p>
      <w:pPr>
        <w:spacing w:line="600" w:lineRule="exact"/>
        <w:ind w:firstLine="640"/>
        <w:rPr>
          <w:rFonts w:ascii="仿宋" w:hAnsi="仿宋" w:eastAsia="仿宋"/>
          <w:sz w:val="32"/>
          <w:szCs w:val="32"/>
        </w:rPr>
      </w:pPr>
      <w:r>
        <w:rPr>
          <w:rFonts w:hint="eastAsia" w:ascii="仿宋" w:hAnsi="仿宋" w:eastAsia="仿宋"/>
          <w:sz w:val="32"/>
          <w:szCs w:val="32"/>
        </w:rPr>
        <w:t>农林水支出（类）水利（款）其他水利支出（项）：指用</w:t>
      </w:r>
      <w:r>
        <w:rPr>
          <w:rFonts w:ascii="仿宋" w:hAnsi="仿宋" w:eastAsia="仿宋"/>
          <w:sz w:val="32"/>
          <w:szCs w:val="32"/>
        </w:rPr>
        <w:t>于</w:t>
      </w:r>
      <w:r>
        <w:rPr>
          <w:rFonts w:hint="eastAsia" w:ascii="仿宋" w:hAnsi="仿宋" w:eastAsia="仿宋"/>
          <w:sz w:val="32"/>
          <w:szCs w:val="32"/>
        </w:rPr>
        <w:t>天宫山村小二型水库日常维护经费支出。巩固脱贫衔接乡村振兴支出（项）：指用</w:t>
      </w:r>
      <w:r>
        <w:rPr>
          <w:rFonts w:ascii="仿宋" w:hAnsi="仿宋" w:eastAsia="仿宋"/>
          <w:sz w:val="32"/>
          <w:szCs w:val="32"/>
        </w:rPr>
        <w:t>于</w:t>
      </w:r>
      <w:r>
        <w:rPr>
          <w:rFonts w:hint="eastAsia" w:ascii="仿宋" w:hAnsi="仿宋" w:eastAsia="仿宋"/>
          <w:sz w:val="32"/>
          <w:szCs w:val="32"/>
        </w:rPr>
        <w:t>脱贫攻坚成果巩固工作、乡村振兴原仙米寺村产业道路建设工程支出。</w:t>
      </w:r>
    </w:p>
    <w:p>
      <w:pPr>
        <w:spacing w:line="600" w:lineRule="exact"/>
        <w:ind w:firstLine="640"/>
        <w:rPr>
          <w:rFonts w:ascii="仿宋" w:hAnsi="仿宋" w:eastAsia="仿宋"/>
          <w:sz w:val="32"/>
          <w:szCs w:val="32"/>
        </w:rPr>
      </w:pPr>
      <w:r>
        <w:rPr>
          <w:rFonts w:hint="eastAsia" w:ascii="仿宋" w:hAnsi="仿宋" w:eastAsia="仿宋"/>
          <w:sz w:val="32"/>
          <w:szCs w:val="32"/>
        </w:rPr>
        <w:t>农林水支出（类）农村综合改革（款）对村民委员会和村党支部的补助（项）：指用</w:t>
      </w:r>
      <w:r>
        <w:rPr>
          <w:rFonts w:ascii="仿宋" w:hAnsi="仿宋" w:eastAsia="仿宋"/>
          <w:sz w:val="32"/>
          <w:szCs w:val="32"/>
        </w:rPr>
        <w:t>于</w:t>
      </w:r>
      <w:r>
        <w:rPr>
          <w:rFonts w:hint="eastAsia" w:ascii="仿宋" w:hAnsi="仿宋" w:eastAsia="仿宋"/>
          <w:sz w:val="32"/>
          <w:szCs w:val="32"/>
        </w:rPr>
        <w:t>各村、社区干部工资、保险缴费、绩效工资、办公经费等支出。</w:t>
      </w:r>
    </w:p>
    <w:p>
      <w:pPr>
        <w:spacing w:line="600" w:lineRule="exact"/>
        <w:ind w:firstLine="640"/>
        <w:rPr>
          <w:rFonts w:ascii="仿宋" w:hAnsi="仿宋" w:eastAsia="仿宋"/>
          <w:sz w:val="32"/>
          <w:szCs w:val="32"/>
        </w:rPr>
      </w:pPr>
      <w:r>
        <w:rPr>
          <w:rFonts w:hint="eastAsia" w:ascii="仿宋" w:hAnsi="仿宋" w:eastAsia="仿宋"/>
          <w:sz w:val="32"/>
          <w:szCs w:val="32"/>
        </w:rPr>
        <w:t xml:space="preserve"> 农林水支出（类）其它农林水支出（款）其它农林水支出（项）：指用</w:t>
      </w:r>
      <w:r>
        <w:rPr>
          <w:rFonts w:ascii="仿宋" w:hAnsi="仿宋" w:eastAsia="仿宋"/>
          <w:sz w:val="32"/>
          <w:szCs w:val="32"/>
        </w:rPr>
        <w:t>于</w:t>
      </w:r>
      <w:r>
        <w:rPr>
          <w:rFonts w:hint="eastAsia" w:ascii="仿宋" w:hAnsi="仿宋" w:eastAsia="仿宋"/>
          <w:sz w:val="32"/>
          <w:szCs w:val="32"/>
        </w:rPr>
        <w:t>各村天府通办工作开展相关经费等支出。</w:t>
      </w:r>
    </w:p>
    <w:p>
      <w:pPr>
        <w:spacing w:line="600" w:lineRule="exact"/>
        <w:ind w:firstLine="640"/>
        <w:rPr>
          <w:rFonts w:ascii="仿宋" w:hAnsi="仿宋" w:eastAsia="仿宋"/>
          <w:sz w:val="32"/>
          <w:szCs w:val="32"/>
        </w:rPr>
      </w:pPr>
      <w:r>
        <w:rPr>
          <w:rFonts w:hint="eastAsia" w:ascii="仿宋" w:hAnsi="仿宋" w:eastAsia="仿宋"/>
          <w:sz w:val="32"/>
          <w:szCs w:val="32"/>
        </w:rPr>
        <w:t>12.交通运输支出（类）公路运输支出（款）海事管理（项）：指用于原石桥冲村渡口经费支出。</w:t>
      </w:r>
    </w:p>
    <w:p>
      <w:pPr>
        <w:spacing w:line="600" w:lineRule="exact"/>
        <w:ind w:firstLine="640"/>
        <w:rPr>
          <w:rFonts w:ascii="仿宋" w:hAnsi="仿宋" w:eastAsia="仿宋"/>
          <w:sz w:val="32"/>
          <w:szCs w:val="32"/>
        </w:rPr>
      </w:pPr>
      <w:r>
        <w:rPr>
          <w:rFonts w:hint="eastAsia" w:ascii="仿宋" w:hAnsi="仿宋" w:eastAsia="仿宋"/>
          <w:sz w:val="32"/>
          <w:szCs w:val="32"/>
        </w:rPr>
        <w:t>13、住房保障支出（类）住房改革支出（款）住房公积</w:t>
      </w:r>
      <w:r>
        <w:rPr>
          <w:rFonts w:ascii="仿宋" w:hAnsi="仿宋" w:eastAsia="仿宋"/>
          <w:sz w:val="32"/>
          <w:szCs w:val="32"/>
        </w:rPr>
        <w:t>金</w:t>
      </w:r>
      <w:r>
        <w:rPr>
          <w:rFonts w:hint="eastAsia" w:ascii="仿宋" w:hAnsi="仿宋" w:eastAsia="仿宋"/>
          <w:sz w:val="32"/>
          <w:szCs w:val="32"/>
        </w:rPr>
        <w:t>（项）：指用</w:t>
      </w:r>
      <w:r>
        <w:rPr>
          <w:rFonts w:ascii="仿宋" w:hAnsi="仿宋" w:eastAsia="仿宋"/>
          <w:sz w:val="32"/>
          <w:szCs w:val="32"/>
        </w:rPr>
        <w:t>于机关事业单位职工住房公积金缴费支出</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sz w:val="32"/>
          <w:szCs w:val="32"/>
        </w:rPr>
        <w:t>14、灾害防治及应急管理支出（类）应急管理事务（款）应急管理（项）：指用</w:t>
      </w:r>
      <w:r>
        <w:rPr>
          <w:rFonts w:ascii="仿宋" w:hAnsi="仿宋" w:eastAsia="仿宋"/>
          <w:sz w:val="32"/>
          <w:szCs w:val="32"/>
        </w:rPr>
        <w:t>于</w:t>
      </w:r>
      <w:r>
        <w:rPr>
          <w:rFonts w:hint="eastAsia" w:ascii="仿宋" w:hAnsi="仿宋" w:eastAsia="仿宋"/>
          <w:sz w:val="32"/>
          <w:szCs w:val="32"/>
        </w:rPr>
        <w:t>镇、各村社区专兼职安监员补助支出。</w:t>
      </w:r>
    </w:p>
    <w:p>
      <w:pPr>
        <w:spacing w:line="600" w:lineRule="exact"/>
        <w:ind w:firstLine="640"/>
        <w:rPr>
          <w:rFonts w:ascii="仿宋" w:hAnsi="仿宋" w:eastAsia="仿宋"/>
          <w:sz w:val="32"/>
          <w:szCs w:val="32"/>
        </w:rPr>
      </w:pPr>
      <w:r>
        <w:rPr>
          <w:rFonts w:hint="eastAsia" w:ascii="仿宋" w:hAnsi="仿宋" w:eastAsia="仿宋"/>
          <w:sz w:val="32"/>
          <w:szCs w:val="32"/>
        </w:rPr>
        <w:t>15</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pPr>
        <w:spacing w:line="600" w:lineRule="exact"/>
        <w:ind w:firstLine="640"/>
        <w:rPr>
          <w:rFonts w:ascii="仿宋" w:hAnsi="仿宋" w:eastAsia="仿宋"/>
          <w:sz w:val="32"/>
          <w:szCs w:val="32"/>
        </w:rPr>
      </w:pPr>
      <w:r>
        <w:rPr>
          <w:rFonts w:hint="eastAsia" w:ascii="仿宋" w:hAnsi="仿宋" w:eastAsia="仿宋"/>
          <w:sz w:val="32"/>
          <w:szCs w:val="32"/>
        </w:rPr>
        <w:t>16</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r>
        <w:rPr>
          <w:rFonts w:ascii="仿宋" w:hAnsi="仿宋" w:eastAsia="仿宋"/>
          <w:sz w:val="32"/>
          <w:szCs w:val="32"/>
        </w:rPr>
        <w:t xml:space="preserve"> </w:t>
      </w:r>
    </w:p>
    <w:p>
      <w:pPr>
        <w:spacing w:line="600" w:lineRule="exact"/>
        <w:ind w:firstLine="640"/>
        <w:rPr>
          <w:rFonts w:ascii="仿宋" w:hAnsi="仿宋" w:eastAsia="仿宋"/>
          <w:sz w:val="32"/>
          <w:szCs w:val="32"/>
        </w:rPr>
      </w:pPr>
      <w:r>
        <w:rPr>
          <w:rFonts w:hint="eastAsia" w:ascii="仿宋" w:hAnsi="仿宋" w:eastAsia="仿宋"/>
          <w:sz w:val="32"/>
          <w:szCs w:val="32"/>
        </w:rPr>
        <w:t>17</w:t>
      </w:r>
      <w:r>
        <w:rPr>
          <w:rFonts w:ascii="仿宋" w:hAnsi="仿宋" w:eastAsia="仿宋"/>
          <w:sz w:val="32"/>
          <w:szCs w:val="32"/>
        </w:rPr>
        <w:t>.</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sz w:val="32"/>
          <w:szCs w:val="32"/>
        </w:rPr>
      </w:pPr>
      <w:r>
        <w:rPr>
          <w:rFonts w:hint="eastAsia" w:ascii="仿宋" w:hAnsi="仿宋" w:eastAsia="仿宋"/>
          <w:sz w:val="32"/>
          <w:szCs w:val="32"/>
        </w:rPr>
        <w:t>18</w:t>
      </w:r>
      <w:r>
        <w:rPr>
          <w:rFonts w:ascii="仿宋" w:hAnsi="仿宋" w:eastAsia="仿宋"/>
          <w:sz w:val="32"/>
          <w:szCs w:val="32"/>
        </w:rPr>
        <w:t>.</w:t>
      </w:r>
      <w:r>
        <w:rPr>
          <w:rFonts w:hint="eastAsia" w:ascii="仿宋" w:hAnsi="仿宋"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60" w:lineRule="exact"/>
        <w:ind w:firstLine="640" w:firstLineChars="200"/>
        <w:rPr>
          <w:rFonts w:ascii="仿宋_GB2312" w:eastAsia="仿宋_GB2312" w:cs="黑体"/>
          <w:color w:val="auto"/>
          <w:sz w:val="32"/>
          <w:szCs w:val="32"/>
        </w:rPr>
      </w:pPr>
    </w:p>
    <w:p>
      <w:pPr>
        <w:spacing w:line="600" w:lineRule="exact"/>
        <w:jc w:val="center"/>
        <w:outlineLvl w:val="0"/>
        <w:rPr>
          <w:rFonts w:ascii="仿宋" w:hAnsi="仿宋" w:eastAsia="仿宋"/>
          <w:b/>
          <w:sz w:val="32"/>
          <w:szCs w:val="32"/>
        </w:rPr>
      </w:pPr>
      <w:bookmarkStart w:id="51" w:name="_Toc15396614"/>
      <w:bookmarkStart w:id="52" w:name="_Toc15377226"/>
    </w:p>
    <w:p>
      <w:pPr>
        <w:spacing w:line="600" w:lineRule="exact"/>
        <w:jc w:val="center"/>
        <w:outlineLvl w:val="0"/>
        <w:rPr>
          <w:rFonts w:ascii="仿宋" w:hAnsi="仿宋" w:eastAsia="仿宋"/>
          <w:b/>
          <w:sz w:val="32"/>
          <w:szCs w:val="32"/>
        </w:rPr>
      </w:pPr>
    </w:p>
    <w:p>
      <w:pPr>
        <w:spacing w:line="600" w:lineRule="exact"/>
        <w:jc w:val="center"/>
        <w:outlineLvl w:val="0"/>
        <w:rPr>
          <w:rFonts w:ascii="仿宋" w:hAnsi="仿宋" w:eastAsia="仿宋"/>
          <w:b/>
          <w:sz w:val="32"/>
          <w:szCs w:val="32"/>
        </w:rPr>
      </w:pPr>
    </w:p>
    <w:p>
      <w:pPr>
        <w:spacing w:line="600" w:lineRule="exact"/>
        <w:jc w:val="center"/>
        <w:outlineLvl w:val="0"/>
        <w:rPr>
          <w:rFonts w:ascii="仿宋" w:hAnsi="仿宋" w:eastAsia="仿宋"/>
          <w:b/>
          <w:sz w:val="32"/>
          <w:szCs w:val="32"/>
        </w:rPr>
      </w:pPr>
    </w:p>
    <w:p>
      <w:pPr>
        <w:spacing w:line="600" w:lineRule="exact"/>
        <w:jc w:val="center"/>
        <w:outlineLvl w:val="0"/>
        <w:rPr>
          <w:rFonts w:ascii="仿宋" w:hAnsi="仿宋" w:eastAsia="仿宋"/>
          <w:b/>
          <w:sz w:val="32"/>
          <w:szCs w:val="32"/>
        </w:rPr>
      </w:pPr>
    </w:p>
    <w:p>
      <w:pPr>
        <w:spacing w:line="600" w:lineRule="exact"/>
        <w:jc w:val="center"/>
        <w:outlineLvl w:val="0"/>
        <w:rPr>
          <w:rFonts w:ascii="仿宋" w:hAnsi="仿宋" w:eastAsia="仿宋"/>
          <w:b/>
          <w:sz w:val="32"/>
          <w:szCs w:val="32"/>
        </w:rPr>
      </w:pPr>
    </w:p>
    <w:p>
      <w:pPr>
        <w:spacing w:line="600" w:lineRule="exact"/>
        <w:jc w:val="center"/>
        <w:outlineLvl w:val="0"/>
        <w:rPr>
          <w:rFonts w:ascii="仿宋" w:hAnsi="仿宋" w:eastAsia="仿宋"/>
          <w:b/>
          <w:sz w:val="32"/>
          <w:szCs w:val="32"/>
        </w:rPr>
      </w:pPr>
    </w:p>
    <w:p>
      <w:pPr>
        <w:spacing w:line="600" w:lineRule="exact"/>
        <w:outlineLvl w:val="0"/>
        <w:rPr>
          <w:rFonts w:ascii="仿宋" w:hAnsi="仿宋" w:eastAsia="仿宋"/>
          <w:b/>
          <w:sz w:val="32"/>
          <w:szCs w:val="32"/>
        </w:rPr>
      </w:pPr>
    </w:p>
    <w:p>
      <w:pPr>
        <w:spacing w:line="600" w:lineRule="exact"/>
        <w:jc w:val="center"/>
        <w:outlineLvl w:val="0"/>
        <w:rPr>
          <w:rStyle w:val="28"/>
          <w:rFonts w:ascii="黑体" w:hAnsi="黑体" w:eastAsia="黑体"/>
        </w:rPr>
      </w:pPr>
      <w:r>
        <w:rPr>
          <w:rFonts w:hint="eastAsia" w:ascii="黑体" w:hAnsi="黑体" w:eastAsia="黑体"/>
          <w:sz w:val="44"/>
          <w:szCs w:val="44"/>
        </w:rPr>
        <w:t>第</w:t>
      </w:r>
      <w:r>
        <w:rPr>
          <w:rStyle w:val="28"/>
          <w:rFonts w:hint="eastAsia" w:ascii="黑体" w:hAnsi="黑体" w:eastAsia="黑体"/>
        </w:rPr>
        <w:t>四部分 附件</w:t>
      </w:r>
      <w:bookmarkEnd w:id="51"/>
    </w:p>
    <w:p>
      <w:pPr>
        <w:spacing w:line="572" w:lineRule="exact"/>
        <w:jc w:val="left"/>
        <w:outlineLvl w:val="0"/>
        <w:rPr>
          <w:rFonts w:ascii="仿宋" w:hAnsi="仿宋" w:eastAsia="仿宋" w:cs="方正小标宋简体"/>
          <w:b/>
          <w:sz w:val="44"/>
          <w:szCs w:val="44"/>
        </w:rPr>
      </w:pPr>
      <w:r>
        <w:rPr>
          <w:rFonts w:hint="eastAsia" w:ascii="仿宋" w:hAnsi="仿宋" w:eastAsia="仿宋" w:cs="黑体"/>
          <w:b/>
          <w:sz w:val="32"/>
          <w:szCs w:val="32"/>
        </w:rPr>
        <w:t>附件</w:t>
      </w:r>
    </w:p>
    <w:p>
      <w:pPr>
        <w:ind w:firstLine="542" w:firstLineChars="150"/>
        <w:jc w:val="center"/>
        <w:rPr>
          <w:rFonts w:ascii="仿宋" w:hAnsi="仿宋" w:eastAsia="仿宋"/>
          <w:b/>
          <w:sz w:val="36"/>
          <w:szCs w:val="36"/>
        </w:rPr>
      </w:pPr>
      <w:r>
        <w:rPr>
          <w:rFonts w:hint="eastAsia" w:ascii="仿宋" w:hAnsi="仿宋" w:eastAsia="仿宋"/>
          <w:b/>
          <w:sz w:val="36"/>
          <w:szCs w:val="36"/>
        </w:rPr>
        <w:t>2022年棉竹镇部门整体绩效评价报告</w:t>
      </w:r>
    </w:p>
    <w:p>
      <w:pPr>
        <w:widowControl/>
        <w:numPr>
          <w:ilvl w:val="0"/>
          <w:numId w:val="5"/>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pPr>
        <w:widowControl/>
        <w:adjustRightInd w:val="0"/>
        <w:snapToGrid w:val="0"/>
        <w:spacing w:line="560" w:lineRule="exact"/>
        <w:ind w:firstLine="643" w:firstLineChars="200"/>
        <w:contextualSpacing/>
        <w:jc w:val="left"/>
        <w:rPr>
          <w:rFonts w:ascii="仿宋" w:hAnsi="仿宋" w:eastAsia="仿宋" w:cs="楷体_GB2312"/>
          <w:b/>
          <w:bCs/>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（一）机构组成。</w:t>
      </w:r>
    </w:p>
    <w:p>
      <w:pPr>
        <w:spacing w:line="600" w:lineRule="exact"/>
        <w:ind w:firstLine="640"/>
        <w:rPr>
          <w:rFonts w:ascii="仿宋" w:hAnsi="仿宋" w:eastAsia="仿宋"/>
          <w:sz w:val="32"/>
          <w:szCs w:val="32"/>
        </w:rPr>
      </w:pPr>
      <w:r>
        <w:rPr>
          <w:rFonts w:hint="eastAsia" w:ascii="仿宋" w:hAnsi="仿宋" w:eastAsia="仿宋"/>
          <w:sz w:val="32"/>
          <w:szCs w:val="32"/>
        </w:rPr>
        <w:t>根据乐中委八届[2019]83-2号文件的规定，棉竹镇人民政府机构设置党政综合办事机构6个:党建办、党政办、乡村振兴办、规划建设办、综合执法办、乡村治理办；设置直属事业机构4个：便民服务中心、农业综合服务中心、村（社区）治理服务中心和文化旅游服务中心。</w:t>
      </w:r>
    </w:p>
    <w:p>
      <w:pPr>
        <w:widowControl/>
        <w:adjustRightInd w:val="0"/>
        <w:snapToGrid w:val="0"/>
        <w:spacing w:line="560" w:lineRule="exact"/>
        <w:ind w:firstLine="643" w:firstLineChars="200"/>
        <w:contextualSpacing/>
        <w:jc w:val="left"/>
        <w:rPr>
          <w:rFonts w:ascii="仿宋" w:hAnsi="仿宋" w:eastAsia="仿宋" w:cs="楷体_GB2312"/>
          <w:b/>
          <w:bCs/>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（二）机构职能和人员概况。</w:t>
      </w:r>
    </w:p>
    <w:p>
      <w:pPr>
        <w:spacing w:line="600" w:lineRule="exact"/>
        <w:ind w:firstLine="640"/>
        <w:rPr>
          <w:rFonts w:ascii="仿宋" w:hAnsi="仿宋" w:eastAsia="仿宋"/>
          <w:sz w:val="32"/>
          <w:szCs w:val="32"/>
        </w:rPr>
      </w:pPr>
      <w:r>
        <w:rPr>
          <w:rFonts w:hint="eastAsia" w:ascii="仿宋" w:hAnsi="仿宋" w:eastAsia="仿宋"/>
          <w:sz w:val="32"/>
          <w:szCs w:val="32"/>
        </w:rPr>
        <w:t>本部门机构职能主要是执行本级人民代表大会的决议和上级国家行政机关的决定和命令，宣传、落实好国家的法律、法规，坚持依法行政，推进政务公开，加强提高和培育村民委员会自治能力，加强和巩固农村基层政权建设和民主法制建设。执行本行政区域内的经济和社会发展计划、预算，管理本行政区域内的经济、教育、科学、文化、卫生、体育事业和财政、民政、司法行政、计划生育等行政工作。加强社会治安综合治理，维护农村社会稳定。</w:t>
      </w:r>
    </w:p>
    <w:p>
      <w:pPr>
        <w:spacing w:line="600" w:lineRule="exact"/>
        <w:ind w:firstLine="640"/>
        <w:rPr>
          <w:rFonts w:ascii="仿宋" w:hAnsi="仿宋" w:eastAsia="仿宋"/>
          <w:sz w:val="32"/>
          <w:szCs w:val="32"/>
        </w:rPr>
      </w:pPr>
      <w:r>
        <w:rPr>
          <w:rFonts w:hint="eastAsia" w:ascii="仿宋" w:hAnsi="仿宋" w:eastAsia="仿宋"/>
          <w:sz w:val="32"/>
          <w:szCs w:val="32"/>
        </w:rPr>
        <w:t>本部门机关行政编制 29 名：核定领导职数 11 名，其中党委书记 1 名，党委副书记（镇长）1 名，人大主席 1 名，专职党委副书记 1 名，副镇长 3 名（其中 1 名兼任人武部长），纪委书记 1 名，组织委员（兼任统战委员）1 名，宣传委员（兼任人大副主席）1 名，政法委员 1 名。内设中层职数 8 名（其中1 名纪委副书记），机关工勤人员编制 2 名。事业编制14名：便民服务中心（挂退役军人服务站、人力资源和社会保障服务所、农民工服务中心牌子）核定事业编制 6 名（其中1 名编制用于退役军人服务工作），其中主任 1 名（按副科级配备），副主任 1 名（股级）。农业综合服务中心（挂畜牧兽医站牌子）核定事业编制 4名，其中主任 1 名（股级）。村（社区）治理服务中心核定事业编制 2 名，其中主任 1 名（股级）。文化旅游服务中心核定事业编制2名，其中主任 1 名（股级）。</w:t>
      </w:r>
    </w:p>
    <w:p>
      <w:pPr>
        <w:spacing w:line="600" w:lineRule="exact"/>
        <w:ind w:firstLine="640"/>
        <w:rPr>
          <w:rFonts w:ascii="仿宋" w:hAnsi="仿宋" w:eastAsia="仿宋"/>
          <w:sz w:val="32"/>
          <w:szCs w:val="32"/>
        </w:rPr>
      </w:pPr>
      <w:r>
        <w:rPr>
          <w:rFonts w:hint="eastAsia" w:ascii="仿宋" w:hAnsi="仿宋" w:eastAsia="仿宋"/>
          <w:sz w:val="32"/>
          <w:szCs w:val="32"/>
        </w:rPr>
        <w:t>2022末在编人员51人，其中行政人员28人（含行政工人1人），上年末行政人员29人（含行政工人2人），退休减少1人；事业人员实有23人，上年末为22人，本年退伍安置2人，退休1人。</w:t>
      </w:r>
    </w:p>
    <w:p>
      <w:pPr>
        <w:widowControl/>
        <w:adjustRightInd w:val="0"/>
        <w:snapToGrid w:val="0"/>
        <w:spacing w:line="560" w:lineRule="exact"/>
        <w:ind w:firstLine="643" w:firstLineChars="200"/>
        <w:contextualSpacing/>
        <w:jc w:val="left"/>
        <w:rPr>
          <w:rFonts w:ascii="仿宋" w:hAnsi="仿宋" w:eastAsia="仿宋" w:cs="楷体_GB2312"/>
          <w:b/>
          <w:bCs/>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（三）年度主要工作任务。</w:t>
      </w:r>
    </w:p>
    <w:p>
      <w:pPr>
        <w:spacing w:line="600" w:lineRule="exact"/>
        <w:ind w:firstLine="640"/>
        <w:rPr>
          <w:rFonts w:ascii="仿宋" w:hAnsi="仿宋" w:eastAsia="仿宋"/>
          <w:sz w:val="32"/>
          <w:szCs w:val="32"/>
        </w:rPr>
      </w:pPr>
      <w:r>
        <w:rPr>
          <w:rFonts w:hint="eastAsia" w:ascii="仿宋" w:hAnsi="仿宋" w:eastAsia="仿宋"/>
          <w:sz w:val="32"/>
          <w:szCs w:val="32"/>
        </w:rPr>
        <w:t>本部门2022主要工作任务是始终坚持以习近平新时代中国特色社会主义思想为指导，抓好积极推进党的建设，进一步提升改善发展环境，开展通棉路改建、嘉瑞大道提升工程。抓牢党风廉政，落实“两个责任”；抓稳意识形态严格落实中心组学习制度，严格落实党委意识形态工作责任制。抓好三农工作，巩固脱贫攻坚成果，有效衔接乡村振兴，通过省实绩考核现场检查；抓紧项目建设，有序推进城建10号地块和成乐扩容征地拆迁任务、308线和通棉路改造建成通车、完成场镇提升和仙米寺产业路建设。</w:t>
      </w:r>
    </w:p>
    <w:p>
      <w:pPr>
        <w:widowControl/>
        <w:adjustRightInd w:val="0"/>
        <w:snapToGrid w:val="0"/>
        <w:spacing w:line="560" w:lineRule="exact"/>
        <w:ind w:firstLine="482" w:firstLineChars="15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（四）部门整体支出绩效目标。</w:t>
      </w:r>
    </w:p>
    <w:p>
      <w:pPr>
        <w:ind w:firstLine="640" w:firstLineChars="200"/>
        <w:rPr>
          <w:rFonts w:ascii="仿宋" w:hAnsi="仿宋" w:eastAsia="仿宋"/>
          <w:sz w:val="32"/>
          <w:szCs w:val="32"/>
        </w:rPr>
      </w:pPr>
      <w:r>
        <w:rPr>
          <w:rFonts w:hint="eastAsia" w:ascii="仿宋" w:hAnsi="仿宋" w:eastAsia="仿宋"/>
          <w:sz w:val="32"/>
          <w:szCs w:val="32"/>
        </w:rPr>
        <w:t>本部门整体支出绩效目标主要是保障我镇执行本级人民代表大会的决议和上级国家行政机关的决定和命令；执行本行政区域内的经济和社会发展计划；维护稳定，坚持“立党为公，执政为民”，加强和巩固农村基层政权建设和民主法制建设，加强社会治安综合治理，切实保障农民合法权益，维护农村社会稳定。</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widowControl/>
        <w:adjustRightInd w:val="0"/>
        <w:snapToGrid w:val="0"/>
        <w:spacing w:line="560" w:lineRule="exact"/>
        <w:ind w:firstLine="643" w:firstLineChars="200"/>
        <w:contextualSpacing/>
        <w:jc w:val="left"/>
        <w:rPr>
          <w:rFonts w:ascii="仿宋" w:hAnsi="仿宋" w:eastAsia="仿宋" w:cs="楷体_GB2312"/>
          <w:b/>
          <w:bCs/>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（一）部门总体收支情况。</w:t>
      </w:r>
    </w:p>
    <w:p>
      <w:pPr>
        <w:ind w:firstLine="640" w:firstLineChars="200"/>
        <w:rPr>
          <w:rFonts w:ascii="仿宋" w:hAnsi="仿宋" w:eastAsia="仿宋"/>
          <w:sz w:val="32"/>
          <w:szCs w:val="32"/>
        </w:rPr>
      </w:pPr>
      <w:r>
        <w:rPr>
          <w:rFonts w:hint="eastAsia" w:ascii="仿宋" w:hAnsi="仿宋" w:eastAsia="仿宋"/>
          <w:sz w:val="32"/>
          <w:szCs w:val="32"/>
        </w:rPr>
        <w:t>1.部门总体收入情况：2022年部门总体收入1560.21万元：其中：一般公共预算财政拨款收入1418.71万元，其他收入22.01万元，年初结转结余119.49万元，较上年增加138.19万元，增幅9.72%。</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2.部门总体支出情况：2022年部门总体支出1560.21万元：其中基本支出814.62万元、项目支出738.39万元。较上年增加138.19万元，增幅9.72%。</w:t>
      </w:r>
    </w:p>
    <w:p>
      <w:pPr>
        <w:ind w:firstLine="640" w:firstLineChars="200"/>
        <w:rPr>
          <w:rFonts w:ascii="仿宋" w:hAnsi="仿宋" w:eastAsia="仿宋"/>
          <w:sz w:val="32"/>
          <w:szCs w:val="32"/>
        </w:rPr>
      </w:pPr>
      <w:r>
        <w:rPr>
          <w:rFonts w:hint="eastAsia" w:ascii="仿宋" w:hAnsi="仿宋" w:eastAsia="仿宋"/>
          <w:sz w:val="32"/>
          <w:szCs w:val="32"/>
        </w:rPr>
        <w:t>3.部门总体结转结余情况：本年年末结转为7.21万元，其中：财政拨款结转为0万元；非财政拨款结转为7.21万元，主要是镇、村、社区各征地项目工作经费结转。</w:t>
      </w:r>
    </w:p>
    <w:p>
      <w:pPr>
        <w:widowControl/>
        <w:adjustRightInd w:val="0"/>
        <w:snapToGrid w:val="0"/>
        <w:spacing w:line="560" w:lineRule="exact"/>
        <w:ind w:firstLine="643" w:firstLineChars="200"/>
        <w:contextualSpacing/>
        <w:jc w:val="left"/>
        <w:rPr>
          <w:rFonts w:ascii="仿宋" w:hAnsi="仿宋" w:eastAsia="仿宋" w:cs="楷体_GB2312"/>
          <w:b/>
          <w:bCs/>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（二）部门财政拨款收支情况。</w:t>
      </w:r>
    </w:p>
    <w:p>
      <w:pPr>
        <w:ind w:firstLine="640" w:firstLineChars="200"/>
        <w:rPr>
          <w:rFonts w:ascii="仿宋" w:hAnsi="仿宋" w:eastAsia="仿宋"/>
          <w:sz w:val="32"/>
          <w:szCs w:val="32"/>
        </w:rPr>
      </w:pPr>
      <w:r>
        <w:rPr>
          <w:rFonts w:hint="eastAsia" w:ascii="仿宋" w:hAnsi="仿宋" w:eastAsia="仿宋"/>
          <w:sz w:val="32"/>
          <w:szCs w:val="32"/>
        </w:rPr>
        <w:t>1.部门财政拨款收入情况：2022年财政拨款收入1441.42万元：其中：一般公共预算财政拨款收入1418.71万元，上年结转结余22.7万元，较2021年增加261.9万元，增幅22.2%。</w:t>
      </w:r>
    </w:p>
    <w:p>
      <w:pPr>
        <w:ind w:firstLine="640" w:firstLineChars="200"/>
        <w:rPr>
          <w:rFonts w:ascii="仿宋" w:hAnsi="仿宋" w:eastAsia="仿宋"/>
          <w:sz w:val="32"/>
          <w:szCs w:val="32"/>
        </w:rPr>
      </w:pPr>
      <w:r>
        <w:rPr>
          <w:rFonts w:hint="eastAsia" w:ascii="仿宋" w:hAnsi="仿宋" w:eastAsia="仿宋"/>
          <w:sz w:val="32"/>
          <w:szCs w:val="32"/>
        </w:rPr>
        <w:t xml:space="preserve">2.部门财政拨款支出情况：2022年财政拨款支出为1441.42万元，其中：一般公共服务支出549.84万元，公共安全支出3.26万元，文化体育与传媒支出14.75万元，社会保障和就业206.72万元，医疗卫生43.34万元，城乡社区支出10.48万元，农林水支出537.76万元，住房保障支出71.46万元，灾害防治及应急管理支出3.36万元。较2021年增加261.9万元，增幅22.2%。                                                                                                                                                                                                                                                                                                                                                                                                                                                                                                                                                                                                                                                                                                                                                                                                                                                                                                                                                                                                                                                                                                                                                                                                                                                                                                                                                                                                                                                                                                                                                                                                                                                                                                                                                                                                                                                                                                                                                                                                                                                                                                                                                                                                                     </w:t>
      </w:r>
    </w:p>
    <w:p>
      <w:pPr>
        <w:ind w:firstLine="640" w:firstLineChars="200"/>
        <w:rPr>
          <w:rFonts w:ascii="仿宋" w:hAnsi="仿宋" w:eastAsia="仿宋"/>
          <w:sz w:val="32"/>
          <w:szCs w:val="32"/>
        </w:rPr>
      </w:pPr>
      <w:r>
        <w:rPr>
          <w:rFonts w:hint="eastAsia" w:ascii="仿宋" w:hAnsi="仿宋" w:eastAsia="仿宋"/>
          <w:sz w:val="32"/>
          <w:szCs w:val="32"/>
        </w:rPr>
        <w:t>3.部门财政拨款结转结余情况：本年年末财政拨款结转结余为0万元。</w:t>
      </w:r>
    </w:p>
    <w:p>
      <w:pPr>
        <w:widowControl/>
        <w:adjustRightInd w:val="0"/>
        <w:snapToGrid w:val="0"/>
        <w:spacing w:line="560" w:lineRule="exact"/>
        <w:ind w:firstLine="640" w:firstLineChars="200"/>
        <w:contextualSpacing/>
        <w:jc w:val="left"/>
        <w:rPr>
          <w:rFonts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三、部门整体绩效分析</w:t>
      </w:r>
    </w:p>
    <w:p>
      <w:pPr>
        <w:widowControl/>
        <w:adjustRightInd w:val="0"/>
        <w:snapToGrid w:val="0"/>
        <w:spacing w:line="560" w:lineRule="exact"/>
        <w:ind w:firstLine="643" w:firstLineChars="200"/>
        <w:contextualSpacing/>
        <w:jc w:val="left"/>
        <w:rPr>
          <w:rFonts w:ascii="仿宋" w:hAnsi="仿宋" w:eastAsia="仿宋" w:cs="仿宋_GB2312"/>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（一）部门预算项目绩效分析。</w:t>
      </w:r>
    </w:p>
    <w:p>
      <w:pPr>
        <w:ind w:firstLine="640" w:firstLineChars="200"/>
        <w:rPr>
          <w:rFonts w:ascii="仿宋" w:hAnsi="仿宋" w:eastAsia="仿宋"/>
          <w:sz w:val="32"/>
          <w:szCs w:val="32"/>
        </w:rPr>
      </w:pPr>
      <w:r>
        <w:rPr>
          <w:rFonts w:hint="eastAsia" w:ascii="仿宋" w:hAnsi="仿宋" w:eastAsia="仿宋"/>
          <w:sz w:val="32"/>
          <w:szCs w:val="32"/>
        </w:rPr>
        <w:t>1.人员类项目绩效分析</w:t>
      </w:r>
    </w:p>
    <w:p>
      <w:pPr>
        <w:ind w:firstLine="640" w:firstLineChars="200"/>
        <w:rPr>
          <w:rFonts w:ascii="仿宋" w:hAnsi="仿宋" w:eastAsia="仿宋"/>
          <w:sz w:val="32"/>
          <w:szCs w:val="32"/>
        </w:rPr>
      </w:pPr>
      <w:r>
        <w:rPr>
          <w:rFonts w:hint="eastAsia" w:ascii="仿宋" w:hAnsi="仿宋" w:eastAsia="仿宋"/>
          <w:sz w:val="32"/>
          <w:szCs w:val="32"/>
        </w:rPr>
        <w:t>部门绩效目标制定：本部门科学合理编制预算，严格执行政策、法规，保障人员工资、绩效及时足额发放，各类社会保障缴费及时缴纳。</w:t>
      </w:r>
    </w:p>
    <w:p>
      <w:pPr>
        <w:ind w:firstLine="640" w:firstLineChars="200"/>
        <w:rPr>
          <w:rFonts w:ascii="仿宋" w:hAnsi="仿宋" w:eastAsia="仿宋"/>
          <w:sz w:val="32"/>
          <w:szCs w:val="32"/>
        </w:rPr>
      </w:pPr>
      <w:r>
        <w:rPr>
          <w:rFonts w:hint="eastAsia" w:ascii="仿宋" w:hAnsi="仿宋" w:eastAsia="仿宋"/>
          <w:sz w:val="32"/>
          <w:szCs w:val="32"/>
        </w:rPr>
        <w:t>目标实现和预算完成情况：2022年人员类经费支出715.12万元，完成年度预算目标，执行进度为100%，资金结余率为0，无违规记录。</w:t>
      </w:r>
    </w:p>
    <w:p>
      <w:pPr>
        <w:ind w:firstLine="640" w:firstLineChars="200"/>
        <w:rPr>
          <w:rFonts w:ascii="仿宋" w:hAnsi="仿宋" w:eastAsia="仿宋"/>
          <w:sz w:val="32"/>
          <w:szCs w:val="32"/>
        </w:rPr>
      </w:pPr>
      <w:r>
        <w:rPr>
          <w:rFonts w:hint="eastAsia" w:ascii="仿宋" w:hAnsi="仿宋" w:eastAsia="仿宋"/>
          <w:sz w:val="32"/>
          <w:szCs w:val="32"/>
        </w:rPr>
        <w:t>2.运转类项目绩效分析</w:t>
      </w:r>
    </w:p>
    <w:p>
      <w:pPr>
        <w:ind w:firstLine="640" w:firstLineChars="200"/>
        <w:rPr>
          <w:rFonts w:ascii="仿宋" w:hAnsi="仿宋" w:eastAsia="仿宋"/>
          <w:sz w:val="32"/>
          <w:szCs w:val="32"/>
        </w:rPr>
      </w:pPr>
      <w:r>
        <w:rPr>
          <w:rFonts w:hint="eastAsia" w:ascii="仿宋" w:hAnsi="仿宋" w:eastAsia="仿宋"/>
          <w:sz w:val="32"/>
          <w:szCs w:val="32"/>
        </w:rPr>
        <w:t>部门绩效目标制定：科学合理编制预算，提高预算编制质量，严格控制各项经费支出，保障本部门日常办公基本运转支出。</w:t>
      </w:r>
    </w:p>
    <w:p>
      <w:pPr>
        <w:ind w:firstLine="640" w:firstLineChars="200"/>
        <w:rPr>
          <w:rFonts w:ascii="仿宋" w:hAnsi="仿宋" w:eastAsia="仿宋"/>
          <w:sz w:val="32"/>
          <w:szCs w:val="32"/>
        </w:rPr>
      </w:pPr>
      <w:r>
        <w:rPr>
          <w:rFonts w:hint="eastAsia" w:ascii="仿宋" w:hAnsi="仿宋" w:eastAsia="仿宋"/>
          <w:sz w:val="32"/>
          <w:szCs w:val="32"/>
        </w:rPr>
        <w:t>目标实现和预算完成情况：2022年运转类经费支出99.5万元，完成年度预算目标，执行进度为100%，资金结余率为0，无违规记录。</w:t>
      </w:r>
    </w:p>
    <w:p>
      <w:pPr>
        <w:ind w:firstLine="640" w:firstLineChars="200"/>
        <w:rPr>
          <w:rFonts w:ascii="仿宋" w:hAnsi="仿宋" w:eastAsia="仿宋"/>
          <w:sz w:val="32"/>
          <w:szCs w:val="32"/>
        </w:rPr>
      </w:pPr>
      <w:r>
        <w:rPr>
          <w:rFonts w:hint="eastAsia" w:ascii="仿宋" w:hAnsi="仿宋" w:eastAsia="仿宋"/>
          <w:sz w:val="32"/>
          <w:szCs w:val="32"/>
        </w:rPr>
        <w:t>3.特定目标类项目绩效分析</w:t>
      </w:r>
    </w:p>
    <w:p>
      <w:pPr>
        <w:ind w:firstLine="640" w:firstLineChars="200"/>
        <w:rPr>
          <w:rFonts w:ascii="仿宋" w:hAnsi="仿宋" w:eastAsia="仿宋"/>
          <w:sz w:val="32"/>
          <w:szCs w:val="32"/>
        </w:rPr>
      </w:pPr>
      <w:r>
        <w:rPr>
          <w:rFonts w:hint="eastAsia" w:ascii="仿宋" w:hAnsi="仿宋" w:eastAsia="仿宋"/>
          <w:sz w:val="32"/>
          <w:szCs w:val="32"/>
        </w:rPr>
        <w:t>特定绩效目标整体情况：本部门2022年统筹管理各项目，共编制32个项目，实际完成32个项目，完成率100%。全力保障了各项目正常开展。所有资金使用严格按</w:t>
      </w:r>
    </w:p>
    <w:p>
      <w:pPr>
        <w:ind w:firstLine="640" w:firstLineChars="200"/>
        <w:rPr>
          <w:rFonts w:ascii="仿宋" w:hAnsi="仿宋" w:eastAsia="仿宋"/>
          <w:sz w:val="32"/>
          <w:szCs w:val="32"/>
        </w:rPr>
      </w:pPr>
      <w:r>
        <w:rPr>
          <w:rFonts w:hint="eastAsia" w:ascii="仿宋" w:hAnsi="仿宋" w:eastAsia="仿宋"/>
          <w:sz w:val="32"/>
          <w:szCs w:val="32"/>
        </w:rPr>
        <w:t>目标实现和预算完成情况：2022年人员类经费支出715.12万元，完成年度预算目标，执行进度为100%，资金结余率为0，无违规记录。</w:t>
      </w:r>
    </w:p>
    <w:p>
      <w:pPr>
        <w:widowControl/>
        <w:adjustRightInd w:val="0"/>
        <w:snapToGrid w:val="0"/>
        <w:spacing w:line="560" w:lineRule="exact"/>
        <w:ind w:firstLine="643" w:firstLineChars="200"/>
        <w:contextualSpacing/>
        <w:jc w:val="left"/>
        <w:rPr>
          <w:rFonts w:ascii="仿宋" w:hAnsi="仿宋" w:eastAsia="仿宋" w:cs="楷体_GB2312"/>
          <w:b/>
          <w:bCs/>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（二）部门整体履职绩效分析。</w:t>
      </w:r>
    </w:p>
    <w:p>
      <w:pPr>
        <w:ind w:firstLine="640" w:firstLineChars="200"/>
        <w:rPr>
          <w:rFonts w:ascii="仿宋" w:hAnsi="仿宋" w:eastAsia="仿宋"/>
          <w:sz w:val="32"/>
          <w:szCs w:val="32"/>
        </w:rPr>
      </w:pPr>
      <w:r>
        <w:rPr>
          <w:rFonts w:hint="eastAsia" w:ascii="仿宋" w:hAnsi="仿宋" w:eastAsia="仿宋"/>
          <w:sz w:val="32"/>
          <w:szCs w:val="32"/>
        </w:rPr>
        <w:t>预算编制情况：棉竹镇财政预算编制严格按照省级部门预算编制通知和相关要求进行编制，且编制项目准确。所有资金支出严格审批程序，核算结果真实、准确，按照各项制度执行，支出绩效良好，整体支出绩效自评分为99分。</w:t>
      </w:r>
    </w:p>
    <w:p>
      <w:pPr>
        <w:ind w:firstLine="640" w:firstLineChars="200"/>
        <w:rPr>
          <w:rFonts w:ascii="仿宋" w:hAnsi="仿宋" w:eastAsia="仿宋"/>
          <w:sz w:val="32"/>
          <w:szCs w:val="32"/>
        </w:rPr>
      </w:pPr>
      <w:r>
        <w:rPr>
          <w:rFonts w:hint="eastAsia" w:ascii="仿宋" w:hAnsi="仿宋" w:eastAsia="仿宋"/>
          <w:sz w:val="32"/>
          <w:szCs w:val="32"/>
        </w:rPr>
        <w:t>执行管理情况：棉竹镇严格按照预算执行预算支出管理，按预算进度执行预算支出，严格执行节能降耗，严格执行“三公”经费预算。</w:t>
      </w:r>
    </w:p>
    <w:p>
      <w:pPr>
        <w:ind w:firstLine="640" w:firstLineChars="200"/>
        <w:rPr>
          <w:rFonts w:ascii="仿宋" w:hAnsi="仿宋" w:eastAsia="仿宋"/>
          <w:sz w:val="32"/>
          <w:szCs w:val="32"/>
        </w:rPr>
      </w:pPr>
      <w:r>
        <w:rPr>
          <w:rFonts w:hint="eastAsia" w:ascii="仿宋" w:hAnsi="仿宋" w:eastAsia="仿宋"/>
          <w:sz w:val="32"/>
          <w:szCs w:val="32"/>
        </w:rPr>
        <w:t>绩效目标实现情况：从绩效评价情况看，预决算编制合理，支出进度按时完成。保障了本部门日常工作和各项目工作推进正常运转，预算完成率均为100%。</w:t>
      </w:r>
    </w:p>
    <w:p>
      <w:pPr>
        <w:widowControl/>
        <w:adjustRightInd w:val="0"/>
        <w:snapToGrid w:val="0"/>
        <w:spacing w:line="560" w:lineRule="exact"/>
        <w:ind w:firstLine="643" w:firstLineChars="200"/>
        <w:contextualSpacing/>
        <w:jc w:val="left"/>
        <w:rPr>
          <w:rFonts w:ascii="仿宋" w:hAnsi="仿宋" w:eastAsia="仿宋" w:cs="楷体_GB2312"/>
          <w:b/>
          <w:bCs/>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（三）结果应用情况。</w:t>
      </w:r>
    </w:p>
    <w:p>
      <w:pPr>
        <w:ind w:firstLine="640" w:firstLineChars="200"/>
        <w:rPr>
          <w:rFonts w:ascii="仿宋" w:hAnsi="仿宋" w:eastAsia="仿宋"/>
          <w:sz w:val="32"/>
          <w:szCs w:val="32"/>
        </w:rPr>
      </w:pPr>
      <w:r>
        <w:rPr>
          <w:rFonts w:hint="eastAsia" w:ascii="仿宋" w:hAnsi="仿宋" w:eastAsia="仿宋"/>
          <w:sz w:val="32"/>
          <w:szCs w:val="32"/>
        </w:rPr>
        <w:t>内部应用：本部门2022年全面贯彻党的方针、政策，认真落实省委、市委和区委重大决策和重点工作部署，进一步深化财政改革，建立健全财务管理制度，严格执行财政资金支出审批程序，确保财政资金支出均衡合理，发挥资金效益最大化，确保了部门正常运转和重点项目顺利实施，完成了全年工作目标任务。</w:t>
      </w:r>
    </w:p>
    <w:p>
      <w:pPr>
        <w:ind w:firstLine="640" w:firstLineChars="200"/>
        <w:rPr>
          <w:rFonts w:ascii="仿宋" w:hAnsi="仿宋" w:eastAsia="仿宋"/>
          <w:sz w:val="32"/>
          <w:szCs w:val="32"/>
        </w:rPr>
      </w:pPr>
      <w:r>
        <w:rPr>
          <w:rFonts w:hint="eastAsia" w:ascii="仿宋" w:hAnsi="仿宋" w:eastAsia="仿宋"/>
          <w:sz w:val="32"/>
          <w:szCs w:val="32"/>
        </w:rPr>
        <w:t>自评公开：本部门2022年在乐山市人民政府网站上公开公示了2022年整体支出绩效评价报告，并对各项目支出绩效情况开展了自评。</w:t>
      </w:r>
    </w:p>
    <w:p>
      <w:pPr>
        <w:ind w:firstLine="640" w:firstLineChars="200"/>
        <w:rPr>
          <w:rFonts w:ascii="仿宋" w:hAnsi="仿宋" w:eastAsia="仿宋"/>
          <w:sz w:val="32"/>
          <w:szCs w:val="32"/>
        </w:rPr>
      </w:pPr>
      <w:r>
        <w:rPr>
          <w:rFonts w:hint="eastAsia" w:ascii="仿宋" w:hAnsi="仿宋" w:eastAsia="仿宋"/>
          <w:sz w:val="32"/>
          <w:szCs w:val="32"/>
        </w:rPr>
        <w:t>问题整改和应用反馈：本部门2022年绩效管理无绩效监控核查和重点绩效评价，不涉及结果整改。</w:t>
      </w:r>
    </w:p>
    <w:p>
      <w:pPr>
        <w:widowControl/>
        <w:numPr>
          <w:ilvl w:val="0"/>
          <w:numId w:val="6"/>
        </w:numPr>
        <w:adjustRightInd w:val="0"/>
        <w:snapToGrid w:val="0"/>
        <w:spacing w:line="560" w:lineRule="exact"/>
        <w:ind w:firstLine="643" w:firstLineChars="200"/>
        <w:contextualSpacing/>
        <w:jc w:val="left"/>
        <w:rPr>
          <w:rFonts w:ascii="仿宋" w:hAnsi="仿宋" w:eastAsia="仿宋" w:cs="楷体_GB2312"/>
          <w:b/>
          <w:bCs/>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自评质量。</w:t>
      </w:r>
    </w:p>
    <w:p>
      <w:pPr>
        <w:ind w:firstLine="640" w:firstLineChars="200"/>
        <w:rPr>
          <w:rFonts w:ascii="仿宋" w:hAnsi="仿宋" w:eastAsia="仿宋"/>
          <w:sz w:val="32"/>
          <w:szCs w:val="32"/>
        </w:rPr>
      </w:pPr>
      <w:r>
        <w:rPr>
          <w:rFonts w:hint="eastAsia" w:ascii="仿宋" w:hAnsi="仿宋" w:eastAsia="仿宋"/>
          <w:sz w:val="32"/>
          <w:szCs w:val="32"/>
        </w:rPr>
        <w:t>本部门2022年度整体支出绩效评价结果良好，预算安</w:t>
      </w:r>
    </w:p>
    <w:p>
      <w:pPr>
        <w:ind w:firstLine="640" w:firstLineChars="200"/>
        <w:rPr>
          <w:rFonts w:ascii="仿宋" w:hAnsi="仿宋" w:eastAsia="仿宋"/>
          <w:sz w:val="32"/>
          <w:szCs w:val="32"/>
        </w:rPr>
      </w:pPr>
      <w:r>
        <w:rPr>
          <w:rFonts w:hint="eastAsia" w:ascii="仿宋" w:hAnsi="仿宋" w:eastAsia="仿宋"/>
          <w:sz w:val="32"/>
          <w:szCs w:val="32"/>
        </w:rPr>
        <w:t>排控制较好，均控制在预算编制以内。预算执行及时有效，群众满意度较高，实现了预期目标，支出总额控制在预算总额以内，不存在截留或滞留专项资金情况。</w:t>
      </w:r>
    </w:p>
    <w:p>
      <w:pPr>
        <w:pStyle w:val="27"/>
        <w:widowControl/>
        <w:adjustRightInd w:val="0"/>
        <w:snapToGrid w:val="0"/>
        <w:spacing w:line="560" w:lineRule="exact"/>
        <w:ind w:left="420" w:firstLine="161" w:firstLineChars="50"/>
        <w:contextualSpacing/>
        <w:jc w:val="left"/>
        <w:rPr>
          <w:rFonts w:ascii="仿宋" w:hAnsi="仿宋" w:eastAsia="仿宋" w:cs="宋体"/>
          <w:b/>
          <w:kern w:val="0"/>
          <w:sz w:val="32"/>
          <w:szCs w:val="32"/>
          <w:shd w:val="clear" w:color="auto" w:fill="FFFFFF"/>
        </w:rPr>
      </w:pPr>
      <w:r>
        <w:rPr>
          <w:rFonts w:hint="eastAsia" w:ascii="仿宋" w:hAnsi="仿宋" w:eastAsia="仿宋" w:cs="宋体"/>
          <w:b/>
          <w:kern w:val="0"/>
          <w:sz w:val="32"/>
          <w:szCs w:val="32"/>
          <w:shd w:val="clear" w:color="auto" w:fill="FFFFFF"/>
        </w:rPr>
        <w:t>四、评价结论及建议</w:t>
      </w:r>
    </w:p>
    <w:p>
      <w:pPr>
        <w:pStyle w:val="27"/>
        <w:widowControl/>
        <w:adjustRightInd w:val="0"/>
        <w:snapToGrid w:val="0"/>
        <w:spacing w:line="560" w:lineRule="exact"/>
        <w:ind w:left="420" w:firstLine="0" w:firstLineChars="0"/>
        <w:contextualSpacing/>
        <w:jc w:val="left"/>
        <w:rPr>
          <w:rFonts w:ascii="仿宋" w:hAnsi="仿宋" w:eastAsia="仿宋" w:cs="楷体_GB2312"/>
          <w:b/>
          <w:bCs/>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（一）评价结论。</w:t>
      </w:r>
    </w:p>
    <w:p>
      <w:pPr>
        <w:ind w:firstLine="640" w:firstLineChars="200"/>
        <w:rPr>
          <w:rFonts w:ascii="仿宋" w:hAnsi="仿宋" w:eastAsia="仿宋"/>
          <w:sz w:val="32"/>
          <w:szCs w:val="32"/>
        </w:rPr>
      </w:pPr>
      <w:r>
        <w:rPr>
          <w:rFonts w:hint="eastAsia" w:ascii="仿宋" w:hAnsi="仿宋" w:eastAsia="仿宋"/>
          <w:sz w:val="32"/>
          <w:szCs w:val="32"/>
        </w:rPr>
        <w:t>本部门2022年按上级部门要求开展绩效评价工作，按</w:t>
      </w:r>
    </w:p>
    <w:p>
      <w:pPr>
        <w:ind w:firstLine="640" w:firstLineChars="200"/>
        <w:rPr>
          <w:rFonts w:ascii="仿宋" w:hAnsi="仿宋" w:eastAsia="仿宋"/>
          <w:sz w:val="32"/>
          <w:szCs w:val="32"/>
        </w:rPr>
      </w:pPr>
      <w:r>
        <w:rPr>
          <w:rFonts w:hint="eastAsia" w:ascii="仿宋" w:hAnsi="仿宋" w:eastAsia="仿宋"/>
          <w:sz w:val="32"/>
          <w:szCs w:val="32"/>
        </w:rPr>
        <w:t>客观公正、实事求是的原则开展本部门整体绩效自评工作，综合自评得分99分。从自评结果来看，本部门2022年财政管理规范，资金使用准确，整体支出绩效评价结果良好。</w:t>
      </w:r>
    </w:p>
    <w:p>
      <w:pPr>
        <w:pStyle w:val="27"/>
        <w:widowControl/>
        <w:numPr>
          <w:ilvl w:val="0"/>
          <w:numId w:val="7"/>
        </w:numPr>
        <w:adjustRightInd w:val="0"/>
        <w:snapToGrid w:val="0"/>
        <w:spacing w:line="560" w:lineRule="exact"/>
        <w:ind w:firstLineChars="0"/>
        <w:contextualSpacing/>
        <w:jc w:val="left"/>
        <w:rPr>
          <w:rFonts w:ascii="仿宋" w:hAnsi="仿宋" w:eastAsia="仿宋" w:cs="楷体_GB2312"/>
          <w:b/>
          <w:bCs/>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存在问题。</w:t>
      </w:r>
    </w:p>
    <w:p>
      <w:pPr>
        <w:ind w:firstLine="640" w:firstLineChars="200"/>
        <w:rPr>
          <w:rFonts w:ascii="仿宋" w:hAnsi="仿宋" w:eastAsia="仿宋"/>
          <w:sz w:val="32"/>
          <w:szCs w:val="32"/>
        </w:rPr>
      </w:pPr>
      <w:r>
        <w:rPr>
          <w:rFonts w:hint="eastAsia" w:ascii="仿宋" w:hAnsi="仿宋" w:eastAsia="仿宋"/>
          <w:sz w:val="32"/>
          <w:szCs w:val="32"/>
        </w:rPr>
        <w:t>本单位预算绩效管理工作人员专业化水平不高，业务水平需进一步强化；预算编制精细化程度不够，项目资金无法全面按照年初预算的经济分类科目实现；预算分析有待进一步加强，因项目变动等不确定因素影响预算执行进度情况提前谋划不到位。</w:t>
      </w:r>
    </w:p>
    <w:p>
      <w:pPr>
        <w:pStyle w:val="27"/>
        <w:widowControl/>
        <w:numPr>
          <w:ilvl w:val="0"/>
          <w:numId w:val="7"/>
        </w:numPr>
        <w:adjustRightInd w:val="0"/>
        <w:snapToGrid w:val="0"/>
        <w:spacing w:line="560" w:lineRule="exact"/>
        <w:ind w:firstLineChars="0"/>
        <w:contextualSpacing/>
        <w:jc w:val="left"/>
        <w:rPr>
          <w:rFonts w:ascii="仿宋" w:hAnsi="仿宋" w:eastAsia="仿宋" w:cs="楷体_GB2312"/>
          <w:b/>
          <w:bCs/>
          <w:kern w:val="0"/>
          <w:sz w:val="32"/>
          <w:szCs w:val="32"/>
          <w:shd w:val="clear" w:color="auto" w:fill="FFFFFF"/>
          <w:lang w:val="zh-CN"/>
        </w:rPr>
      </w:pPr>
      <w:r>
        <w:rPr>
          <w:rFonts w:hint="eastAsia" w:ascii="仿宋" w:hAnsi="仿宋" w:eastAsia="仿宋" w:cs="楷体_GB2312"/>
          <w:b/>
          <w:bCs/>
          <w:kern w:val="0"/>
          <w:sz w:val="32"/>
          <w:szCs w:val="32"/>
          <w:shd w:val="clear" w:color="auto" w:fill="FFFFFF"/>
          <w:lang w:val="zh-CN"/>
        </w:rPr>
        <w:t>改进建议。</w:t>
      </w:r>
    </w:p>
    <w:p>
      <w:pPr>
        <w:ind w:firstLine="640" w:firstLineChars="200"/>
        <w:rPr>
          <w:rFonts w:ascii="仿宋" w:hAnsi="仿宋" w:eastAsia="仿宋"/>
          <w:sz w:val="32"/>
          <w:szCs w:val="32"/>
        </w:rPr>
      </w:pPr>
      <w:r>
        <w:rPr>
          <w:rFonts w:hint="eastAsia" w:ascii="仿宋" w:hAnsi="仿宋" w:eastAsia="仿宋"/>
          <w:sz w:val="32"/>
          <w:szCs w:val="32"/>
        </w:rPr>
        <w:t>1.提高认识，加强绩效管理工作职责。认真学习财务管理和绩效管理相关法规、制度，提高单位领导对全面预算管理的重视程度，增强财务人员的预算意识，坚持先有预算、后有支出，没有预算不得支出。</w:t>
      </w:r>
    </w:p>
    <w:p>
      <w:pPr>
        <w:ind w:firstLine="640" w:firstLineChars="200"/>
        <w:rPr>
          <w:rFonts w:ascii="仿宋" w:hAnsi="仿宋" w:eastAsia="仿宋"/>
          <w:sz w:val="32"/>
          <w:szCs w:val="32"/>
        </w:rPr>
      </w:pPr>
      <w:r>
        <w:rPr>
          <w:rFonts w:hint="eastAsia" w:ascii="仿宋" w:hAnsi="仿宋" w:eastAsia="仿宋"/>
          <w:sz w:val="32"/>
          <w:szCs w:val="32"/>
        </w:rPr>
        <w:t>2. 进一步加强预算管理，夯实预算管理基础，完善财务管理制度，细化工作要求，全面运用预算管理事前、事中和事后全过程控制。</w:t>
      </w:r>
    </w:p>
    <w:p>
      <w:pPr>
        <w:ind w:firstLine="640" w:firstLineChars="200"/>
        <w:rPr>
          <w:rFonts w:ascii="仿宋" w:hAnsi="仿宋" w:eastAsia="仿宋"/>
          <w:sz w:val="32"/>
          <w:szCs w:val="32"/>
        </w:rPr>
      </w:pPr>
      <w:r>
        <w:rPr>
          <w:rFonts w:hint="eastAsia" w:ascii="仿宋" w:hAnsi="仿宋" w:eastAsia="仿宋"/>
          <w:sz w:val="32"/>
          <w:szCs w:val="32"/>
        </w:rPr>
        <w:t xml:space="preserve">3. 进一步强化财务管理责任感，强化财经纪律的执行，严格执行财经纪律，厉行节约，严格按进度和要求完成预算执行，按相关绩效管理规定进一步规范财政资金支出。  </w:t>
      </w:r>
    </w:p>
    <w:p>
      <w:pPr>
        <w:ind w:firstLine="640" w:firstLineChars="200"/>
        <w:rPr>
          <w:rFonts w:ascii="仿宋" w:hAnsi="仿宋" w:eastAsia="仿宋"/>
          <w:sz w:val="32"/>
          <w:szCs w:val="32"/>
        </w:rPr>
      </w:pPr>
      <w:r>
        <w:rPr>
          <w:rFonts w:hint="eastAsia" w:ascii="仿宋" w:hAnsi="仿宋" w:eastAsia="仿宋"/>
          <w:sz w:val="32"/>
          <w:szCs w:val="32"/>
        </w:rPr>
        <w:t>附表：部门预算项目支出绩效自评表（2022年度）</w:t>
      </w:r>
    </w:p>
    <w:p>
      <w:pPr>
        <w:pStyle w:val="2"/>
        <w:spacing w:before="93"/>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tbl>
      <w:tblPr>
        <w:tblStyle w:val="15"/>
        <w:tblW w:w="13906" w:type="dxa"/>
        <w:tblInd w:w="95" w:type="dxa"/>
        <w:tblLayout w:type="autofit"/>
        <w:tblCellMar>
          <w:top w:w="0" w:type="dxa"/>
          <w:left w:w="108" w:type="dxa"/>
          <w:bottom w:w="0" w:type="dxa"/>
          <w:right w:w="108" w:type="dxa"/>
        </w:tblCellMar>
      </w:tblPr>
      <w:tblGrid>
        <w:gridCol w:w="95"/>
        <w:gridCol w:w="1677"/>
        <w:gridCol w:w="58"/>
        <w:gridCol w:w="152"/>
        <w:gridCol w:w="20"/>
        <w:gridCol w:w="112"/>
        <w:gridCol w:w="15"/>
        <w:gridCol w:w="40"/>
        <w:gridCol w:w="54"/>
        <w:gridCol w:w="10"/>
        <w:gridCol w:w="32"/>
        <w:gridCol w:w="69"/>
        <w:gridCol w:w="4"/>
        <w:gridCol w:w="77"/>
        <w:gridCol w:w="52"/>
        <w:gridCol w:w="186"/>
        <w:gridCol w:w="69"/>
        <w:gridCol w:w="54"/>
        <w:gridCol w:w="29"/>
        <w:gridCol w:w="13"/>
        <w:gridCol w:w="6"/>
        <w:gridCol w:w="63"/>
        <w:gridCol w:w="4"/>
        <w:gridCol w:w="45"/>
        <w:gridCol w:w="110"/>
        <w:gridCol w:w="10"/>
        <w:gridCol w:w="2"/>
        <w:gridCol w:w="39"/>
        <w:gridCol w:w="178"/>
        <w:gridCol w:w="15"/>
        <w:gridCol w:w="39"/>
        <w:gridCol w:w="42"/>
        <w:gridCol w:w="69"/>
        <w:gridCol w:w="4"/>
        <w:gridCol w:w="32"/>
        <w:gridCol w:w="152"/>
        <w:gridCol w:w="20"/>
        <w:gridCol w:w="112"/>
        <w:gridCol w:w="110"/>
        <w:gridCol w:w="9"/>
        <w:gridCol w:w="82"/>
        <w:gridCol w:w="152"/>
        <w:gridCol w:w="1089"/>
        <w:gridCol w:w="1253"/>
        <w:gridCol w:w="94"/>
        <w:gridCol w:w="52"/>
        <w:gridCol w:w="81"/>
        <w:gridCol w:w="128"/>
        <w:gridCol w:w="98"/>
        <w:gridCol w:w="35"/>
        <w:gridCol w:w="30"/>
        <w:gridCol w:w="182"/>
        <w:gridCol w:w="132"/>
        <w:gridCol w:w="18"/>
        <w:gridCol w:w="47"/>
        <w:gridCol w:w="421"/>
        <w:gridCol w:w="40"/>
        <w:gridCol w:w="8"/>
        <w:gridCol w:w="56"/>
        <w:gridCol w:w="455"/>
        <w:gridCol w:w="86"/>
        <w:gridCol w:w="79"/>
        <w:gridCol w:w="93"/>
        <w:gridCol w:w="87"/>
        <w:gridCol w:w="32"/>
        <w:gridCol w:w="14"/>
        <w:gridCol w:w="194"/>
        <w:gridCol w:w="45"/>
        <w:gridCol w:w="171"/>
        <w:gridCol w:w="23"/>
        <w:gridCol w:w="21"/>
        <w:gridCol w:w="167"/>
        <w:gridCol w:w="55"/>
        <w:gridCol w:w="153"/>
        <w:gridCol w:w="474"/>
        <w:gridCol w:w="79"/>
        <w:gridCol w:w="30"/>
        <w:gridCol w:w="62"/>
        <w:gridCol w:w="76"/>
        <w:gridCol w:w="3"/>
        <w:gridCol w:w="105"/>
        <w:gridCol w:w="64"/>
        <w:gridCol w:w="14"/>
        <w:gridCol w:w="268"/>
        <w:gridCol w:w="14"/>
        <w:gridCol w:w="82"/>
        <w:gridCol w:w="20"/>
        <w:gridCol w:w="220"/>
        <w:gridCol w:w="117"/>
        <w:gridCol w:w="282"/>
        <w:gridCol w:w="33"/>
        <w:gridCol w:w="61"/>
        <w:gridCol w:w="12"/>
        <w:gridCol w:w="22"/>
        <w:gridCol w:w="44"/>
        <w:gridCol w:w="23"/>
        <w:gridCol w:w="99"/>
        <w:gridCol w:w="5"/>
        <w:gridCol w:w="173"/>
        <w:gridCol w:w="47"/>
        <w:gridCol w:w="9"/>
        <w:gridCol w:w="145"/>
        <w:gridCol w:w="66"/>
        <w:gridCol w:w="38"/>
        <w:gridCol w:w="21"/>
        <w:gridCol w:w="11"/>
        <w:gridCol w:w="16"/>
        <w:gridCol w:w="18"/>
        <w:gridCol w:w="20"/>
        <w:gridCol w:w="12"/>
        <w:gridCol w:w="29"/>
        <w:gridCol w:w="14"/>
        <w:gridCol w:w="195"/>
        <w:gridCol w:w="106"/>
        <w:gridCol w:w="124"/>
        <w:gridCol w:w="150"/>
        <w:gridCol w:w="53"/>
        <w:gridCol w:w="179"/>
        <w:gridCol w:w="22"/>
        <w:gridCol w:w="41"/>
        <w:gridCol w:w="19"/>
        <w:gridCol w:w="64"/>
        <w:gridCol w:w="552"/>
        <w:gridCol w:w="22"/>
        <w:gridCol w:w="99"/>
      </w:tblGrid>
      <w:tr>
        <w:tblPrEx>
          <w:tblCellMar>
            <w:top w:w="0" w:type="dxa"/>
            <w:left w:w="108" w:type="dxa"/>
            <w:bottom w:w="0" w:type="dxa"/>
            <w:right w:w="108" w:type="dxa"/>
          </w:tblCellMar>
        </w:tblPrEx>
        <w:trPr>
          <w:gridBefore w:val="1"/>
          <w:wBefore w:w="95" w:type="dxa"/>
          <w:trHeight w:val="480" w:hRule="atLeast"/>
        </w:trPr>
        <w:tc>
          <w:tcPr>
            <w:tcW w:w="12746" w:type="dxa"/>
            <w:gridSpan w:val="124"/>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36"/>
                <w:szCs w:val="36"/>
              </w:rPr>
            </w:pPr>
            <w:bookmarkStart w:id="53" w:name="RANGE!A1:I22"/>
          </w:p>
          <w:tbl>
            <w:tblPr>
              <w:tblStyle w:val="15"/>
              <w:tblW w:w="5000" w:type="pct"/>
              <w:tblInd w:w="0" w:type="dxa"/>
              <w:tblLayout w:type="autofit"/>
              <w:tblCellMar>
                <w:top w:w="0" w:type="dxa"/>
                <w:left w:w="108" w:type="dxa"/>
                <w:bottom w:w="0" w:type="dxa"/>
                <w:right w:w="108" w:type="dxa"/>
              </w:tblCellMar>
            </w:tblPr>
            <w:tblGrid>
              <w:gridCol w:w="696"/>
              <w:gridCol w:w="696"/>
              <w:gridCol w:w="1693"/>
              <w:gridCol w:w="581"/>
              <w:gridCol w:w="2803"/>
              <w:gridCol w:w="3027"/>
              <w:gridCol w:w="527"/>
              <w:gridCol w:w="529"/>
              <w:gridCol w:w="645"/>
              <w:gridCol w:w="591"/>
              <w:gridCol w:w="591"/>
              <w:gridCol w:w="1316"/>
            </w:tblGrid>
            <w:tr>
              <w:tblPrEx>
                <w:tblCellMar>
                  <w:top w:w="0" w:type="dxa"/>
                  <w:left w:w="108" w:type="dxa"/>
                  <w:bottom w:w="0" w:type="dxa"/>
                  <w:right w:w="108" w:type="dxa"/>
                </w:tblCellMar>
              </w:tblPrEx>
              <w:trPr>
                <w:trHeight w:val="690" w:hRule="atLeast"/>
              </w:trPr>
              <w:tc>
                <w:tcPr>
                  <w:tcW w:w="5000" w:type="pct"/>
                  <w:gridSpan w:val="12"/>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区级部门整体绩效自评体系评分表</w:t>
                  </w:r>
                </w:p>
              </w:tc>
            </w:tr>
            <w:tr>
              <w:tblPrEx>
                <w:tblCellMar>
                  <w:top w:w="0" w:type="dxa"/>
                  <w:left w:w="108" w:type="dxa"/>
                  <w:bottom w:w="0" w:type="dxa"/>
                  <w:right w:w="108" w:type="dxa"/>
                </w:tblCellMar>
              </w:tblPrEx>
              <w:trPr>
                <w:trHeight w:val="503" w:hRule="atLeast"/>
              </w:trPr>
              <w:tc>
                <w:tcPr>
                  <w:tcW w:w="104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绩效指标</w:t>
                  </w:r>
                </w:p>
              </w:tc>
              <w:tc>
                <w:tcPr>
                  <w:tcW w:w="22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指标分值</w:t>
                  </w:r>
                </w:p>
              </w:tc>
              <w:tc>
                <w:tcPr>
                  <w:tcW w:w="103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指标解释</w:t>
                  </w:r>
                </w:p>
              </w:tc>
              <w:tc>
                <w:tcPr>
                  <w:tcW w:w="1114" w:type="pct"/>
                  <w:vMerge w:val="restart"/>
                  <w:tcBorders>
                    <w:top w:val="nil"/>
                    <w:left w:val="nil"/>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计分标准</w:t>
                  </w:r>
                </w:p>
              </w:tc>
              <w:tc>
                <w:tcPr>
                  <w:tcW w:w="403"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评价方式</w:t>
                  </w:r>
                </w:p>
              </w:tc>
              <w:tc>
                <w:tcPr>
                  <w:tcW w:w="468"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评价属性</w:t>
                  </w:r>
                </w:p>
              </w:tc>
              <w:tc>
                <w:tcPr>
                  <w:tcW w:w="224" w:type="pct"/>
                  <w:vMerge w:val="restart"/>
                  <w:tcBorders>
                    <w:top w:val="nil"/>
                    <w:left w:val="single" w:color="auto" w:sz="4" w:space="0"/>
                    <w:bottom w:val="single" w:color="000000" w:sz="4" w:space="0"/>
                    <w:right w:val="single" w:color="auto" w:sz="4" w:space="0"/>
                  </w:tcBorders>
                  <w:shd w:val="clear" w:color="000000" w:fill="FDE9D9"/>
                  <w:vAlign w:val="center"/>
                </w:tcPr>
                <w:p>
                  <w:pPr>
                    <w:widowControl/>
                    <w:jc w:val="center"/>
                    <w:rPr>
                      <w:rFonts w:ascii="宋体" w:hAnsi="宋体" w:cs="宋体"/>
                      <w:b/>
                      <w:bCs/>
                      <w:kern w:val="0"/>
                      <w:sz w:val="24"/>
                    </w:rPr>
                  </w:pPr>
                  <w:r>
                    <w:rPr>
                      <w:rFonts w:hint="eastAsia" w:ascii="宋体" w:hAnsi="宋体" w:cs="宋体"/>
                      <w:b/>
                      <w:bCs/>
                      <w:kern w:val="0"/>
                      <w:sz w:val="24"/>
                    </w:rPr>
                    <w:t>部门打分</w:t>
                  </w:r>
                </w:p>
              </w:tc>
              <w:tc>
                <w:tcPr>
                  <w:tcW w:w="49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备注</w:t>
                  </w:r>
                </w:p>
              </w:tc>
            </w:tr>
            <w:tr>
              <w:tblPrEx>
                <w:tblCellMar>
                  <w:top w:w="0" w:type="dxa"/>
                  <w:left w:w="108" w:type="dxa"/>
                  <w:bottom w:w="0" w:type="dxa"/>
                  <w:right w:w="108" w:type="dxa"/>
                </w:tblCellMar>
              </w:tblPrEx>
              <w:trPr>
                <w:trHeight w:val="480" w:hRule="atLeast"/>
              </w:trPr>
              <w:tc>
                <w:tcPr>
                  <w:tcW w:w="21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一级指标</w:t>
                  </w:r>
                </w:p>
              </w:tc>
              <w:tc>
                <w:tcPr>
                  <w:tcW w:w="2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二级指标</w:t>
                  </w:r>
                </w:p>
              </w:tc>
              <w:tc>
                <w:tcPr>
                  <w:tcW w:w="6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三级指标</w:t>
                  </w:r>
                </w:p>
              </w:tc>
              <w:tc>
                <w:tcPr>
                  <w:tcW w:w="22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103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1114" w:type="pct"/>
                  <w:vMerge w:val="continue"/>
                  <w:tcBorders>
                    <w:top w:val="nil"/>
                    <w:left w:val="nil"/>
                    <w:bottom w:val="single" w:color="000000" w:sz="4" w:space="0"/>
                    <w:right w:val="single" w:color="auto" w:sz="4" w:space="0"/>
                  </w:tcBorders>
                  <w:vAlign w:val="center"/>
                </w:tcPr>
                <w:p>
                  <w:pPr>
                    <w:widowControl/>
                    <w:jc w:val="left"/>
                    <w:rPr>
                      <w:rFonts w:ascii="宋体" w:hAnsi="宋体" w:cs="宋体"/>
                      <w:b/>
                      <w:bCs/>
                      <w:kern w:val="0"/>
                      <w:sz w:val="24"/>
                    </w:rPr>
                  </w:pPr>
                </w:p>
              </w:tc>
              <w:tc>
                <w:tcPr>
                  <w:tcW w:w="20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整体评价</w:t>
                  </w:r>
                </w:p>
              </w:tc>
              <w:tc>
                <w:tcPr>
                  <w:tcW w:w="20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样本评价</w:t>
                  </w:r>
                </w:p>
              </w:tc>
              <w:tc>
                <w:tcPr>
                  <w:tcW w:w="2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定性评价</w:t>
                  </w:r>
                </w:p>
              </w:tc>
              <w:tc>
                <w:tcPr>
                  <w:tcW w:w="22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定量评价</w:t>
                  </w:r>
                </w:p>
              </w:tc>
              <w:tc>
                <w:tcPr>
                  <w:tcW w:w="22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4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1418" w:hRule="atLeast"/>
              </w:trPr>
              <w:tc>
                <w:tcPr>
                  <w:tcW w:w="21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部门预算项目绩效管理（70分）</w:t>
                  </w:r>
                </w:p>
              </w:tc>
              <w:tc>
                <w:tcPr>
                  <w:tcW w:w="21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目标管理（40分）</w:t>
                  </w:r>
                </w:p>
              </w:tc>
              <w:tc>
                <w:tcPr>
                  <w:tcW w:w="627" w:type="pct"/>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目标制定</w:t>
                  </w:r>
                </w:p>
              </w:tc>
              <w:tc>
                <w:tcPr>
                  <w:tcW w:w="22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w:t>
                  </w:r>
                </w:p>
              </w:tc>
              <w:tc>
                <w:tcPr>
                  <w:tcW w:w="103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是否开展部门内部绩效目标审核工作。</w:t>
                  </w:r>
                </w:p>
              </w:tc>
              <w:tc>
                <w:tcPr>
                  <w:tcW w:w="111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部门组织对本部门（含下属单位）绩效目标开展内部审核的，得10分，否则不得分。</w:t>
                  </w:r>
                </w:p>
              </w:tc>
              <w:tc>
                <w:tcPr>
                  <w:tcW w:w="20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0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2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24" w:type="pct"/>
                  <w:tcBorders>
                    <w:top w:val="nil"/>
                    <w:left w:val="nil"/>
                    <w:bottom w:val="single" w:color="auto" w:sz="4" w:space="0"/>
                    <w:right w:val="single" w:color="auto" w:sz="4" w:space="0"/>
                  </w:tcBorders>
                  <w:shd w:val="clear" w:color="000000" w:fill="FDE9D9"/>
                  <w:vAlign w:val="center"/>
                </w:tcPr>
                <w:p>
                  <w:pPr>
                    <w:widowControl/>
                    <w:jc w:val="center"/>
                    <w:rPr>
                      <w:rFonts w:ascii="宋体" w:hAnsi="宋体" w:cs="宋体"/>
                      <w:kern w:val="0"/>
                      <w:sz w:val="24"/>
                    </w:rPr>
                  </w:pPr>
                  <w:r>
                    <w:rPr>
                      <w:rFonts w:hint="eastAsia" w:ascii="宋体" w:hAnsi="宋体" w:cs="宋体"/>
                      <w:kern w:val="0"/>
                      <w:sz w:val="24"/>
                    </w:rPr>
                    <w:t>10</w:t>
                  </w:r>
                </w:p>
              </w:tc>
              <w:tc>
                <w:tcPr>
                  <w:tcW w:w="49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2202" w:hRule="atLeast"/>
              </w:trPr>
              <w:tc>
                <w:tcPr>
                  <w:tcW w:w="21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1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27" w:type="pct"/>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 w:val="24"/>
                    </w:rPr>
                  </w:pPr>
                </w:p>
              </w:tc>
              <w:tc>
                <w:tcPr>
                  <w:tcW w:w="22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w:t>
                  </w:r>
                </w:p>
              </w:tc>
              <w:tc>
                <w:tcPr>
                  <w:tcW w:w="103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根据年度绩效目标实现情况，评价部门绩效目标是否科学合理、规范完整、细化量化并与预算安排相匹配。</w:t>
                  </w:r>
                </w:p>
              </w:tc>
              <w:tc>
                <w:tcPr>
                  <w:tcW w:w="111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1.绩效目标编制科学合理的，得2分，否则酌情扣分。</w:t>
                  </w:r>
                  <w:r>
                    <w:rPr>
                      <w:rFonts w:hint="eastAsia" w:ascii="宋体" w:hAnsi="宋体" w:cs="宋体"/>
                      <w:kern w:val="0"/>
                      <w:sz w:val="24"/>
                    </w:rPr>
                    <w:br w:type="textWrapping"/>
                  </w:r>
                  <w:r>
                    <w:rPr>
                      <w:rFonts w:hint="eastAsia" w:ascii="宋体" w:hAnsi="宋体" w:cs="宋体"/>
                      <w:kern w:val="0"/>
                      <w:sz w:val="24"/>
                    </w:rPr>
                    <w:t>2.绩效目标编制规范完整的，得2分，否则酌情扣分。                                                       3.绩效指标编制细化量化的，得2分，否则酌情扣分。</w:t>
                  </w:r>
                  <w:r>
                    <w:rPr>
                      <w:rFonts w:hint="eastAsia" w:ascii="宋体" w:hAnsi="宋体" w:cs="宋体"/>
                      <w:kern w:val="0"/>
                      <w:sz w:val="24"/>
                    </w:rPr>
                    <w:br w:type="textWrapping"/>
                  </w:r>
                  <w:r>
                    <w:rPr>
                      <w:rFonts w:hint="eastAsia" w:ascii="宋体" w:hAnsi="宋体" w:cs="宋体"/>
                      <w:kern w:val="0"/>
                      <w:sz w:val="24"/>
                    </w:rPr>
                    <w:t xml:space="preserve">4.绩效指标编制与预算安排相匹配的，得2分，否则酌情扣分。 </w:t>
                  </w:r>
                  <w:r>
                    <w:rPr>
                      <w:rFonts w:hint="eastAsia" w:ascii="宋体" w:hAnsi="宋体" w:cs="宋体"/>
                      <w:kern w:val="0"/>
                      <w:sz w:val="24"/>
                    </w:rPr>
                    <w:br w:type="textWrapping"/>
                  </w:r>
                  <w:r>
                    <w:rPr>
                      <w:rFonts w:hint="eastAsia" w:ascii="宋体" w:hAnsi="宋体" w:cs="宋体"/>
                      <w:kern w:val="0"/>
                      <w:sz w:val="24"/>
                    </w:rPr>
                    <w:t xml:space="preserve">5.评价部门绩效目标纳入部门党组（委）会（办公会）集体决策范围的得2分，否则不得分。                                                                                                                    </w:t>
                  </w:r>
                </w:p>
              </w:tc>
              <w:tc>
                <w:tcPr>
                  <w:tcW w:w="20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0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2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24" w:type="pct"/>
                  <w:tcBorders>
                    <w:top w:val="nil"/>
                    <w:left w:val="nil"/>
                    <w:bottom w:val="single" w:color="auto" w:sz="4" w:space="0"/>
                    <w:right w:val="single" w:color="auto" w:sz="4" w:space="0"/>
                  </w:tcBorders>
                  <w:shd w:val="clear" w:color="000000" w:fill="FDE9D9"/>
                  <w:vAlign w:val="center"/>
                </w:tcPr>
                <w:p>
                  <w:pPr>
                    <w:widowControl/>
                    <w:jc w:val="center"/>
                    <w:rPr>
                      <w:rFonts w:ascii="宋体" w:hAnsi="宋体" w:cs="宋体"/>
                      <w:kern w:val="0"/>
                      <w:sz w:val="24"/>
                    </w:rPr>
                  </w:pPr>
                  <w:r>
                    <w:rPr>
                      <w:rFonts w:hint="eastAsia" w:ascii="宋体" w:hAnsi="宋体" w:cs="宋体"/>
                      <w:kern w:val="0"/>
                      <w:sz w:val="24"/>
                    </w:rPr>
                    <w:t>10</w:t>
                  </w:r>
                </w:p>
              </w:tc>
              <w:tc>
                <w:tcPr>
                  <w:tcW w:w="49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759" w:hRule="atLeast"/>
              </w:trPr>
              <w:tc>
                <w:tcPr>
                  <w:tcW w:w="21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1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2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目标实现</w:t>
                  </w:r>
                </w:p>
              </w:tc>
              <w:tc>
                <w:tcPr>
                  <w:tcW w:w="22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03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评价部门整体支出绩效目标实现程度与预期目标的偏离度。</w:t>
                  </w:r>
                </w:p>
              </w:tc>
              <w:tc>
                <w:tcPr>
                  <w:tcW w:w="111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20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01"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24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2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24" w:type="pct"/>
                  <w:tcBorders>
                    <w:top w:val="nil"/>
                    <w:left w:val="nil"/>
                    <w:bottom w:val="single" w:color="auto" w:sz="4" w:space="0"/>
                    <w:right w:val="single" w:color="auto" w:sz="4" w:space="0"/>
                  </w:tcBorders>
                  <w:shd w:val="clear" w:color="000000" w:fill="FDE9D9"/>
                  <w:vAlign w:val="center"/>
                </w:tcPr>
                <w:p>
                  <w:pPr>
                    <w:widowControl/>
                    <w:jc w:val="center"/>
                    <w:rPr>
                      <w:rFonts w:ascii="宋体" w:hAnsi="宋体" w:cs="宋体"/>
                      <w:kern w:val="0"/>
                      <w:sz w:val="24"/>
                    </w:rPr>
                  </w:pPr>
                  <w:r>
                    <w:rPr>
                      <w:rFonts w:hint="eastAsia" w:ascii="宋体" w:hAnsi="宋体" w:cs="宋体"/>
                      <w:kern w:val="0"/>
                      <w:sz w:val="24"/>
                    </w:rPr>
                    <w:t>10</w:t>
                  </w:r>
                </w:p>
              </w:tc>
              <w:tc>
                <w:tcPr>
                  <w:tcW w:w="49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879" w:hRule="atLeast"/>
              </w:trPr>
              <w:tc>
                <w:tcPr>
                  <w:tcW w:w="21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1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627"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22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w:t>
                  </w:r>
                </w:p>
              </w:tc>
              <w:tc>
                <w:tcPr>
                  <w:tcW w:w="103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评价部门预算项目绩效目标实际实现程度与预期目标的偏离度。</w:t>
                  </w:r>
                </w:p>
              </w:tc>
              <w:tc>
                <w:tcPr>
                  <w:tcW w:w="111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20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0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2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24" w:type="pct"/>
                  <w:tcBorders>
                    <w:top w:val="nil"/>
                    <w:left w:val="nil"/>
                    <w:bottom w:val="single" w:color="auto" w:sz="4" w:space="0"/>
                    <w:right w:val="single" w:color="auto" w:sz="4" w:space="0"/>
                  </w:tcBorders>
                  <w:shd w:val="clear" w:color="000000" w:fill="FDE9D9"/>
                  <w:vAlign w:val="center"/>
                </w:tcPr>
                <w:p>
                  <w:pPr>
                    <w:widowControl/>
                    <w:jc w:val="center"/>
                    <w:rPr>
                      <w:rFonts w:ascii="宋体" w:hAnsi="宋体" w:cs="宋体"/>
                      <w:kern w:val="0"/>
                      <w:sz w:val="24"/>
                    </w:rPr>
                  </w:pPr>
                  <w:r>
                    <w:rPr>
                      <w:rFonts w:hint="eastAsia" w:ascii="宋体" w:hAnsi="宋体" w:cs="宋体"/>
                      <w:kern w:val="0"/>
                      <w:sz w:val="24"/>
                    </w:rPr>
                    <w:t>10</w:t>
                  </w:r>
                </w:p>
              </w:tc>
              <w:tc>
                <w:tcPr>
                  <w:tcW w:w="49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部门自评范围为部门所有纳入绩效目标管理的部门预算项目</w:t>
                  </w:r>
                </w:p>
              </w:tc>
            </w:tr>
            <w:tr>
              <w:tblPrEx>
                <w:tblCellMar>
                  <w:top w:w="0" w:type="dxa"/>
                  <w:left w:w="108" w:type="dxa"/>
                  <w:bottom w:w="0" w:type="dxa"/>
                  <w:right w:w="108" w:type="dxa"/>
                </w:tblCellMar>
              </w:tblPrEx>
              <w:trPr>
                <w:trHeight w:val="1658" w:hRule="atLeast"/>
              </w:trPr>
              <w:tc>
                <w:tcPr>
                  <w:tcW w:w="21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1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                                                                             动态调整（15分）</w:t>
                  </w:r>
                </w:p>
              </w:tc>
              <w:tc>
                <w:tcPr>
                  <w:tcW w:w="6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支出控制</w:t>
                  </w:r>
                </w:p>
              </w:tc>
              <w:tc>
                <w:tcPr>
                  <w:tcW w:w="22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w:t>
                  </w:r>
                </w:p>
              </w:tc>
              <w:tc>
                <w:tcPr>
                  <w:tcW w:w="103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部门公用经费及非定额公用支出控制情况。</w:t>
                  </w:r>
                </w:p>
              </w:tc>
              <w:tc>
                <w:tcPr>
                  <w:tcW w:w="111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20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0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22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24" w:type="pct"/>
                  <w:tcBorders>
                    <w:top w:val="nil"/>
                    <w:left w:val="nil"/>
                    <w:bottom w:val="single" w:color="auto" w:sz="4" w:space="0"/>
                    <w:right w:val="single" w:color="auto" w:sz="4" w:space="0"/>
                  </w:tcBorders>
                  <w:shd w:val="clear" w:color="000000" w:fill="FDE9D9"/>
                  <w:vAlign w:val="center"/>
                </w:tcPr>
                <w:p>
                  <w:pPr>
                    <w:widowControl/>
                    <w:jc w:val="center"/>
                    <w:rPr>
                      <w:rFonts w:ascii="宋体" w:hAnsi="宋体" w:cs="宋体"/>
                      <w:kern w:val="0"/>
                      <w:sz w:val="24"/>
                    </w:rPr>
                  </w:pPr>
                  <w:r>
                    <w:rPr>
                      <w:rFonts w:hint="eastAsia" w:ascii="宋体" w:hAnsi="宋体" w:cs="宋体"/>
                      <w:kern w:val="0"/>
                      <w:sz w:val="24"/>
                    </w:rPr>
                    <w:t>10</w:t>
                  </w:r>
                </w:p>
              </w:tc>
              <w:tc>
                <w:tcPr>
                  <w:tcW w:w="49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380" w:hRule="atLeast"/>
              </w:trPr>
              <w:tc>
                <w:tcPr>
                  <w:tcW w:w="21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1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6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及时处置</w:t>
                  </w:r>
                </w:p>
              </w:tc>
              <w:tc>
                <w:tcPr>
                  <w:tcW w:w="22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103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评价部门开展绩效运行监控后，将绩效监控结果应用到预算调整的情况。</w:t>
                  </w:r>
                </w:p>
              </w:tc>
              <w:tc>
                <w:tcPr>
                  <w:tcW w:w="111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20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0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22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24" w:type="pct"/>
                  <w:tcBorders>
                    <w:top w:val="nil"/>
                    <w:left w:val="nil"/>
                    <w:bottom w:val="single" w:color="auto" w:sz="4" w:space="0"/>
                    <w:right w:val="single" w:color="auto" w:sz="4" w:space="0"/>
                  </w:tcBorders>
                  <w:shd w:val="clear" w:color="000000" w:fill="FDE9D9"/>
                  <w:vAlign w:val="center"/>
                </w:tcPr>
                <w:p>
                  <w:pPr>
                    <w:widowControl/>
                    <w:jc w:val="center"/>
                    <w:rPr>
                      <w:rFonts w:ascii="宋体" w:hAnsi="宋体" w:cs="宋体"/>
                      <w:kern w:val="0"/>
                      <w:sz w:val="24"/>
                    </w:rPr>
                  </w:pPr>
                  <w:r>
                    <w:rPr>
                      <w:rFonts w:hint="eastAsia" w:ascii="宋体" w:hAnsi="宋体" w:cs="宋体"/>
                      <w:kern w:val="0"/>
                      <w:sz w:val="24"/>
                    </w:rPr>
                    <w:t>5</w:t>
                  </w:r>
                </w:p>
              </w:tc>
              <w:tc>
                <w:tcPr>
                  <w:tcW w:w="49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800" w:hRule="atLeast"/>
              </w:trPr>
              <w:tc>
                <w:tcPr>
                  <w:tcW w:w="21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1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6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执行进度</w:t>
                  </w:r>
                </w:p>
              </w:tc>
              <w:tc>
                <w:tcPr>
                  <w:tcW w:w="22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103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评价部门在6、9、11月的预算执行情况。</w:t>
                  </w:r>
                </w:p>
              </w:tc>
              <w:tc>
                <w:tcPr>
                  <w:tcW w:w="111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部门预算执行进度在6、9、11月应达到序时进度的80%、90%、90%，即实际支出进度分别达到40%、67.5%、82.5%。                                                     6、9、11月部门预算执行进度达到量化指标的分别得1分、2分、2分，未达到目标进度的的按其实际进度占目标进度的比重计算得分。                                             </w:t>
                  </w:r>
                </w:p>
              </w:tc>
              <w:tc>
                <w:tcPr>
                  <w:tcW w:w="20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0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22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24" w:type="pct"/>
                  <w:tcBorders>
                    <w:top w:val="nil"/>
                    <w:left w:val="nil"/>
                    <w:bottom w:val="single" w:color="auto" w:sz="4" w:space="0"/>
                    <w:right w:val="single" w:color="auto" w:sz="4" w:space="0"/>
                  </w:tcBorders>
                  <w:shd w:val="clear" w:color="000000" w:fill="FDE9D9"/>
                  <w:vAlign w:val="center"/>
                </w:tcPr>
                <w:p>
                  <w:pPr>
                    <w:widowControl/>
                    <w:jc w:val="center"/>
                    <w:rPr>
                      <w:rFonts w:ascii="宋体" w:hAnsi="宋体" w:cs="宋体"/>
                      <w:kern w:val="0"/>
                      <w:sz w:val="24"/>
                    </w:rPr>
                  </w:pPr>
                  <w:r>
                    <w:rPr>
                      <w:rFonts w:hint="eastAsia" w:ascii="宋体" w:hAnsi="宋体" w:cs="宋体"/>
                      <w:kern w:val="0"/>
                      <w:sz w:val="24"/>
                    </w:rPr>
                    <w:t>5</w:t>
                  </w:r>
                </w:p>
              </w:tc>
              <w:tc>
                <w:tcPr>
                  <w:tcW w:w="49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163" w:hRule="atLeast"/>
              </w:trPr>
              <w:tc>
                <w:tcPr>
                  <w:tcW w:w="21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1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完成结果（10分）</w:t>
                  </w:r>
                </w:p>
              </w:tc>
              <w:tc>
                <w:tcPr>
                  <w:tcW w:w="6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资金结余率（低效无效率）</w:t>
                  </w:r>
                </w:p>
              </w:tc>
              <w:tc>
                <w:tcPr>
                  <w:tcW w:w="22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103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评价部门预算项目年终资金结余情况。                 </w:t>
                  </w:r>
                </w:p>
              </w:tc>
              <w:tc>
                <w:tcPr>
                  <w:tcW w:w="111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部门预算项目资金结余率小于0.1的项目数/部门预算项目总数*5。</w:t>
                  </w:r>
                </w:p>
              </w:tc>
              <w:tc>
                <w:tcPr>
                  <w:tcW w:w="20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0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24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22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24" w:type="pct"/>
                  <w:tcBorders>
                    <w:top w:val="nil"/>
                    <w:left w:val="nil"/>
                    <w:bottom w:val="single" w:color="auto" w:sz="4" w:space="0"/>
                    <w:right w:val="single" w:color="auto" w:sz="4" w:space="0"/>
                  </w:tcBorders>
                  <w:shd w:val="clear" w:color="000000" w:fill="FDE9D9"/>
                  <w:vAlign w:val="center"/>
                </w:tcPr>
                <w:p>
                  <w:pPr>
                    <w:widowControl/>
                    <w:jc w:val="center"/>
                    <w:rPr>
                      <w:rFonts w:ascii="宋体" w:hAnsi="宋体" w:cs="宋体"/>
                      <w:kern w:val="0"/>
                      <w:sz w:val="24"/>
                    </w:rPr>
                  </w:pPr>
                  <w:r>
                    <w:rPr>
                      <w:rFonts w:hint="eastAsia" w:ascii="宋体" w:hAnsi="宋体" w:cs="宋体"/>
                      <w:kern w:val="0"/>
                      <w:sz w:val="24"/>
                    </w:rPr>
                    <w:t>5</w:t>
                  </w:r>
                </w:p>
              </w:tc>
              <w:tc>
                <w:tcPr>
                  <w:tcW w:w="49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302" w:hRule="atLeast"/>
              </w:trPr>
              <w:tc>
                <w:tcPr>
                  <w:tcW w:w="21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1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6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违规记录</w:t>
                  </w:r>
                </w:p>
              </w:tc>
              <w:tc>
                <w:tcPr>
                  <w:tcW w:w="22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103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根据审计监督、财会监督和部门自查结果反映部门上一年度部门预算管理是否存在相关问题。</w:t>
                  </w:r>
                </w:p>
              </w:tc>
              <w:tc>
                <w:tcPr>
                  <w:tcW w:w="111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依据评价年度审计监督、财会监督和部门自查结果，出现未落实党政机关过紧日子相关要求，以及部门预算管理方面违纪违规等问题的，每个问题扣0.5分，直至扣完。</w:t>
                  </w:r>
                </w:p>
              </w:tc>
              <w:tc>
                <w:tcPr>
                  <w:tcW w:w="20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0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2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2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24" w:type="pct"/>
                  <w:tcBorders>
                    <w:top w:val="nil"/>
                    <w:left w:val="nil"/>
                    <w:bottom w:val="single" w:color="auto" w:sz="4" w:space="0"/>
                    <w:right w:val="single" w:color="auto" w:sz="4" w:space="0"/>
                  </w:tcBorders>
                  <w:shd w:val="clear" w:color="000000" w:fill="FDE9D9"/>
                  <w:vAlign w:val="center"/>
                </w:tcPr>
                <w:p>
                  <w:pPr>
                    <w:widowControl/>
                    <w:jc w:val="center"/>
                    <w:rPr>
                      <w:rFonts w:ascii="宋体" w:hAnsi="宋体" w:cs="宋体"/>
                      <w:kern w:val="0"/>
                      <w:sz w:val="24"/>
                    </w:rPr>
                  </w:pPr>
                  <w:r>
                    <w:rPr>
                      <w:rFonts w:hint="eastAsia" w:ascii="宋体" w:hAnsi="宋体" w:cs="宋体"/>
                      <w:kern w:val="0"/>
                      <w:sz w:val="24"/>
                    </w:rPr>
                    <w:t>5</w:t>
                  </w:r>
                </w:p>
              </w:tc>
              <w:tc>
                <w:tcPr>
                  <w:tcW w:w="490"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1223" w:hRule="atLeast"/>
              </w:trPr>
              <w:tc>
                <w:tcPr>
                  <w:tcW w:w="21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绩效结果应用（30分）</w:t>
                  </w:r>
                </w:p>
              </w:tc>
              <w:tc>
                <w:tcPr>
                  <w:tcW w:w="2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内部应用（10分）</w:t>
                  </w:r>
                </w:p>
              </w:tc>
              <w:tc>
                <w:tcPr>
                  <w:tcW w:w="6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预算挂钩</w:t>
                  </w:r>
                </w:p>
              </w:tc>
              <w:tc>
                <w:tcPr>
                  <w:tcW w:w="22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w:t>
                  </w:r>
                </w:p>
              </w:tc>
              <w:tc>
                <w:tcPr>
                  <w:tcW w:w="103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部门内部绩效结果与预算挂钩情况</w:t>
                  </w:r>
                </w:p>
              </w:tc>
              <w:tc>
                <w:tcPr>
                  <w:tcW w:w="111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将内设机构和下属单位绩效自评情况纳入内部考核体系，得5分；建立对内设机构和下属单位预算与绩效挂钩机制的，得5分；否则酌情扣分。    </w:t>
                  </w:r>
                </w:p>
              </w:tc>
              <w:tc>
                <w:tcPr>
                  <w:tcW w:w="20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0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2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2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24" w:type="pct"/>
                  <w:tcBorders>
                    <w:top w:val="nil"/>
                    <w:left w:val="nil"/>
                    <w:bottom w:val="single" w:color="auto" w:sz="4" w:space="0"/>
                    <w:right w:val="single" w:color="auto" w:sz="4" w:space="0"/>
                  </w:tcBorders>
                  <w:shd w:val="clear" w:color="000000" w:fill="FDE9D9"/>
                  <w:vAlign w:val="center"/>
                </w:tcPr>
                <w:p>
                  <w:pPr>
                    <w:widowControl/>
                    <w:jc w:val="center"/>
                    <w:rPr>
                      <w:rFonts w:ascii="宋体" w:hAnsi="宋体" w:cs="宋体"/>
                      <w:kern w:val="0"/>
                      <w:sz w:val="24"/>
                    </w:rPr>
                  </w:pPr>
                  <w:r>
                    <w:rPr>
                      <w:rFonts w:hint="eastAsia" w:ascii="宋体" w:hAnsi="宋体" w:cs="宋体"/>
                      <w:kern w:val="0"/>
                      <w:sz w:val="24"/>
                    </w:rPr>
                    <w:t>9</w:t>
                  </w:r>
                </w:p>
              </w:tc>
              <w:tc>
                <w:tcPr>
                  <w:tcW w:w="49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80" w:hRule="atLeast"/>
              </w:trPr>
              <w:tc>
                <w:tcPr>
                  <w:tcW w:w="21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1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信息公开（5分)</w:t>
                  </w:r>
                </w:p>
              </w:tc>
              <w:tc>
                <w:tcPr>
                  <w:tcW w:w="6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自评公开</w:t>
                  </w:r>
                </w:p>
              </w:tc>
              <w:tc>
                <w:tcPr>
                  <w:tcW w:w="22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w:t>
                  </w:r>
                </w:p>
              </w:tc>
              <w:tc>
                <w:tcPr>
                  <w:tcW w:w="103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评价部门是否按要求将部门整体绩效自评情况和自行组织的评价情况向社会公开。</w:t>
                  </w:r>
                </w:p>
              </w:tc>
              <w:tc>
                <w:tcPr>
                  <w:tcW w:w="111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按要求将相关绩效信息随同决算公开的，得10分，否则不得分。</w:t>
                  </w:r>
                </w:p>
              </w:tc>
              <w:tc>
                <w:tcPr>
                  <w:tcW w:w="20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0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2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2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224" w:type="pct"/>
                  <w:tcBorders>
                    <w:top w:val="nil"/>
                    <w:left w:val="nil"/>
                    <w:bottom w:val="single" w:color="auto" w:sz="4" w:space="0"/>
                    <w:right w:val="single" w:color="auto" w:sz="4" w:space="0"/>
                  </w:tcBorders>
                  <w:shd w:val="clear" w:color="000000" w:fill="FDE9D9"/>
                  <w:vAlign w:val="center"/>
                </w:tcPr>
                <w:p>
                  <w:pPr>
                    <w:widowControl/>
                    <w:jc w:val="center"/>
                    <w:rPr>
                      <w:rFonts w:ascii="宋体" w:hAnsi="宋体" w:cs="宋体"/>
                      <w:kern w:val="0"/>
                      <w:sz w:val="24"/>
                    </w:rPr>
                  </w:pPr>
                  <w:r>
                    <w:rPr>
                      <w:rFonts w:hint="eastAsia" w:ascii="宋体" w:hAnsi="宋体" w:cs="宋体"/>
                      <w:kern w:val="0"/>
                      <w:sz w:val="24"/>
                    </w:rPr>
                    <w:t>10</w:t>
                  </w:r>
                </w:p>
              </w:tc>
              <w:tc>
                <w:tcPr>
                  <w:tcW w:w="49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418" w:hRule="atLeast"/>
              </w:trPr>
              <w:tc>
                <w:tcPr>
                  <w:tcW w:w="21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1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整改反馈（10分）</w:t>
                  </w:r>
                </w:p>
              </w:tc>
              <w:tc>
                <w:tcPr>
                  <w:tcW w:w="6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问题整改</w:t>
                  </w:r>
                </w:p>
              </w:tc>
              <w:tc>
                <w:tcPr>
                  <w:tcW w:w="22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103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评价部门根据绩效管理结果整改问题、完善政策、改进管理的情况。</w:t>
                  </w:r>
                </w:p>
              </w:tc>
              <w:tc>
                <w:tcPr>
                  <w:tcW w:w="111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针对绩效管理过程中（包括绩效目标核查、绩效监控核查和重点绩效评价）提出的问题进行整改，得5分，否则酌情扣分。</w:t>
                  </w:r>
                </w:p>
              </w:tc>
              <w:tc>
                <w:tcPr>
                  <w:tcW w:w="20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0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2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2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24" w:type="pct"/>
                  <w:tcBorders>
                    <w:top w:val="nil"/>
                    <w:left w:val="nil"/>
                    <w:bottom w:val="single" w:color="auto" w:sz="4" w:space="0"/>
                    <w:right w:val="single" w:color="auto" w:sz="4" w:space="0"/>
                  </w:tcBorders>
                  <w:shd w:val="clear" w:color="000000" w:fill="FDE9D9"/>
                  <w:vAlign w:val="center"/>
                </w:tcPr>
                <w:p>
                  <w:pPr>
                    <w:widowControl/>
                    <w:jc w:val="center"/>
                    <w:rPr>
                      <w:rFonts w:ascii="宋体" w:hAnsi="宋体" w:cs="宋体"/>
                      <w:kern w:val="0"/>
                      <w:sz w:val="24"/>
                    </w:rPr>
                  </w:pPr>
                  <w:r>
                    <w:rPr>
                      <w:rFonts w:hint="eastAsia" w:ascii="宋体" w:hAnsi="宋体" w:cs="宋体"/>
                      <w:kern w:val="0"/>
                      <w:sz w:val="24"/>
                    </w:rPr>
                    <w:t>5</w:t>
                  </w:r>
                </w:p>
              </w:tc>
              <w:tc>
                <w:tcPr>
                  <w:tcW w:w="49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298" w:hRule="atLeast"/>
              </w:trPr>
              <w:tc>
                <w:tcPr>
                  <w:tcW w:w="21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11"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6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应用反馈</w:t>
                  </w:r>
                </w:p>
              </w:tc>
              <w:tc>
                <w:tcPr>
                  <w:tcW w:w="22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103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评价部门按要求及时向财政部门反馈结果应用情况。</w:t>
                  </w:r>
                </w:p>
              </w:tc>
              <w:tc>
                <w:tcPr>
                  <w:tcW w:w="111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部门在规定时间内向财政部门反馈应用绩效结果报告的，得5分，否则不得分。</w:t>
                  </w:r>
                </w:p>
              </w:tc>
              <w:tc>
                <w:tcPr>
                  <w:tcW w:w="20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01"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2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2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24" w:type="pct"/>
                  <w:tcBorders>
                    <w:top w:val="nil"/>
                    <w:left w:val="nil"/>
                    <w:bottom w:val="single" w:color="auto" w:sz="4" w:space="0"/>
                    <w:right w:val="single" w:color="auto" w:sz="4" w:space="0"/>
                  </w:tcBorders>
                  <w:shd w:val="clear" w:color="000000" w:fill="FDE9D9"/>
                  <w:vAlign w:val="center"/>
                </w:tcPr>
                <w:p>
                  <w:pPr>
                    <w:widowControl/>
                    <w:jc w:val="center"/>
                    <w:rPr>
                      <w:rFonts w:ascii="宋体" w:hAnsi="宋体" w:cs="宋体"/>
                      <w:kern w:val="0"/>
                      <w:sz w:val="24"/>
                    </w:rPr>
                  </w:pPr>
                  <w:r>
                    <w:rPr>
                      <w:rFonts w:hint="eastAsia" w:ascii="宋体" w:hAnsi="宋体" w:cs="宋体"/>
                      <w:kern w:val="0"/>
                      <w:sz w:val="24"/>
                    </w:rPr>
                    <w:t>5</w:t>
                  </w:r>
                </w:p>
              </w:tc>
              <w:tc>
                <w:tcPr>
                  <w:tcW w:w="49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639" w:hRule="atLeast"/>
              </w:trPr>
              <w:tc>
                <w:tcPr>
                  <w:tcW w:w="1049" w:type="pct"/>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扣分项（10分）</w:t>
                  </w:r>
                </w:p>
              </w:tc>
              <w:tc>
                <w:tcPr>
                  <w:tcW w:w="22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10</w:t>
                  </w:r>
                </w:p>
              </w:tc>
              <w:tc>
                <w:tcPr>
                  <w:tcW w:w="1032"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被评价单位配合评价工作情况。</w:t>
                  </w:r>
                </w:p>
              </w:tc>
              <w:tc>
                <w:tcPr>
                  <w:tcW w:w="1114"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20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0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4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2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w:t>
                  </w:r>
                </w:p>
              </w:tc>
              <w:tc>
                <w:tcPr>
                  <w:tcW w:w="224" w:type="pct"/>
                  <w:tcBorders>
                    <w:top w:val="nil"/>
                    <w:left w:val="nil"/>
                    <w:bottom w:val="single" w:color="auto" w:sz="4" w:space="0"/>
                    <w:right w:val="single" w:color="auto" w:sz="4" w:space="0"/>
                  </w:tcBorders>
                  <w:shd w:val="clear" w:color="000000" w:fill="FDE9D9"/>
                  <w:vAlign w:val="center"/>
                </w:tcPr>
                <w:p>
                  <w:pPr>
                    <w:widowControl/>
                    <w:jc w:val="center"/>
                    <w:rPr>
                      <w:rFonts w:ascii="宋体" w:hAnsi="宋体" w:cs="宋体"/>
                      <w:kern w:val="0"/>
                      <w:sz w:val="24"/>
                    </w:rPr>
                  </w:pPr>
                  <w:r>
                    <w:rPr>
                      <w:rFonts w:hint="eastAsia" w:ascii="宋体" w:hAnsi="宋体" w:cs="宋体"/>
                      <w:kern w:val="0"/>
                      <w:sz w:val="24"/>
                    </w:rPr>
                    <w:t>　</w:t>
                  </w:r>
                </w:p>
              </w:tc>
              <w:tc>
                <w:tcPr>
                  <w:tcW w:w="49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769" w:hRule="atLeast"/>
              </w:trPr>
              <w:tc>
                <w:tcPr>
                  <w:tcW w:w="4286"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部 门 整 体 自 评 得 分</w:t>
                  </w:r>
                </w:p>
              </w:tc>
              <w:tc>
                <w:tcPr>
                  <w:tcW w:w="224" w:type="pct"/>
                  <w:tcBorders>
                    <w:top w:val="nil"/>
                    <w:left w:val="nil"/>
                    <w:bottom w:val="single" w:color="auto" w:sz="4" w:space="0"/>
                    <w:right w:val="single" w:color="auto" w:sz="4" w:space="0"/>
                  </w:tcBorders>
                  <w:shd w:val="clear" w:color="000000" w:fill="FDE9D9"/>
                  <w:vAlign w:val="center"/>
                </w:tcPr>
                <w:p>
                  <w:pPr>
                    <w:widowControl/>
                    <w:jc w:val="center"/>
                    <w:rPr>
                      <w:rFonts w:ascii="宋体" w:hAnsi="宋体" w:cs="宋体"/>
                      <w:kern w:val="0"/>
                      <w:sz w:val="24"/>
                    </w:rPr>
                  </w:pPr>
                  <w:r>
                    <w:rPr>
                      <w:rFonts w:hint="eastAsia" w:ascii="宋体" w:hAnsi="宋体" w:cs="宋体"/>
                      <w:kern w:val="0"/>
                      <w:sz w:val="24"/>
                    </w:rPr>
                    <w:t>99</w:t>
                  </w:r>
                </w:p>
              </w:tc>
              <w:tc>
                <w:tcPr>
                  <w:tcW w:w="490"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bl>
          <w:p>
            <w:pPr>
              <w:pStyle w:val="2"/>
              <w:spacing w:before="93"/>
            </w:pPr>
          </w:p>
          <w:p>
            <w:pPr>
              <w:pStyle w:val="2"/>
              <w:spacing w:before="93"/>
            </w:pPr>
          </w:p>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区级项目支出绩效自评表</w:t>
            </w:r>
            <w:bookmarkEnd w:id="53"/>
          </w:p>
        </w:tc>
      </w:tr>
      <w:tr>
        <w:tblPrEx>
          <w:tblCellMar>
            <w:top w:w="0" w:type="dxa"/>
            <w:left w:w="108" w:type="dxa"/>
            <w:bottom w:w="0" w:type="dxa"/>
            <w:right w:w="108" w:type="dxa"/>
          </w:tblCellMar>
        </w:tblPrEx>
        <w:trPr>
          <w:gridBefore w:val="1"/>
          <w:wBefore w:w="95" w:type="dxa"/>
          <w:trHeight w:val="409" w:hRule="atLeast"/>
        </w:trPr>
        <w:tc>
          <w:tcPr>
            <w:tcW w:w="16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6001" w:type="dxa"/>
            <w:gridSpan w:val="54"/>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棉竹镇仙米寺段产业提升道路</w:t>
            </w:r>
          </w:p>
        </w:tc>
        <w:tc>
          <w:tcPr>
            <w:tcW w:w="1404"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w:t>
            </w:r>
          </w:p>
        </w:tc>
        <w:tc>
          <w:tcPr>
            <w:tcW w:w="3664" w:type="dxa"/>
            <w:gridSpan w:val="5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w:t>
            </w:r>
          </w:p>
        </w:tc>
      </w:tr>
      <w:tr>
        <w:tblPrEx>
          <w:tblCellMar>
            <w:top w:w="0" w:type="dxa"/>
            <w:left w:w="108" w:type="dxa"/>
            <w:bottom w:w="0" w:type="dxa"/>
            <w:right w:w="108" w:type="dxa"/>
          </w:tblCellMar>
        </w:tblPrEx>
        <w:trPr>
          <w:gridBefore w:val="1"/>
          <w:wBefore w:w="95" w:type="dxa"/>
          <w:trHeight w:val="409" w:hRule="atLeast"/>
        </w:trPr>
        <w:tc>
          <w:tcPr>
            <w:tcW w:w="167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6001" w:type="dxa"/>
            <w:gridSpan w:val="54"/>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c>
          <w:tcPr>
            <w:tcW w:w="1404" w:type="dxa"/>
            <w:gridSpan w:val="1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3664" w:type="dxa"/>
            <w:gridSpan w:val="5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r>
      <w:tr>
        <w:tblPrEx>
          <w:tblCellMar>
            <w:top w:w="0" w:type="dxa"/>
            <w:left w:w="108" w:type="dxa"/>
            <w:bottom w:w="0" w:type="dxa"/>
            <w:right w:w="108" w:type="dxa"/>
          </w:tblCellMar>
        </w:tblPrEx>
        <w:trPr>
          <w:gridBefore w:val="1"/>
          <w:wBefore w:w="95" w:type="dxa"/>
          <w:trHeight w:val="409" w:hRule="atLeast"/>
        </w:trPr>
        <w:tc>
          <w:tcPr>
            <w:tcW w:w="12746" w:type="dxa"/>
            <w:gridSpan w:val="12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项目资金（万元）</w:t>
            </w:r>
          </w:p>
        </w:tc>
      </w:tr>
      <w:tr>
        <w:tblPrEx>
          <w:tblCellMar>
            <w:top w:w="0" w:type="dxa"/>
            <w:left w:w="108" w:type="dxa"/>
            <w:bottom w:w="0" w:type="dxa"/>
            <w:right w:w="108" w:type="dxa"/>
          </w:tblCellMar>
        </w:tblPrEx>
        <w:trPr>
          <w:gridBefore w:val="1"/>
          <w:wBefore w:w="95" w:type="dxa"/>
          <w:trHeight w:val="409" w:hRule="atLeast"/>
        </w:trPr>
        <w:tc>
          <w:tcPr>
            <w:tcW w:w="2320" w:type="dxa"/>
            <w:gridSpan w:val="13"/>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358" w:type="dxa"/>
            <w:gridSpan w:val="4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2671" w:type="dxa"/>
            <w:gridSpan w:val="2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2397" w:type="dxa"/>
            <w:gridSpan w:val="4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r>
      <w:tr>
        <w:tblPrEx>
          <w:tblCellMar>
            <w:top w:w="0" w:type="dxa"/>
            <w:left w:w="108" w:type="dxa"/>
            <w:bottom w:w="0" w:type="dxa"/>
            <w:right w:w="108" w:type="dxa"/>
          </w:tblCellMar>
        </w:tblPrEx>
        <w:trPr>
          <w:gridBefore w:val="1"/>
          <w:wBefore w:w="95" w:type="dxa"/>
          <w:trHeight w:val="409" w:hRule="atLeast"/>
        </w:trPr>
        <w:tc>
          <w:tcPr>
            <w:tcW w:w="2320" w:type="dxa"/>
            <w:gridSpan w:val="1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5358" w:type="dxa"/>
            <w:gridSpan w:val="4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180</w:t>
            </w:r>
          </w:p>
        </w:tc>
        <w:tc>
          <w:tcPr>
            <w:tcW w:w="2671" w:type="dxa"/>
            <w:gridSpan w:val="2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140.15</w:t>
            </w:r>
          </w:p>
        </w:tc>
        <w:tc>
          <w:tcPr>
            <w:tcW w:w="2397" w:type="dxa"/>
            <w:gridSpan w:val="4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78%</w:t>
            </w:r>
          </w:p>
        </w:tc>
      </w:tr>
      <w:tr>
        <w:tblPrEx>
          <w:tblCellMar>
            <w:top w:w="0" w:type="dxa"/>
            <w:left w:w="108" w:type="dxa"/>
            <w:bottom w:w="0" w:type="dxa"/>
            <w:right w:w="108" w:type="dxa"/>
          </w:tblCellMar>
        </w:tblPrEx>
        <w:trPr>
          <w:gridBefore w:val="1"/>
          <w:wBefore w:w="95" w:type="dxa"/>
          <w:trHeight w:val="409" w:hRule="atLeast"/>
        </w:trPr>
        <w:tc>
          <w:tcPr>
            <w:tcW w:w="2320" w:type="dxa"/>
            <w:gridSpan w:val="1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其中：财政拨款</w:t>
            </w:r>
          </w:p>
        </w:tc>
        <w:tc>
          <w:tcPr>
            <w:tcW w:w="5358" w:type="dxa"/>
            <w:gridSpan w:val="4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180</w:t>
            </w:r>
          </w:p>
        </w:tc>
        <w:tc>
          <w:tcPr>
            <w:tcW w:w="2671" w:type="dxa"/>
            <w:gridSpan w:val="2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140.15</w:t>
            </w:r>
          </w:p>
        </w:tc>
        <w:tc>
          <w:tcPr>
            <w:tcW w:w="2397" w:type="dxa"/>
            <w:gridSpan w:val="4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78%</w:t>
            </w:r>
          </w:p>
        </w:tc>
      </w:tr>
      <w:tr>
        <w:tblPrEx>
          <w:tblCellMar>
            <w:top w:w="0" w:type="dxa"/>
            <w:left w:w="108" w:type="dxa"/>
            <w:bottom w:w="0" w:type="dxa"/>
            <w:right w:w="108" w:type="dxa"/>
          </w:tblCellMar>
        </w:tblPrEx>
        <w:trPr>
          <w:gridBefore w:val="1"/>
          <w:wBefore w:w="95" w:type="dxa"/>
          <w:trHeight w:val="409" w:hRule="atLeast"/>
        </w:trPr>
        <w:tc>
          <w:tcPr>
            <w:tcW w:w="2320" w:type="dxa"/>
            <w:gridSpan w:val="1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5358" w:type="dxa"/>
            <w:gridSpan w:val="4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671" w:type="dxa"/>
            <w:gridSpan w:val="2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397" w:type="dxa"/>
            <w:gridSpan w:val="4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gridBefore w:val="1"/>
          <w:wBefore w:w="95" w:type="dxa"/>
          <w:trHeight w:val="409" w:hRule="atLeast"/>
        </w:trPr>
        <w:tc>
          <w:tcPr>
            <w:tcW w:w="167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年度总体目标</w:t>
            </w:r>
          </w:p>
        </w:tc>
        <w:tc>
          <w:tcPr>
            <w:tcW w:w="7405" w:type="dxa"/>
            <w:gridSpan w:val="6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3664" w:type="dxa"/>
            <w:gridSpan w:val="5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gridBefore w:val="1"/>
          <w:wBefore w:w="95" w:type="dxa"/>
          <w:trHeight w:val="1879" w:hRule="atLeast"/>
        </w:trPr>
        <w:tc>
          <w:tcPr>
            <w:tcW w:w="16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405" w:type="dxa"/>
            <w:gridSpan w:val="69"/>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为贯彻落实党中央、国务院和省委、省政府关于巩固拓展脱贫攻坚成果同乡村有效衔接的决策部署，按照市委未来五年发展“345”工作思路和市中区奋力建设“一心五区”目标任务，结合创建2022年乡村振兴成效显著县和片区规划发展需要，安排相关项目建设，全面推进乡村振兴与脱贫攻坚有效衔接。</w:t>
            </w:r>
          </w:p>
        </w:tc>
        <w:tc>
          <w:tcPr>
            <w:tcW w:w="3664" w:type="dxa"/>
            <w:gridSpan w:val="5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棉竹镇九百洞村仙米寺段产业提升道路项目资金计划为180万元，实际到位140.15万元。主要用于道路二期建设，截止2022年12月31 日共支出140.15万元，资金使用率100%。</w:t>
            </w:r>
          </w:p>
        </w:tc>
      </w:tr>
      <w:tr>
        <w:tblPrEx>
          <w:tblCellMar>
            <w:top w:w="0" w:type="dxa"/>
            <w:left w:w="108" w:type="dxa"/>
            <w:bottom w:w="0" w:type="dxa"/>
            <w:right w:w="108" w:type="dxa"/>
          </w:tblCellMar>
        </w:tblPrEx>
        <w:trPr>
          <w:gridBefore w:val="1"/>
          <w:wBefore w:w="95" w:type="dxa"/>
          <w:trHeight w:val="529" w:hRule="atLeast"/>
        </w:trPr>
        <w:tc>
          <w:tcPr>
            <w:tcW w:w="16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286" w:type="dxa"/>
            <w:gridSpan w:val="2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4715" w:type="dxa"/>
            <w:gridSpan w:val="2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404"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267"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017" w:type="dxa"/>
            <w:gridSpan w:val="8"/>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分值/权重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（百分制）</w:t>
            </w:r>
          </w:p>
        </w:tc>
        <w:tc>
          <w:tcPr>
            <w:tcW w:w="528"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52" w:type="dxa"/>
            <w:gridSpan w:val="2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扣分原因分析</w:t>
            </w:r>
          </w:p>
        </w:tc>
      </w:tr>
      <w:tr>
        <w:tblPrEx>
          <w:tblCellMar>
            <w:top w:w="0" w:type="dxa"/>
            <w:left w:w="108" w:type="dxa"/>
            <w:bottom w:w="0" w:type="dxa"/>
            <w:right w:w="108" w:type="dxa"/>
          </w:tblCellMar>
        </w:tblPrEx>
        <w:trPr>
          <w:gridBefore w:val="1"/>
          <w:wBefore w:w="95" w:type="dxa"/>
          <w:trHeight w:val="409" w:hRule="atLeast"/>
        </w:trPr>
        <w:tc>
          <w:tcPr>
            <w:tcW w:w="10349" w:type="dxa"/>
            <w:gridSpan w:val="81"/>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    分</w:t>
            </w:r>
          </w:p>
        </w:tc>
        <w:tc>
          <w:tcPr>
            <w:tcW w:w="1017" w:type="dxa"/>
            <w:gridSpan w:val="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28"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852" w:type="dxa"/>
            <w:gridSpan w:val="2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7678" w:type="dxa"/>
            <w:gridSpan w:val="55"/>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预算执行率（10分）</w:t>
            </w:r>
          </w:p>
        </w:tc>
        <w:tc>
          <w:tcPr>
            <w:tcW w:w="1404"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267" w:type="dxa"/>
            <w:gridSpan w:val="11"/>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017" w:type="dxa"/>
            <w:gridSpan w:val="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28"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52" w:type="dxa"/>
            <w:gridSpan w:val="2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677"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产出指标</w:t>
            </w:r>
          </w:p>
        </w:tc>
        <w:tc>
          <w:tcPr>
            <w:tcW w:w="1286" w:type="dxa"/>
            <w:gridSpan w:val="25"/>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数量指标</w:t>
            </w:r>
          </w:p>
        </w:tc>
        <w:tc>
          <w:tcPr>
            <w:tcW w:w="4715" w:type="dxa"/>
            <w:gridSpan w:val="29"/>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产业路长公里数</w:t>
            </w:r>
          </w:p>
        </w:tc>
        <w:tc>
          <w:tcPr>
            <w:tcW w:w="1404"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w:t>
            </w:r>
          </w:p>
        </w:tc>
        <w:tc>
          <w:tcPr>
            <w:tcW w:w="1267"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w:t>
            </w:r>
          </w:p>
        </w:tc>
        <w:tc>
          <w:tcPr>
            <w:tcW w:w="1017" w:type="dxa"/>
            <w:gridSpan w:val="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28"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52" w:type="dxa"/>
            <w:gridSpan w:val="2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6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286" w:type="dxa"/>
            <w:gridSpan w:val="25"/>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数量指标</w:t>
            </w:r>
          </w:p>
        </w:tc>
        <w:tc>
          <w:tcPr>
            <w:tcW w:w="4715" w:type="dxa"/>
            <w:gridSpan w:val="29"/>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道路配套桥梁数</w:t>
            </w:r>
          </w:p>
        </w:tc>
        <w:tc>
          <w:tcPr>
            <w:tcW w:w="1404"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267"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17" w:type="dxa"/>
            <w:gridSpan w:val="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28"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52" w:type="dxa"/>
            <w:gridSpan w:val="2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6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286" w:type="dxa"/>
            <w:gridSpan w:val="25"/>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质量指标</w:t>
            </w:r>
          </w:p>
        </w:tc>
        <w:tc>
          <w:tcPr>
            <w:tcW w:w="4715" w:type="dxa"/>
            <w:gridSpan w:val="29"/>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产业路验收合格率</w:t>
            </w:r>
          </w:p>
        </w:tc>
        <w:tc>
          <w:tcPr>
            <w:tcW w:w="1404"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67"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17" w:type="dxa"/>
            <w:gridSpan w:val="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28"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52" w:type="dxa"/>
            <w:gridSpan w:val="2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6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286" w:type="dxa"/>
            <w:gridSpan w:val="25"/>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4715" w:type="dxa"/>
            <w:gridSpan w:val="29"/>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产业路完成合格率</w:t>
            </w:r>
          </w:p>
        </w:tc>
        <w:tc>
          <w:tcPr>
            <w:tcW w:w="1404"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67"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17" w:type="dxa"/>
            <w:gridSpan w:val="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28"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52" w:type="dxa"/>
            <w:gridSpan w:val="2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677" w:type="dxa"/>
            <w:vMerge w:val="restart"/>
            <w:tcBorders>
              <w:top w:val="nil"/>
              <w:left w:val="single" w:color="auto" w:sz="4" w:space="0"/>
              <w:bottom w:val="single" w:color="000000"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效益指标</w:t>
            </w:r>
          </w:p>
        </w:tc>
        <w:tc>
          <w:tcPr>
            <w:tcW w:w="1286" w:type="dxa"/>
            <w:gridSpan w:val="25"/>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经济效益指标</w:t>
            </w:r>
          </w:p>
        </w:tc>
        <w:tc>
          <w:tcPr>
            <w:tcW w:w="4715" w:type="dxa"/>
            <w:gridSpan w:val="29"/>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产业路带动乡村产业发展增加收益人口收入</w:t>
            </w:r>
          </w:p>
        </w:tc>
        <w:tc>
          <w:tcPr>
            <w:tcW w:w="1404"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0.5</w:t>
            </w:r>
          </w:p>
        </w:tc>
        <w:tc>
          <w:tcPr>
            <w:tcW w:w="1267"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0.5</w:t>
            </w:r>
          </w:p>
        </w:tc>
        <w:tc>
          <w:tcPr>
            <w:tcW w:w="1017" w:type="dxa"/>
            <w:gridSpan w:val="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8"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52" w:type="dxa"/>
            <w:gridSpan w:val="2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6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286" w:type="dxa"/>
            <w:gridSpan w:val="25"/>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社会效益指标</w:t>
            </w:r>
          </w:p>
        </w:tc>
        <w:tc>
          <w:tcPr>
            <w:tcW w:w="4715" w:type="dxa"/>
            <w:gridSpan w:val="29"/>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产业路受益农户人数</w:t>
            </w:r>
          </w:p>
        </w:tc>
        <w:tc>
          <w:tcPr>
            <w:tcW w:w="1404"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800</w:t>
            </w:r>
          </w:p>
        </w:tc>
        <w:tc>
          <w:tcPr>
            <w:tcW w:w="1267"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800</w:t>
            </w:r>
          </w:p>
        </w:tc>
        <w:tc>
          <w:tcPr>
            <w:tcW w:w="1017" w:type="dxa"/>
            <w:gridSpan w:val="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28"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52" w:type="dxa"/>
            <w:gridSpan w:val="2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67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286" w:type="dxa"/>
            <w:gridSpan w:val="25"/>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可持续影响指标</w:t>
            </w:r>
          </w:p>
        </w:tc>
        <w:tc>
          <w:tcPr>
            <w:tcW w:w="4715" w:type="dxa"/>
            <w:gridSpan w:val="29"/>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工程设计使用年限</w:t>
            </w:r>
          </w:p>
        </w:tc>
        <w:tc>
          <w:tcPr>
            <w:tcW w:w="1404"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67"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17" w:type="dxa"/>
            <w:gridSpan w:val="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28"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52" w:type="dxa"/>
            <w:gridSpan w:val="2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67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1286" w:type="dxa"/>
            <w:gridSpan w:val="25"/>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4715" w:type="dxa"/>
            <w:gridSpan w:val="29"/>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受益农户满意度</w:t>
            </w:r>
          </w:p>
        </w:tc>
        <w:tc>
          <w:tcPr>
            <w:tcW w:w="1404"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267"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17" w:type="dxa"/>
            <w:gridSpan w:val="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28"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52" w:type="dxa"/>
            <w:gridSpan w:val="2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67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成本指标</w:t>
            </w:r>
          </w:p>
        </w:tc>
        <w:tc>
          <w:tcPr>
            <w:tcW w:w="1286" w:type="dxa"/>
            <w:gridSpan w:val="25"/>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经济成本指标</w:t>
            </w:r>
          </w:p>
        </w:tc>
        <w:tc>
          <w:tcPr>
            <w:tcW w:w="4715" w:type="dxa"/>
            <w:gridSpan w:val="29"/>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产业路总投资</w:t>
            </w:r>
          </w:p>
        </w:tc>
        <w:tc>
          <w:tcPr>
            <w:tcW w:w="1404"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180</w:t>
            </w:r>
          </w:p>
        </w:tc>
        <w:tc>
          <w:tcPr>
            <w:tcW w:w="1267"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180</w:t>
            </w:r>
          </w:p>
        </w:tc>
        <w:tc>
          <w:tcPr>
            <w:tcW w:w="1017" w:type="dxa"/>
            <w:gridSpan w:val="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28"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852" w:type="dxa"/>
            <w:gridSpan w:val="24"/>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758" w:hRule="atLeast"/>
        </w:trPr>
        <w:tc>
          <w:tcPr>
            <w:tcW w:w="12746" w:type="dxa"/>
            <w:gridSpan w:val="124"/>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说明：1.预算执行率得分=全年执行数/全年预算数*10分；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2.“产出指标、效益指标、满意度指标”一共90分，对应的是一体化系统中单位编制的项目绩效目标。</w:t>
            </w:r>
          </w:p>
        </w:tc>
      </w:tr>
      <w:tr>
        <w:tblPrEx>
          <w:tblCellMar>
            <w:top w:w="0" w:type="dxa"/>
            <w:left w:w="108" w:type="dxa"/>
            <w:bottom w:w="0" w:type="dxa"/>
            <w:right w:w="108" w:type="dxa"/>
          </w:tblCellMar>
        </w:tblPrEx>
        <w:trPr>
          <w:gridBefore w:val="1"/>
          <w:wBefore w:w="95" w:type="dxa"/>
          <w:trHeight w:val="758" w:hRule="atLeast"/>
        </w:trPr>
        <w:tc>
          <w:tcPr>
            <w:tcW w:w="12746" w:type="dxa"/>
            <w:gridSpan w:val="124"/>
            <w:tcBorders>
              <w:top w:val="single" w:color="auto" w:sz="4" w:space="0"/>
              <w:left w:val="nil"/>
              <w:bottom w:val="nil"/>
              <w:right w:val="nil"/>
            </w:tcBorders>
            <w:shd w:val="clear" w:color="auto" w:fill="auto"/>
            <w:vAlign w:val="center"/>
          </w:tcPr>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区级项目支出绩效自评表</w:t>
            </w:r>
          </w:p>
        </w:tc>
      </w:tr>
      <w:tr>
        <w:tblPrEx>
          <w:tblCellMar>
            <w:top w:w="0" w:type="dxa"/>
            <w:left w:w="108" w:type="dxa"/>
            <w:bottom w:w="0" w:type="dxa"/>
            <w:right w:w="108" w:type="dxa"/>
          </w:tblCellMar>
        </w:tblPrEx>
        <w:trPr>
          <w:gridBefore w:val="1"/>
          <w:wBefore w:w="95" w:type="dxa"/>
          <w:trHeight w:val="409" w:hRule="atLeast"/>
        </w:trPr>
        <w:tc>
          <w:tcPr>
            <w:tcW w:w="2243"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4117" w:type="dxa"/>
            <w:gridSpan w:val="31"/>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村、社区干部保险费</w:t>
            </w:r>
          </w:p>
        </w:tc>
        <w:tc>
          <w:tcPr>
            <w:tcW w:w="1877" w:type="dxa"/>
            <w:gridSpan w:val="16"/>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w:t>
            </w:r>
          </w:p>
        </w:tc>
        <w:tc>
          <w:tcPr>
            <w:tcW w:w="5009" w:type="dxa"/>
            <w:gridSpan w:val="6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w:t>
            </w:r>
          </w:p>
        </w:tc>
      </w:tr>
      <w:tr>
        <w:tblPrEx>
          <w:tblCellMar>
            <w:top w:w="0" w:type="dxa"/>
            <w:left w:w="108" w:type="dxa"/>
            <w:bottom w:w="0" w:type="dxa"/>
            <w:right w:w="108" w:type="dxa"/>
          </w:tblCellMar>
        </w:tblPrEx>
        <w:trPr>
          <w:gridBefore w:val="1"/>
          <w:wBefore w:w="95" w:type="dxa"/>
          <w:trHeight w:val="409" w:hRule="atLeast"/>
        </w:trPr>
        <w:tc>
          <w:tcPr>
            <w:tcW w:w="2243" w:type="dxa"/>
            <w:gridSpan w:val="1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117" w:type="dxa"/>
            <w:gridSpan w:val="31"/>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c>
          <w:tcPr>
            <w:tcW w:w="1877" w:type="dxa"/>
            <w:gridSpan w:val="1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5009" w:type="dxa"/>
            <w:gridSpan w:val="65"/>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乐山市市中区棉竹镇人民政府</w:t>
            </w:r>
          </w:p>
        </w:tc>
      </w:tr>
      <w:tr>
        <w:tblPrEx>
          <w:tblCellMar>
            <w:top w:w="0" w:type="dxa"/>
            <w:left w:w="108" w:type="dxa"/>
            <w:bottom w:w="0" w:type="dxa"/>
            <w:right w:w="108" w:type="dxa"/>
          </w:tblCellMar>
        </w:tblPrEx>
        <w:trPr>
          <w:gridBefore w:val="1"/>
          <w:wBefore w:w="95" w:type="dxa"/>
          <w:trHeight w:val="409" w:hRule="atLeast"/>
        </w:trPr>
        <w:tc>
          <w:tcPr>
            <w:tcW w:w="13246" w:type="dxa"/>
            <w:gridSpan w:val="12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项目资金（万元）</w:t>
            </w:r>
          </w:p>
        </w:tc>
      </w:tr>
      <w:tr>
        <w:tblPrEx>
          <w:tblCellMar>
            <w:top w:w="0" w:type="dxa"/>
            <w:left w:w="108" w:type="dxa"/>
            <w:bottom w:w="0" w:type="dxa"/>
            <w:right w:w="108" w:type="dxa"/>
          </w:tblCellMar>
        </w:tblPrEx>
        <w:trPr>
          <w:gridBefore w:val="1"/>
          <w:wBefore w:w="95" w:type="dxa"/>
          <w:trHeight w:val="409" w:hRule="atLeast"/>
        </w:trPr>
        <w:tc>
          <w:tcPr>
            <w:tcW w:w="2796" w:type="dxa"/>
            <w:gridSpan w:val="22"/>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564" w:type="dxa"/>
            <w:gridSpan w:val="21"/>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3571" w:type="dxa"/>
            <w:gridSpan w:val="3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3315" w:type="dxa"/>
            <w:gridSpan w:val="5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r>
      <w:tr>
        <w:tblPrEx>
          <w:tblCellMar>
            <w:top w:w="0" w:type="dxa"/>
            <w:left w:w="108" w:type="dxa"/>
            <w:bottom w:w="0" w:type="dxa"/>
            <w:right w:w="108" w:type="dxa"/>
          </w:tblCellMar>
        </w:tblPrEx>
        <w:trPr>
          <w:gridBefore w:val="1"/>
          <w:wBefore w:w="95" w:type="dxa"/>
          <w:trHeight w:val="409" w:hRule="atLeast"/>
        </w:trPr>
        <w:tc>
          <w:tcPr>
            <w:tcW w:w="2796" w:type="dxa"/>
            <w:gridSpan w:val="2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3564" w:type="dxa"/>
            <w:gridSpan w:val="2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3571" w:type="dxa"/>
            <w:gridSpan w:val="3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3315" w:type="dxa"/>
            <w:gridSpan w:val="5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Before w:val="1"/>
          <w:wBefore w:w="95" w:type="dxa"/>
          <w:trHeight w:val="409" w:hRule="atLeast"/>
        </w:trPr>
        <w:tc>
          <w:tcPr>
            <w:tcW w:w="2796" w:type="dxa"/>
            <w:gridSpan w:val="2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其中：财政拨款</w:t>
            </w:r>
          </w:p>
        </w:tc>
        <w:tc>
          <w:tcPr>
            <w:tcW w:w="3564" w:type="dxa"/>
            <w:gridSpan w:val="2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3571" w:type="dxa"/>
            <w:gridSpan w:val="3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3315" w:type="dxa"/>
            <w:gridSpan w:val="5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Before w:val="1"/>
          <w:wBefore w:w="95" w:type="dxa"/>
          <w:trHeight w:val="409" w:hRule="atLeast"/>
        </w:trPr>
        <w:tc>
          <w:tcPr>
            <w:tcW w:w="2796" w:type="dxa"/>
            <w:gridSpan w:val="2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3564" w:type="dxa"/>
            <w:gridSpan w:val="2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571" w:type="dxa"/>
            <w:gridSpan w:val="3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315" w:type="dxa"/>
            <w:gridSpan w:val="5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gridBefore w:val="1"/>
          <w:wBefore w:w="95" w:type="dxa"/>
          <w:trHeight w:val="409" w:hRule="atLeast"/>
        </w:trPr>
        <w:tc>
          <w:tcPr>
            <w:tcW w:w="2243" w:type="dxa"/>
            <w:gridSpan w:val="1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年度总体目标</w:t>
            </w:r>
          </w:p>
        </w:tc>
        <w:tc>
          <w:tcPr>
            <w:tcW w:w="5994" w:type="dxa"/>
            <w:gridSpan w:val="4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5009" w:type="dxa"/>
            <w:gridSpan w:val="6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gridBefore w:val="1"/>
          <w:wBefore w:w="95" w:type="dxa"/>
          <w:trHeight w:val="1879" w:hRule="atLeast"/>
        </w:trPr>
        <w:tc>
          <w:tcPr>
            <w:tcW w:w="2243" w:type="dxa"/>
            <w:gridSpan w:val="1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5994" w:type="dxa"/>
            <w:gridSpan w:val="47"/>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2022年投入360720元，保障各村、社区干部保险费支出，维护农村社会稳定，提升基层干部社会治理能力。</w:t>
            </w:r>
          </w:p>
        </w:tc>
        <w:tc>
          <w:tcPr>
            <w:tcW w:w="5009" w:type="dxa"/>
            <w:gridSpan w:val="6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2022年投入360720元，保障各村、社区干部保险费支出，维护农村社会稳定，提升基层干部社会治理能力。</w:t>
            </w:r>
          </w:p>
        </w:tc>
      </w:tr>
      <w:tr>
        <w:tblPrEx>
          <w:tblCellMar>
            <w:top w:w="0" w:type="dxa"/>
            <w:left w:w="108" w:type="dxa"/>
            <w:bottom w:w="0" w:type="dxa"/>
            <w:right w:w="108" w:type="dxa"/>
          </w:tblCellMar>
        </w:tblPrEx>
        <w:trPr>
          <w:gridBefore w:val="1"/>
          <w:wBefore w:w="95" w:type="dxa"/>
          <w:trHeight w:val="529" w:hRule="atLeast"/>
        </w:trPr>
        <w:tc>
          <w:tcPr>
            <w:tcW w:w="2243"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06" w:type="dxa"/>
            <w:gridSpan w:val="2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3011" w:type="dxa"/>
            <w:gridSpan w:val="10"/>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877" w:type="dxa"/>
            <w:gridSpan w:val="1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694"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469" w:type="dxa"/>
            <w:gridSpan w:val="16"/>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分值/权重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（百分制）</w:t>
            </w:r>
          </w:p>
        </w:tc>
        <w:tc>
          <w:tcPr>
            <w:tcW w:w="70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40" w:type="dxa"/>
            <w:gridSpan w:val="2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扣分原因分析</w:t>
            </w:r>
          </w:p>
        </w:tc>
      </w:tr>
      <w:tr>
        <w:tblPrEx>
          <w:tblCellMar>
            <w:top w:w="0" w:type="dxa"/>
            <w:left w:w="108" w:type="dxa"/>
            <w:bottom w:w="0" w:type="dxa"/>
            <w:right w:w="108" w:type="dxa"/>
          </w:tblCellMar>
        </w:tblPrEx>
        <w:trPr>
          <w:gridBefore w:val="1"/>
          <w:wBefore w:w="95" w:type="dxa"/>
          <w:trHeight w:val="409" w:hRule="atLeast"/>
        </w:trPr>
        <w:tc>
          <w:tcPr>
            <w:tcW w:w="9931" w:type="dxa"/>
            <w:gridSpan w:val="7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    分</w:t>
            </w:r>
          </w:p>
        </w:tc>
        <w:tc>
          <w:tcPr>
            <w:tcW w:w="1469"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140" w:type="dxa"/>
            <w:gridSpan w:val="2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6360" w:type="dxa"/>
            <w:gridSpan w:val="43"/>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预算执行率（10分）</w:t>
            </w:r>
          </w:p>
        </w:tc>
        <w:tc>
          <w:tcPr>
            <w:tcW w:w="1877" w:type="dxa"/>
            <w:gridSpan w:val="16"/>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694"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　</w:t>
            </w:r>
          </w:p>
        </w:tc>
        <w:tc>
          <w:tcPr>
            <w:tcW w:w="1469"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40" w:type="dxa"/>
            <w:gridSpan w:val="2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243" w:type="dxa"/>
            <w:gridSpan w:val="12"/>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产出指标</w:t>
            </w:r>
          </w:p>
        </w:tc>
        <w:tc>
          <w:tcPr>
            <w:tcW w:w="1106" w:type="dxa"/>
            <w:gridSpan w:val="21"/>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数量指标</w:t>
            </w:r>
          </w:p>
        </w:tc>
        <w:tc>
          <w:tcPr>
            <w:tcW w:w="3011" w:type="dxa"/>
            <w:gridSpan w:val="10"/>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社区干部参保人数</w:t>
            </w:r>
          </w:p>
        </w:tc>
        <w:tc>
          <w:tcPr>
            <w:tcW w:w="1877" w:type="dxa"/>
            <w:gridSpan w:val="16"/>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11</w:t>
            </w:r>
          </w:p>
        </w:tc>
        <w:tc>
          <w:tcPr>
            <w:tcW w:w="1694"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11</w:t>
            </w:r>
          </w:p>
        </w:tc>
        <w:tc>
          <w:tcPr>
            <w:tcW w:w="1469"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140" w:type="dxa"/>
            <w:gridSpan w:val="2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243" w:type="dxa"/>
            <w:gridSpan w:val="1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106" w:type="dxa"/>
            <w:gridSpan w:val="21"/>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数量指标</w:t>
            </w:r>
          </w:p>
        </w:tc>
        <w:tc>
          <w:tcPr>
            <w:tcW w:w="3011" w:type="dxa"/>
            <w:gridSpan w:val="10"/>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村干部参保人数</w:t>
            </w:r>
          </w:p>
        </w:tc>
        <w:tc>
          <w:tcPr>
            <w:tcW w:w="1877" w:type="dxa"/>
            <w:gridSpan w:val="16"/>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19</w:t>
            </w:r>
          </w:p>
        </w:tc>
        <w:tc>
          <w:tcPr>
            <w:tcW w:w="1694"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19</w:t>
            </w:r>
          </w:p>
        </w:tc>
        <w:tc>
          <w:tcPr>
            <w:tcW w:w="1469"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40" w:type="dxa"/>
            <w:gridSpan w:val="2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243" w:type="dxa"/>
            <w:gridSpan w:val="1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106" w:type="dxa"/>
            <w:gridSpan w:val="21"/>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质量指标</w:t>
            </w:r>
          </w:p>
        </w:tc>
        <w:tc>
          <w:tcPr>
            <w:tcW w:w="3011" w:type="dxa"/>
            <w:gridSpan w:val="10"/>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资金支付准确率</w:t>
            </w:r>
          </w:p>
        </w:tc>
        <w:tc>
          <w:tcPr>
            <w:tcW w:w="1877" w:type="dxa"/>
            <w:gridSpan w:val="16"/>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694"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469"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40" w:type="dxa"/>
            <w:gridSpan w:val="2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243" w:type="dxa"/>
            <w:gridSpan w:val="1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106" w:type="dxa"/>
            <w:gridSpan w:val="21"/>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3011" w:type="dxa"/>
            <w:gridSpan w:val="10"/>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资金支付及时率</w:t>
            </w:r>
          </w:p>
        </w:tc>
        <w:tc>
          <w:tcPr>
            <w:tcW w:w="1877" w:type="dxa"/>
            <w:gridSpan w:val="16"/>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694"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469"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40" w:type="dxa"/>
            <w:gridSpan w:val="2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243" w:type="dxa"/>
            <w:gridSpan w:val="1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106" w:type="dxa"/>
            <w:gridSpan w:val="21"/>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成本指标</w:t>
            </w:r>
          </w:p>
        </w:tc>
        <w:tc>
          <w:tcPr>
            <w:tcW w:w="3011" w:type="dxa"/>
            <w:gridSpan w:val="10"/>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保险费标准</w:t>
            </w:r>
          </w:p>
        </w:tc>
        <w:tc>
          <w:tcPr>
            <w:tcW w:w="1877" w:type="dxa"/>
            <w:gridSpan w:val="16"/>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1002</w:t>
            </w:r>
          </w:p>
        </w:tc>
        <w:tc>
          <w:tcPr>
            <w:tcW w:w="1694"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1002</w:t>
            </w:r>
          </w:p>
        </w:tc>
        <w:tc>
          <w:tcPr>
            <w:tcW w:w="1469"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40" w:type="dxa"/>
            <w:gridSpan w:val="2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243" w:type="dxa"/>
            <w:gridSpan w:val="1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效益指标</w:t>
            </w:r>
          </w:p>
        </w:tc>
        <w:tc>
          <w:tcPr>
            <w:tcW w:w="1106" w:type="dxa"/>
            <w:gridSpan w:val="21"/>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社会效益指标</w:t>
            </w:r>
          </w:p>
        </w:tc>
        <w:tc>
          <w:tcPr>
            <w:tcW w:w="3011" w:type="dxa"/>
            <w:gridSpan w:val="10"/>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维护农村社会稳定</w:t>
            </w:r>
          </w:p>
        </w:tc>
        <w:tc>
          <w:tcPr>
            <w:tcW w:w="1877" w:type="dxa"/>
            <w:gridSpan w:val="16"/>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好</w:t>
            </w:r>
          </w:p>
        </w:tc>
        <w:tc>
          <w:tcPr>
            <w:tcW w:w="1694"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好</w:t>
            </w:r>
          </w:p>
        </w:tc>
        <w:tc>
          <w:tcPr>
            <w:tcW w:w="1469"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140" w:type="dxa"/>
            <w:gridSpan w:val="2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243" w:type="dxa"/>
            <w:gridSpan w:val="1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1106" w:type="dxa"/>
            <w:gridSpan w:val="21"/>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3011" w:type="dxa"/>
            <w:gridSpan w:val="10"/>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村、社区干部满意度</w:t>
            </w:r>
          </w:p>
        </w:tc>
        <w:tc>
          <w:tcPr>
            <w:tcW w:w="1877" w:type="dxa"/>
            <w:gridSpan w:val="16"/>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98</w:t>
            </w:r>
          </w:p>
        </w:tc>
        <w:tc>
          <w:tcPr>
            <w:tcW w:w="1694"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98</w:t>
            </w:r>
          </w:p>
        </w:tc>
        <w:tc>
          <w:tcPr>
            <w:tcW w:w="1469"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40" w:type="dxa"/>
            <w:gridSpan w:val="2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758" w:hRule="atLeast"/>
        </w:trPr>
        <w:tc>
          <w:tcPr>
            <w:tcW w:w="13246" w:type="dxa"/>
            <w:gridSpan w:val="124"/>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说明：1.预算执行率得分=全年执行数/全年预算数*10分；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2.“产出指标、效益指标、满意度指标”一共90分，对应的是一体化系统中单位编制的项目绩效目标。</w:t>
            </w:r>
          </w:p>
        </w:tc>
      </w:tr>
      <w:tr>
        <w:tblPrEx>
          <w:tblCellMar>
            <w:top w:w="0" w:type="dxa"/>
            <w:left w:w="108" w:type="dxa"/>
            <w:bottom w:w="0" w:type="dxa"/>
            <w:right w:w="108" w:type="dxa"/>
          </w:tblCellMar>
        </w:tblPrEx>
        <w:trPr>
          <w:gridBefore w:val="1"/>
          <w:wBefore w:w="95" w:type="dxa"/>
          <w:trHeight w:val="758" w:hRule="atLeast"/>
        </w:trPr>
        <w:tc>
          <w:tcPr>
            <w:tcW w:w="13246" w:type="dxa"/>
            <w:gridSpan w:val="124"/>
            <w:tcBorders>
              <w:top w:val="single" w:color="auto" w:sz="4" w:space="0"/>
              <w:left w:val="nil"/>
              <w:bottom w:val="nil"/>
              <w:right w:val="nil"/>
            </w:tcBorders>
            <w:shd w:val="clear" w:color="auto" w:fill="auto"/>
            <w:vAlign w:val="center"/>
          </w:tcPr>
          <w:p>
            <w:pPr>
              <w:widowControl/>
              <w:jc w:val="center"/>
              <w:rPr>
                <w:rFonts w:ascii="宋体" w:hAnsi="宋体" w:cs="宋体"/>
                <w:b/>
                <w:bCs/>
                <w:color w:val="000000"/>
                <w:kern w:val="0"/>
                <w:sz w:val="36"/>
                <w:szCs w:val="36"/>
              </w:rPr>
            </w:pPr>
            <w:bookmarkStart w:id="54" w:name="RANGE!A1:I28"/>
            <w:r>
              <w:rPr>
                <w:rFonts w:hint="eastAsia" w:ascii="宋体" w:hAnsi="宋体" w:cs="宋体"/>
                <w:b/>
                <w:bCs/>
                <w:color w:val="000000"/>
                <w:kern w:val="0"/>
                <w:sz w:val="36"/>
                <w:szCs w:val="36"/>
              </w:rPr>
              <w:t>区级项目支出绩效自评表</w:t>
            </w:r>
            <w:bookmarkEnd w:id="54"/>
          </w:p>
        </w:tc>
      </w:tr>
      <w:tr>
        <w:tblPrEx>
          <w:tblCellMar>
            <w:top w:w="0" w:type="dxa"/>
            <w:left w:w="108" w:type="dxa"/>
            <w:bottom w:w="0" w:type="dxa"/>
            <w:right w:w="108" w:type="dxa"/>
          </w:tblCellMar>
        </w:tblPrEx>
        <w:trPr>
          <w:gridBefore w:val="1"/>
          <w:wBefore w:w="95" w:type="dxa"/>
          <w:trHeight w:val="409" w:hRule="atLeast"/>
        </w:trPr>
        <w:tc>
          <w:tcPr>
            <w:tcW w:w="18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5839" w:type="dxa"/>
            <w:gridSpan w:val="54"/>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基层组织活动和公共服务运行</w:t>
            </w:r>
          </w:p>
        </w:tc>
        <w:tc>
          <w:tcPr>
            <w:tcW w:w="1578"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w:t>
            </w:r>
          </w:p>
        </w:tc>
        <w:tc>
          <w:tcPr>
            <w:tcW w:w="4042" w:type="dxa"/>
            <w:gridSpan w:val="5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w:t>
            </w:r>
          </w:p>
        </w:tc>
      </w:tr>
      <w:tr>
        <w:tblPrEx>
          <w:tblCellMar>
            <w:top w:w="0" w:type="dxa"/>
            <w:left w:w="108" w:type="dxa"/>
            <w:bottom w:w="0" w:type="dxa"/>
            <w:right w:w="108" w:type="dxa"/>
          </w:tblCellMar>
        </w:tblPrEx>
        <w:trPr>
          <w:gridBefore w:val="1"/>
          <w:wBefore w:w="95" w:type="dxa"/>
          <w:trHeight w:val="409" w:hRule="atLeast"/>
        </w:trPr>
        <w:tc>
          <w:tcPr>
            <w:tcW w:w="188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5839" w:type="dxa"/>
            <w:gridSpan w:val="54"/>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c>
          <w:tcPr>
            <w:tcW w:w="1578" w:type="dxa"/>
            <w:gridSpan w:val="1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042" w:type="dxa"/>
            <w:gridSpan w:val="5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r>
      <w:tr>
        <w:tblPrEx>
          <w:tblCellMar>
            <w:top w:w="0" w:type="dxa"/>
            <w:left w:w="108" w:type="dxa"/>
            <w:bottom w:w="0" w:type="dxa"/>
            <w:right w:w="108" w:type="dxa"/>
          </w:tblCellMar>
        </w:tblPrEx>
        <w:trPr>
          <w:gridBefore w:val="1"/>
          <w:wBefore w:w="95" w:type="dxa"/>
          <w:trHeight w:val="409" w:hRule="atLeast"/>
        </w:trPr>
        <w:tc>
          <w:tcPr>
            <w:tcW w:w="13346" w:type="dxa"/>
            <w:gridSpan w:val="12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项目资金（万元）</w:t>
            </w:r>
          </w:p>
        </w:tc>
      </w:tr>
      <w:tr>
        <w:tblPrEx>
          <w:tblCellMar>
            <w:top w:w="0" w:type="dxa"/>
            <w:left w:w="108" w:type="dxa"/>
            <w:bottom w:w="0" w:type="dxa"/>
            <w:right w:w="108" w:type="dxa"/>
          </w:tblCellMar>
        </w:tblPrEx>
        <w:trPr>
          <w:gridBefore w:val="1"/>
          <w:wBefore w:w="95" w:type="dxa"/>
          <w:trHeight w:val="409" w:hRule="atLeast"/>
        </w:trPr>
        <w:tc>
          <w:tcPr>
            <w:tcW w:w="2710" w:type="dxa"/>
            <w:gridSpan w:val="18"/>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016" w:type="dxa"/>
            <w:gridSpan w:val="39"/>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3002" w:type="dxa"/>
            <w:gridSpan w:val="2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2618" w:type="dxa"/>
            <w:gridSpan w:val="3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r>
      <w:tr>
        <w:tblPrEx>
          <w:tblCellMar>
            <w:top w:w="0" w:type="dxa"/>
            <w:left w:w="108" w:type="dxa"/>
            <w:bottom w:w="0" w:type="dxa"/>
            <w:right w:w="108" w:type="dxa"/>
          </w:tblCellMar>
        </w:tblPrEx>
        <w:trPr>
          <w:gridBefore w:val="1"/>
          <w:wBefore w:w="95" w:type="dxa"/>
          <w:trHeight w:val="409" w:hRule="atLeast"/>
        </w:trPr>
        <w:tc>
          <w:tcPr>
            <w:tcW w:w="2710" w:type="dxa"/>
            <w:gridSpan w:val="1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5016" w:type="dxa"/>
            <w:gridSpan w:val="3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3002" w:type="dxa"/>
            <w:gridSpan w:val="2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2618" w:type="dxa"/>
            <w:gridSpan w:val="3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Before w:val="1"/>
          <w:wBefore w:w="95" w:type="dxa"/>
          <w:trHeight w:val="409" w:hRule="atLeast"/>
        </w:trPr>
        <w:tc>
          <w:tcPr>
            <w:tcW w:w="2710" w:type="dxa"/>
            <w:gridSpan w:val="1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其中：财政拨款</w:t>
            </w:r>
          </w:p>
        </w:tc>
        <w:tc>
          <w:tcPr>
            <w:tcW w:w="5016" w:type="dxa"/>
            <w:gridSpan w:val="3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3002" w:type="dxa"/>
            <w:gridSpan w:val="2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2618" w:type="dxa"/>
            <w:gridSpan w:val="3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Before w:val="1"/>
          <w:wBefore w:w="95" w:type="dxa"/>
          <w:trHeight w:val="409" w:hRule="atLeast"/>
        </w:trPr>
        <w:tc>
          <w:tcPr>
            <w:tcW w:w="2710" w:type="dxa"/>
            <w:gridSpan w:val="1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5016" w:type="dxa"/>
            <w:gridSpan w:val="3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002" w:type="dxa"/>
            <w:gridSpan w:val="2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618" w:type="dxa"/>
            <w:gridSpan w:val="3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gridBefore w:val="1"/>
          <w:wBefore w:w="95" w:type="dxa"/>
          <w:trHeight w:val="409" w:hRule="atLeast"/>
        </w:trPr>
        <w:tc>
          <w:tcPr>
            <w:tcW w:w="1887" w:type="dxa"/>
            <w:gridSpan w:val="3"/>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年度总体目标</w:t>
            </w:r>
          </w:p>
        </w:tc>
        <w:tc>
          <w:tcPr>
            <w:tcW w:w="7417" w:type="dxa"/>
            <w:gridSpan w:val="6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042" w:type="dxa"/>
            <w:gridSpan w:val="5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gridBefore w:val="1"/>
          <w:wBefore w:w="95" w:type="dxa"/>
          <w:trHeight w:val="1879" w:hRule="atLeast"/>
        </w:trPr>
        <w:tc>
          <w:tcPr>
            <w:tcW w:w="1887"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417" w:type="dxa"/>
            <w:gridSpan w:val="69"/>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为加强基层组织建设，提高基层公共服务保障水平和社会治理能力，各级财政按按排用于开展基层组织活动、农村公共服务运行维护和村级日常办公运转和一般性转移支付支出。</w:t>
            </w:r>
          </w:p>
        </w:tc>
        <w:tc>
          <w:tcPr>
            <w:tcW w:w="4042" w:type="dxa"/>
            <w:gridSpan w:val="5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在2022年，投入64万元，为加强基层组织建设，提高基层公共服务保障水平和社会治理能力，用于开展基层组织活动、农村公共服务运行维护和村级日常办公运转和一般性转移支付支出。主要用于6个村、社区基层党组织开展组织活动、农村基础设施和环境类、农业生成服务类、农村生活服务类、农村社会管理类项目的运行维护。</w:t>
            </w:r>
          </w:p>
        </w:tc>
      </w:tr>
      <w:tr>
        <w:tblPrEx>
          <w:tblCellMar>
            <w:top w:w="0" w:type="dxa"/>
            <w:left w:w="108" w:type="dxa"/>
            <w:bottom w:w="0" w:type="dxa"/>
            <w:right w:w="108" w:type="dxa"/>
          </w:tblCellMar>
        </w:tblPrEx>
        <w:trPr>
          <w:gridBefore w:val="1"/>
          <w:wBefore w:w="95" w:type="dxa"/>
          <w:trHeight w:val="529" w:hRule="atLeast"/>
        </w:trPr>
        <w:tc>
          <w:tcPr>
            <w:tcW w:w="188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646" w:type="dxa"/>
            <w:gridSpan w:val="3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4193" w:type="dxa"/>
            <w:gridSpan w:val="2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578"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42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158" w:type="dxa"/>
            <w:gridSpan w:val="1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分值/权重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（百分制）</w:t>
            </w:r>
          </w:p>
        </w:tc>
        <w:tc>
          <w:tcPr>
            <w:tcW w:w="59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66" w:type="dxa"/>
            <w:gridSpan w:val="1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扣分原因分析</w:t>
            </w:r>
          </w:p>
        </w:tc>
      </w:tr>
      <w:tr>
        <w:tblPrEx>
          <w:tblCellMar>
            <w:top w:w="0" w:type="dxa"/>
            <w:left w:w="108" w:type="dxa"/>
            <w:bottom w:w="0" w:type="dxa"/>
            <w:right w:w="108" w:type="dxa"/>
          </w:tblCellMar>
        </w:tblPrEx>
        <w:trPr>
          <w:gridBefore w:val="1"/>
          <w:wBefore w:w="95" w:type="dxa"/>
          <w:trHeight w:val="409" w:hRule="atLeast"/>
        </w:trPr>
        <w:tc>
          <w:tcPr>
            <w:tcW w:w="10728" w:type="dxa"/>
            <w:gridSpan w:val="85"/>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    分</w:t>
            </w:r>
          </w:p>
        </w:tc>
        <w:tc>
          <w:tcPr>
            <w:tcW w:w="1158"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9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866" w:type="dxa"/>
            <w:gridSpan w:val="1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7726" w:type="dxa"/>
            <w:gridSpan w:val="57"/>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预算执行率（10分）</w:t>
            </w:r>
          </w:p>
        </w:tc>
        <w:tc>
          <w:tcPr>
            <w:tcW w:w="1578"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424" w:type="dxa"/>
            <w:gridSpan w:val="1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158"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9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6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887" w:type="dxa"/>
            <w:gridSpan w:val="3"/>
            <w:vMerge w:val="restart"/>
            <w:tcBorders>
              <w:top w:val="nil"/>
              <w:left w:val="single" w:color="auto" w:sz="4" w:space="0"/>
              <w:bottom w:val="single" w:color="000000"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产出指标</w:t>
            </w: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数量指标</w:t>
            </w:r>
          </w:p>
        </w:tc>
        <w:tc>
          <w:tcPr>
            <w:tcW w:w="4193"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设4职的村个数</w:t>
            </w:r>
          </w:p>
        </w:tc>
        <w:tc>
          <w:tcPr>
            <w:tcW w:w="157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42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158"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9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6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88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数量指标</w:t>
            </w:r>
          </w:p>
        </w:tc>
        <w:tc>
          <w:tcPr>
            <w:tcW w:w="4193"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设5职的村个数</w:t>
            </w:r>
          </w:p>
        </w:tc>
        <w:tc>
          <w:tcPr>
            <w:tcW w:w="157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42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158"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9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6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88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4193"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拨付每个社区运维费标准</w:t>
            </w:r>
          </w:p>
        </w:tc>
        <w:tc>
          <w:tcPr>
            <w:tcW w:w="157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90000</w:t>
            </w:r>
          </w:p>
        </w:tc>
        <w:tc>
          <w:tcPr>
            <w:tcW w:w="142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90000</w:t>
            </w:r>
          </w:p>
        </w:tc>
        <w:tc>
          <w:tcPr>
            <w:tcW w:w="1158"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9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6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88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4193"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拨付设5职的村运维费标准</w:t>
            </w:r>
          </w:p>
        </w:tc>
        <w:tc>
          <w:tcPr>
            <w:tcW w:w="157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120000</w:t>
            </w:r>
          </w:p>
        </w:tc>
        <w:tc>
          <w:tcPr>
            <w:tcW w:w="142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120000</w:t>
            </w:r>
          </w:p>
        </w:tc>
        <w:tc>
          <w:tcPr>
            <w:tcW w:w="1158"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9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6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88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4193"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拨付设4职的村运维费标准</w:t>
            </w:r>
          </w:p>
        </w:tc>
        <w:tc>
          <w:tcPr>
            <w:tcW w:w="157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100000</w:t>
            </w:r>
          </w:p>
        </w:tc>
        <w:tc>
          <w:tcPr>
            <w:tcW w:w="142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100000</w:t>
            </w:r>
          </w:p>
        </w:tc>
        <w:tc>
          <w:tcPr>
            <w:tcW w:w="1158"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9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6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88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4193"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拨付各社区运维费及时率</w:t>
            </w:r>
          </w:p>
        </w:tc>
        <w:tc>
          <w:tcPr>
            <w:tcW w:w="157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2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158"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9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6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88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数量指标</w:t>
            </w:r>
          </w:p>
        </w:tc>
        <w:tc>
          <w:tcPr>
            <w:tcW w:w="4193"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社区个数</w:t>
            </w:r>
          </w:p>
        </w:tc>
        <w:tc>
          <w:tcPr>
            <w:tcW w:w="157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42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158"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9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6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88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4193"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拨付各村运维费准确率</w:t>
            </w:r>
          </w:p>
        </w:tc>
        <w:tc>
          <w:tcPr>
            <w:tcW w:w="157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2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158"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9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6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88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4193"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拨付社区运维费准确率</w:t>
            </w:r>
          </w:p>
        </w:tc>
        <w:tc>
          <w:tcPr>
            <w:tcW w:w="157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2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158"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9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6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88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4193"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拨付各村运维费及时率</w:t>
            </w:r>
          </w:p>
        </w:tc>
        <w:tc>
          <w:tcPr>
            <w:tcW w:w="157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2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158"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9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6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887" w:type="dxa"/>
            <w:gridSpan w:val="3"/>
            <w:vMerge w:val="restart"/>
            <w:tcBorders>
              <w:top w:val="nil"/>
              <w:left w:val="single" w:color="auto" w:sz="4" w:space="0"/>
              <w:bottom w:val="single" w:color="000000"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效益指标</w:t>
            </w:r>
          </w:p>
        </w:tc>
        <w:tc>
          <w:tcPr>
            <w:tcW w:w="1646" w:type="dxa"/>
            <w:gridSpan w:val="32"/>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可持续影响指标</w:t>
            </w:r>
          </w:p>
        </w:tc>
        <w:tc>
          <w:tcPr>
            <w:tcW w:w="4193" w:type="dxa"/>
            <w:gridSpan w:val="2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运维费管理机制健全性</w:t>
            </w:r>
          </w:p>
        </w:tc>
        <w:tc>
          <w:tcPr>
            <w:tcW w:w="157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好坏</w:t>
            </w:r>
          </w:p>
        </w:tc>
        <w:tc>
          <w:tcPr>
            <w:tcW w:w="142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好坏</w:t>
            </w:r>
          </w:p>
        </w:tc>
        <w:tc>
          <w:tcPr>
            <w:tcW w:w="1158"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9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6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88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4193"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拨付社区运维费应拨尽拨率</w:t>
            </w:r>
          </w:p>
        </w:tc>
        <w:tc>
          <w:tcPr>
            <w:tcW w:w="157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2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158"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9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6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88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4193"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拨付设5职的村运维费应拨尽拨率</w:t>
            </w:r>
          </w:p>
        </w:tc>
        <w:tc>
          <w:tcPr>
            <w:tcW w:w="157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2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158"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9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6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88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4193"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拨付设4职的村运维费应拨尽拨率</w:t>
            </w:r>
          </w:p>
        </w:tc>
        <w:tc>
          <w:tcPr>
            <w:tcW w:w="157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2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158"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9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6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1887" w:type="dxa"/>
            <w:gridSpan w:val="3"/>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1646" w:type="dxa"/>
            <w:gridSpan w:val="32"/>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服务对象满意度指标</w:t>
            </w:r>
          </w:p>
        </w:tc>
        <w:tc>
          <w:tcPr>
            <w:tcW w:w="4193" w:type="dxa"/>
            <w:gridSpan w:val="2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各、村社区受益群众满意度</w:t>
            </w:r>
          </w:p>
        </w:tc>
        <w:tc>
          <w:tcPr>
            <w:tcW w:w="157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42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158"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94"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86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758" w:hRule="atLeast"/>
        </w:trPr>
        <w:tc>
          <w:tcPr>
            <w:tcW w:w="13346" w:type="dxa"/>
            <w:gridSpan w:val="124"/>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说明：1.预算执行率得分=全年执行数/全年预算数*10分；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2.“产出指标、效益指标、满意度指标”一共90分，对应的是一体化系统中单位编制的项目绩效目标。</w:t>
            </w:r>
          </w:p>
        </w:tc>
      </w:tr>
      <w:tr>
        <w:tblPrEx>
          <w:tblCellMar>
            <w:top w:w="0" w:type="dxa"/>
            <w:left w:w="108" w:type="dxa"/>
            <w:bottom w:w="0" w:type="dxa"/>
            <w:right w:w="108" w:type="dxa"/>
          </w:tblCellMar>
        </w:tblPrEx>
        <w:trPr>
          <w:gridBefore w:val="1"/>
          <w:wBefore w:w="95" w:type="dxa"/>
          <w:trHeight w:val="758" w:hRule="atLeast"/>
        </w:trPr>
        <w:tc>
          <w:tcPr>
            <w:tcW w:w="13346" w:type="dxa"/>
            <w:gridSpan w:val="124"/>
            <w:tcBorders>
              <w:top w:val="single" w:color="auto" w:sz="4" w:space="0"/>
              <w:left w:val="nil"/>
              <w:bottom w:val="nil"/>
              <w:right w:val="nil"/>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b/>
                <w:bCs/>
                <w:color w:val="000000"/>
                <w:kern w:val="0"/>
                <w:sz w:val="36"/>
                <w:szCs w:val="36"/>
              </w:rPr>
              <w:t>区级项目支出绩效自评表</w:t>
            </w:r>
          </w:p>
        </w:tc>
      </w:tr>
      <w:tr>
        <w:tblPrEx>
          <w:tblCellMar>
            <w:top w:w="0" w:type="dxa"/>
            <w:left w:w="108" w:type="dxa"/>
            <w:bottom w:w="0" w:type="dxa"/>
            <w:right w:w="108" w:type="dxa"/>
          </w:tblCellMar>
        </w:tblPrEx>
        <w:trPr>
          <w:gridBefore w:val="1"/>
          <w:wBefore w:w="95" w:type="dxa"/>
          <w:trHeight w:val="409" w:hRule="atLeast"/>
        </w:trPr>
        <w:tc>
          <w:tcPr>
            <w:tcW w:w="217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4417" w:type="dxa"/>
            <w:gridSpan w:val="36"/>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人大代表活动经费</w:t>
            </w:r>
          </w:p>
        </w:tc>
        <w:tc>
          <w:tcPr>
            <w:tcW w:w="1815"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w:t>
            </w:r>
          </w:p>
        </w:tc>
        <w:tc>
          <w:tcPr>
            <w:tcW w:w="4844" w:type="dxa"/>
            <w:gridSpan w:val="6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w:t>
            </w:r>
          </w:p>
        </w:tc>
      </w:tr>
      <w:tr>
        <w:tblPrEx>
          <w:tblCellMar>
            <w:top w:w="0" w:type="dxa"/>
            <w:left w:w="108" w:type="dxa"/>
            <w:bottom w:w="0" w:type="dxa"/>
            <w:right w:w="108" w:type="dxa"/>
          </w:tblCellMar>
        </w:tblPrEx>
        <w:trPr>
          <w:gridBefore w:val="1"/>
          <w:wBefore w:w="95" w:type="dxa"/>
          <w:trHeight w:val="409" w:hRule="atLeast"/>
        </w:trPr>
        <w:tc>
          <w:tcPr>
            <w:tcW w:w="2170" w:type="dxa"/>
            <w:gridSpan w:val="10"/>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417" w:type="dxa"/>
            <w:gridSpan w:val="36"/>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c>
          <w:tcPr>
            <w:tcW w:w="1815" w:type="dxa"/>
            <w:gridSpan w:val="1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844" w:type="dxa"/>
            <w:gridSpan w:val="63"/>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乐山市市中区棉竹镇人民政府</w:t>
            </w:r>
          </w:p>
        </w:tc>
      </w:tr>
      <w:tr>
        <w:tblPrEx>
          <w:tblCellMar>
            <w:top w:w="0" w:type="dxa"/>
            <w:left w:w="108" w:type="dxa"/>
            <w:bottom w:w="0" w:type="dxa"/>
            <w:right w:w="108" w:type="dxa"/>
          </w:tblCellMar>
        </w:tblPrEx>
        <w:trPr>
          <w:gridBefore w:val="1"/>
          <w:wBefore w:w="95" w:type="dxa"/>
          <w:trHeight w:val="409" w:hRule="atLeast"/>
        </w:trPr>
        <w:tc>
          <w:tcPr>
            <w:tcW w:w="13246" w:type="dxa"/>
            <w:gridSpan w:val="12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项目资金（万元）</w:t>
            </w:r>
          </w:p>
        </w:tc>
      </w:tr>
      <w:tr>
        <w:tblPrEx>
          <w:tblCellMar>
            <w:top w:w="0" w:type="dxa"/>
            <w:left w:w="108" w:type="dxa"/>
            <w:bottom w:w="0" w:type="dxa"/>
            <w:right w:w="108" w:type="dxa"/>
          </w:tblCellMar>
        </w:tblPrEx>
        <w:trPr>
          <w:gridBefore w:val="1"/>
          <w:wBefore w:w="95" w:type="dxa"/>
          <w:trHeight w:val="409" w:hRule="atLeast"/>
        </w:trPr>
        <w:tc>
          <w:tcPr>
            <w:tcW w:w="2723" w:type="dxa"/>
            <w:gridSpan w:val="19"/>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864" w:type="dxa"/>
            <w:gridSpan w:val="27"/>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3453"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3206" w:type="dxa"/>
            <w:gridSpan w:val="4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r>
      <w:tr>
        <w:tblPrEx>
          <w:tblCellMar>
            <w:top w:w="0" w:type="dxa"/>
            <w:left w:w="108" w:type="dxa"/>
            <w:bottom w:w="0" w:type="dxa"/>
            <w:right w:w="108" w:type="dxa"/>
          </w:tblCellMar>
        </w:tblPrEx>
        <w:trPr>
          <w:gridBefore w:val="1"/>
          <w:wBefore w:w="95" w:type="dxa"/>
          <w:trHeight w:val="409" w:hRule="atLeast"/>
        </w:trPr>
        <w:tc>
          <w:tcPr>
            <w:tcW w:w="2723" w:type="dxa"/>
            <w:gridSpan w:val="19"/>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3864" w:type="dxa"/>
            <w:gridSpan w:val="2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3453"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3206" w:type="dxa"/>
            <w:gridSpan w:val="4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Before w:val="1"/>
          <w:wBefore w:w="95" w:type="dxa"/>
          <w:trHeight w:val="409" w:hRule="atLeast"/>
        </w:trPr>
        <w:tc>
          <w:tcPr>
            <w:tcW w:w="2723" w:type="dxa"/>
            <w:gridSpan w:val="19"/>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其中：财政拨款</w:t>
            </w:r>
          </w:p>
        </w:tc>
        <w:tc>
          <w:tcPr>
            <w:tcW w:w="3864" w:type="dxa"/>
            <w:gridSpan w:val="2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3453"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3206" w:type="dxa"/>
            <w:gridSpan w:val="4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Before w:val="1"/>
          <w:wBefore w:w="95" w:type="dxa"/>
          <w:trHeight w:val="409" w:hRule="atLeast"/>
        </w:trPr>
        <w:tc>
          <w:tcPr>
            <w:tcW w:w="2723" w:type="dxa"/>
            <w:gridSpan w:val="19"/>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3864" w:type="dxa"/>
            <w:gridSpan w:val="2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453"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206" w:type="dxa"/>
            <w:gridSpan w:val="4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gridBefore w:val="1"/>
          <w:wBefore w:w="95" w:type="dxa"/>
          <w:trHeight w:val="409" w:hRule="atLeast"/>
        </w:trPr>
        <w:tc>
          <w:tcPr>
            <w:tcW w:w="2170" w:type="dxa"/>
            <w:gridSpan w:val="10"/>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年度总体目标</w:t>
            </w:r>
          </w:p>
        </w:tc>
        <w:tc>
          <w:tcPr>
            <w:tcW w:w="6232" w:type="dxa"/>
            <w:gridSpan w:val="5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844" w:type="dxa"/>
            <w:gridSpan w:val="6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gridBefore w:val="1"/>
          <w:wBefore w:w="95" w:type="dxa"/>
          <w:trHeight w:val="1879" w:hRule="atLeast"/>
        </w:trPr>
        <w:tc>
          <w:tcPr>
            <w:tcW w:w="2170" w:type="dxa"/>
            <w:gridSpan w:val="10"/>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232" w:type="dxa"/>
            <w:gridSpan w:val="51"/>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保障人大代表活动开展</w:t>
            </w:r>
          </w:p>
        </w:tc>
        <w:tc>
          <w:tcPr>
            <w:tcW w:w="4844" w:type="dxa"/>
            <w:gridSpan w:val="63"/>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保障人大代表活动开展</w:t>
            </w:r>
          </w:p>
        </w:tc>
      </w:tr>
      <w:tr>
        <w:tblPrEx>
          <w:tblCellMar>
            <w:top w:w="0" w:type="dxa"/>
            <w:left w:w="108" w:type="dxa"/>
            <w:bottom w:w="0" w:type="dxa"/>
            <w:right w:w="108" w:type="dxa"/>
          </w:tblCellMar>
        </w:tblPrEx>
        <w:trPr>
          <w:gridBefore w:val="1"/>
          <w:wBefore w:w="95" w:type="dxa"/>
          <w:trHeight w:val="529" w:hRule="atLeast"/>
        </w:trPr>
        <w:tc>
          <w:tcPr>
            <w:tcW w:w="217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06" w:type="dxa"/>
            <w:gridSpan w:val="2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3311"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815"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638"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421" w:type="dxa"/>
            <w:gridSpan w:val="1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分值/权重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（百分制）</w:t>
            </w:r>
          </w:p>
        </w:tc>
        <w:tc>
          <w:tcPr>
            <w:tcW w:w="683" w:type="dxa"/>
            <w:gridSpan w:val="1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02" w:type="dxa"/>
            <w:gridSpan w:val="2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扣分原因分析</w:t>
            </w:r>
          </w:p>
        </w:tc>
      </w:tr>
      <w:tr>
        <w:tblPrEx>
          <w:tblCellMar>
            <w:top w:w="0" w:type="dxa"/>
            <w:left w:w="108" w:type="dxa"/>
            <w:bottom w:w="0" w:type="dxa"/>
            <w:right w:w="108" w:type="dxa"/>
          </w:tblCellMar>
        </w:tblPrEx>
        <w:trPr>
          <w:gridBefore w:val="1"/>
          <w:wBefore w:w="95" w:type="dxa"/>
          <w:trHeight w:val="409" w:hRule="atLeast"/>
        </w:trPr>
        <w:tc>
          <w:tcPr>
            <w:tcW w:w="10040" w:type="dxa"/>
            <w:gridSpan w:val="7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    分</w:t>
            </w:r>
          </w:p>
        </w:tc>
        <w:tc>
          <w:tcPr>
            <w:tcW w:w="1421"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83"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102" w:type="dxa"/>
            <w:gridSpan w:val="21"/>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6587" w:type="dxa"/>
            <w:gridSpan w:val="46"/>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预算执行率（10分）</w:t>
            </w:r>
          </w:p>
        </w:tc>
        <w:tc>
          <w:tcPr>
            <w:tcW w:w="1815"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638"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　</w:t>
            </w:r>
          </w:p>
        </w:tc>
        <w:tc>
          <w:tcPr>
            <w:tcW w:w="1421"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83"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02" w:type="dxa"/>
            <w:gridSpan w:val="21"/>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170" w:type="dxa"/>
            <w:gridSpan w:val="10"/>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产出指标</w:t>
            </w:r>
          </w:p>
        </w:tc>
        <w:tc>
          <w:tcPr>
            <w:tcW w:w="1106" w:type="dxa"/>
            <w:gridSpan w:val="21"/>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数量指标</w:t>
            </w:r>
          </w:p>
        </w:tc>
        <w:tc>
          <w:tcPr>
            <w:tcW w:w="3311"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55人，每人每年400元</w:t>
            </w:r>
          </w:p>
        </w:tc>
        <w:tc>
          <w:tcPr>
            <w:tcW w:w="1815"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638"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421"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20</w:t>
            </w:r>
          </w:p>
        </w:tc>
        <w:tc>
          <w:tcPr>
            <w:tcW w:w="683" w:type="dxa"/>
            <w:gridSpan w:val="1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20</w:t>
            </w:r>
          </w:p>
        </w:tc>
        <w:tc>
          <w:tcPr>
            <w:tcW w:w="1102" w:type="dxa"/>
            <w:gridSpan w:val="21"/>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170" w:type="dxa"/>
            <w:gridSpan w:val="10"/>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106" w:type="dxa"/>
            <w:gridSpan w:val="21"/>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质量指标</w:t>
            </w:r>
          </w:p>
        </w:tc>
        <w:tc>
          <w:tcPr>
            <w:tcW w:w="3311"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资金使用规范率</w:t>
            </w:r>
          </w:p>
        </w:tc>
        <w:tc>
          <w:tcPr>
            <w:tcW w:w="1815"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638"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421"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w:t>
            </w:r>
          </w:p>
        </w:tc>
        <w:tc>
          <w:tcPr>
            <w:tcW w:w="683" w:type="dxa"/>
            <w:gridSpan w:val="1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w:t>
            </w:r>
          </w:p>
        </w:tc>
        <w:tc>
          <w:tcPr>
            <w:tcW w:w="1102" w:type="dxa"/>
            <w:gridSpan w:val="21"/>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170" w:type="dxa"/>
            <w:gridSpan w:val="10"/>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106" w:type="dxa"/>
            <w:gridSpan w:val="21"/>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3311"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资金保障率</w:t>
            </w:r>
          </w:p>
        </w:tc>
        <w:tc>
          <w:tcPr>
            <w:tcW w:w="1815"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55</w:t>
            </w:r>
          </w:p>
        </w:tc>
        <w:tc>
          <w:tcPr>
            <w:tcW w:w="1638"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55</w:t>
            </w:r>
          </w:p>
        </w:tc>
        <w:tc>
          <w:tcPr>
            <w:tcW w:w="1421"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w:t>
            </w:r>
          </w:p>
        </w:tc>
        <w:tc>
          <w:tcPr>
            <w:tcW w:w="683" w:type="dxa"/>
            <w:gridSpan w:val="1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w:t>
            </w:r>
          </w:p>
        </w:tc>
        <w:tc>
          <w:tcPr>
            <w:tcW w:w="1102" w:type="dxa"/>
            <w:gridSpan w:val="21"/>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170" w:type="dxa"/>
            <w:gridSpan w:val="10"/>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333333"/>
                <w:kern w:val="0"/>
                <w:sz w:val="18"/>
                <w:szCs w:val="18"/>
              </w:rPr>
            </w:pPr>
          </w:p>
        </w:tc>
        <w:tc>
          <w:tcPr>
            <w:tcW w:w="1106" w:type="dxa"/>
            <w:gridSpan w:val="21"/>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成本指标</w:t>
            </w:r>
          </w:p>
        </w:tc>
        <w:tc>
          <w:tcPr>
            <w:tcW w:w="3311"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活动经费标准</w:t>
            </w:r>
          </w:p>
        </w:tc>
        <w:tc>
          <w:tcPr>
            <w:tcW w:w="1815"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800</w:t>
            </w:r>
          </w:p>
        </w:tc>
        <w:tc>
          <w:tcPr>
            <w:tcW w:w="1638"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800</w:t>
            </w:r>
          </w:p>
        </w:tc>
        <w:tc>
          <w:tcPr>
            <w:tcW w:w="1421"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w:t>
            </w:r>
          </w:p>
        </w:tc>
        <w:tc>
          <w:tcPr>
            <w:tcW w:w="683" w:type="dxa"/>
            <w:gridSpan w:val="1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w:t>
            </w:r>
          </w:p>
        </w:tc>
        <w:tc>
          <w:tcPr>
            <w:tcW w:w="1102" w:type="dxa"/>
            <w:gridSpan w:val="21"/>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170" w:type="dxa"/>
            <w:gridSpan w:val="10"/>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效益指标</w:t>
            </w:r>
          </w:p>
        </w:tc>
        <w:tc>
          <w:tcPr>
            <w:tcW w:w="1106" w:type="dxa"/>
            <w:gridSpan w:val="21"/>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社会效益指标</w:t>
            </w:r>
          </w:p>
        </w:tc>
        <w:tc>
          <w:tcPr>
            <w:tcW w:w="3311" w:type="dxa"/>
            <w:gridSpan w:val="15"/>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辖区内社会稳定情况</w:t>
            </w:r>
          </w:p>
        </w:tc>
        <w:tc>
          <w:tcPr>
            <w:tcW w:w="1815"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3</w:t>
            </w:r>
          </w:p>
        </w:tc>
        <w:tc>
          <w:tcPr>
            <w:tcW w:w="1638"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3</w:t>
            </w:r>
          </w:p>
        </w:tc>
        <w:tc>
          <w:tcPr>
            <w:tcW w:w="1421"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20</w:t>
            </w:r>
          </w:p>
        </w:tc>
        <w:tc>
          <w:tcPr>
            <w:tcW w:w="683" w:type="dxa"/>
            <w:gridSpan w:val="1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20</w:t>
            </w:r>
          </w:p>
        </w:tc>
        <w:tc>
          <w:tcPr>
            <w:tcW w:w="1102" w:type="dxa"/>
            <w:gridSpan w:val="21"/>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170" w:type="dxa"/>
            <w:gridSpan w:val="10"/>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1106" w:type="dxa"/>
            <w:gridSpan w:val="21"/>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3311" w:type="dxa"/>
            <w:gridSpan w:val="15"/>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人大代表满意度</w:t>
            </w:r>
          </w:p>
        </w:tc>
        <w:tc>
          <w:tcPr>
            <w:tcW w:w="1815"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99</w:t>
            </w:r>
          </w:p>
        </w:tc>
        <w:tc>
          <w:tcPr>
            <w:tcW w:w="1638"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99</w:t>
            </w:r>
          </w:p>
        </w:tc>
        <w:tc>
          <w:tcPr>
            <w:tcW w:w="1421"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20</w:t>
            </w:r>
          </w:p>
        </w:tc>
        <w:tc>
          <w:tcPr>
            <w:tcW w:w="683" w:type="dxa"/>
            <w:gridSpan w:val="1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20</w:t>
            </w:r>
          </w:p>
        </w:tc>
        <w:tc>
          <w:tcPr>
            <w:tcW w:w="1102" w:type="dxa"/>
            <w:gridSpan w:val="21"/>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758" w:hRule="atLeast"/>
        </w:trPr>
        <w:tc>
          <w:tcPr>
            <w:tcW w:w="13246" w:type="dxa"/>
            <w:gridSpan w:val="124"/>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说明：1.预算执行率得分=全年执行数/全年预算数*10分；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2.“产出指标、效益指标、满意度指标”一共90分，对应的是一体化系统中单位编制的项目绩效目标。</w:t>
            </w:r>
          </w:p>
        </w:tc>
      </w:tr>
      <w:tr>
        <w:tblPrEx>
          <w:tblCellMar>
            <w:top w:w="0" w:type="dxa"/>
            <w:left w:w="108" w:type="dxa"/>
            <w:bottom w:w="0" w:type="dxa"/>
            <w:right w:w="108" w:type="dxa"/>
          </w:tblCellMar>
        </w:tblPrEx>
        <w:trPr>
          <w:gridBefore w:val="1"/>
          <w:wBefore w:w="95" w:type="dxa"/>
          <w:trHeight w:val="758" w:hRule="atLeast"/>
        </w:trPr>
        <w:tc>
          <w:tcPr>
            <w:tcW w:w="13246" w:type="dxa"/>
            <w:gridSpan w:val="124"/>
            <w:tcBorders>
              <w:top w:val="single" w:color="auto" w:sz="4" w:space="0"/>
              <w:left w:val="nil"/>
              <w:bottom w:val="nil"/>
              <w:right w:val="nil"/>
            </w:tcBorders>
            <w:shd w:val="clear" w:color="auto" w:fill="auto"/>
            <w:vAlign w:val="center"/>
          </w:tcPr>
          <w:p>
            <w:pPr>
              <w:widowControl/>
              <w:jc w:val="center"/>
              <w:rPr>
                <w:rFonts w:ascii="宋体" w:hAnsi="宋体" w:cs="宋体"/>
                <w:b/>
                <w:bCs/>
                <w:color w:val="000000"/>
                <w:kern w:val="0"/>
                <w:sz w:val="36"/>
                <w:szCs w:val="36"/>
              </w:rPr>
            </w:pPr>
          </w:p>
          <w:p>
            <w:pPr>
              <w:widowControl/>
              <w:jc w:val="center"/>
              <w:rPr>
                <w:rFonts w:ascii="宋体" w:hAnsi="宋体" w:cs="宋体"/>
                <w:color w:val="000000"/>
                <w:kern w:val="0"/>
                <w:sz w:val="22"/>
                <w:szCs w:val="22"/>
              </w:rPr>
            </w:pPr>
            <w:r>
              <w:rPr>
                <w:rFonts w:hint="eastAsia" w:ascii="宋体" w:hAnsi="宋体" w:cs="宋体"/>
                <w:b/>
                <w:bCs/>
                <w:color w:val="000000"/>
                <w:kern w:val="0"/>
                <w:sz w:val="36"/>
                <w:szCs w:val="36"/>
              </w:rPr>
              <w:t>区级项目支出绩效自评表</w:t>
            </w:r>
          </w:p>
        </w:tc>
      </w:tr>
      <w:tr>
        <w:tblPrEx>
          <w:tblCellMar>
            <w:top w:w="0" w:type="dxa"/>
            <w:left w:w="108" w:type="dxa"/>
            <w:bottom w:w="0" w:type="dxa"/>
            <w:right w:w="108" w:type="dxa"/>
          </w:tblCellMar>
        </w:tblPrEx>
        <w:trPr>
          <w:gridBefore w:val="1"/>
          <w:wBefore w:w="95" w:type="dxa"/>
          <w:trHeight w:val="409" w:hRule="atLeast"/>
        </w:trPr>
        <w:tc>
          <w:tcPr>
            <w:tcW w:w="2074"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4804" w:type="dxa"/>
            <w:gridSpan w:val="43"/>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三支一扶人员</w:t>
            </w:r>
          </w:p>
        </w:tc>
        <w:tc>
          <w:tcPr>
            <w:tcW w:w="1736" w:type="dxa"/>
            <w:gridSpan w:val="1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w:t>
            </w:r>
          </w:p>
        </w:tc>
        <w:tc>
          <w:tcPr>
            <w:tcW w:w="4632" w:type="dxa"/>
            <w:gridSpan w:val="6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w:t>
            </w:r>
          </w:p>
        </w:tc>
      </w:tr>
      <w:tr>
        <w:tblPrEx>
          <w:tblCellMar>
            <w:top w:w="0" w:type="dxa"/>
            <w:left w:w="108" w:type="dxa"/>
            <w:bottom w:w="0" w:type="dxa"/>
            <w:right w:w="108" w:type="dxa"/>
          </w:tblCellMar>
        </w:tblPrEx>
        <w:trPr>
          <w:gridBefore w:val="1"/>
          <w:wBefore w:w="95" w:type="dxa"/>
          <w:trHeight w:val="409" w:hRule="atLeast"/>
        </w:trPr>
        <w:tc>
          <w:tcPr>
            <w:tcW w:w="2074"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804" w:type="dxa"/>
            <w:gridSpan w:val="43"/>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c>
          <w:tcPr>
            <w:tcW w:w="1736" w:type="dxa"/>
            <w:gridSpan w:val="1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632" w:type="dxa"/>
            <w:gridSpan w:val="60"/>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r>
      <w:tr>
        <w:tblPrEx>
          <w:tblCellMar>
            <w:top w:w="0" w:type="dxa"/>
            <w:left w:w="108" w:type="dxa"/>
            <w:bottom w:w="0" w:type="dxa"/>
            <w:right w:w="108" w:type="dxa"/>
          </w:tblCellMar>
        </w:tblPrEx>
        <w:trPr>
          <w:gridBefore w:val="1"/>
          <w:wBefore w:w="95" w:type="dxa"/>
          <w:trHeight w:val="409" w:hRule="atLeast"/>
        </w:trPr>
        <w:tc>
          <w:tcPr>
            <w:tcW w:w="13246" w:type="dxa"/>
            <w:gridSpan w:val="12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项目资金（万元）</w:t>
            </w:r>
          </w:p>
        </w:tc>
      </w:tr>
      <w:tr>
        <w:tblPrEx>
          <w:tblCellMar>
            <w:top w:w="0" w:type="dxa"/>
            <w:left w:w="108" w:type="dxa"/>
            <w:bottom w:w="0" w:type="dxa"/>
            <w:right w:w="108" w:type="dxa"/>
          </w:tblCellMar>
        </w:tblPrEx>
        <w:trPr>
          <w:gridBefore w:val="1"/>
          <w:wBefore w:w="95" w:type="dxa"/>
          <w:trHeight w:val="409" w:hRule="atLeast"/>
        </w:trPr>
        <w:tc>
          <w:tcPr>
            <w:tcW w:w="2627" w:type="dxa"/>
            <w:gridSpan w:val="16"/>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51" w:type="dxa"/>
            <w:gridSpan w:val="3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3303" w:type="dxa"/>
            <w:gridSpan w:val="2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3065" w:type="dxa"/>
            <w:gridSpan w:val="4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r>
      <w:tr>
        <w:tblPrEx>
          <w:tblCellMar>
            <w:top w:w="0" w:type="dxa"/>
            <w:left w:w="108" w:type="dxa"/>
            <w:bottom w:w="0" w:type="dxa"/>
            <w:right w:w="108" w:type="dxa"/>
          </w:tblCellMar>
        </w:tblPrEx>
        <w:trPr>
          <w:gridBefore w:val="1"/>
          <w:wBefore w:w="95" w:type="dxa"/>
          <w:trHeight w:val="409" w:hRule="atLeast"/>
        </w:trPr>
        <w:tc>
          <w:tcPr>
            <w:tcW w:w="2627" w:type="dxa"/>
            <w:gridSpan w:val="1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4251" w:type="dxa"/>
            <w:gridSpan w:val="3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w:t>
            </w:r>
          </w:p>
        </w:tc>
        <w:tc>
          <w:tcPr>
            <w:tcW w:w="3303" w:type="dxa"/>
            <w:gridSpan w:val="2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w:t>
            </w:r>
          </w:p>
        </w:tc>
        <w:tc>
          <w:tcPr>
            <w:tcW w:w="3065" w:type="dxa"/>
            <w:gridSpan w:val="4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Before w:val="1"/>
          <w:wBefore w:w="95" w:type="dxa"/>
          <w:trHeight w:val="409" w:hRule="atLeast"/>
        </w:trPr>
        <w:tc>
          <w:tcPr>
            <w:tcW w:w="2627" w:type="dxa"/>
            <w:gridSpan w:val="1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其中：财政拨款</w:t>
            </w:r>
          </w:p>
        </w:tc>
        <w:tc>
          <w:tcPr>
            <w:tcW w:w="4251" w:type="dxa"/>
            <w:gridSpan w:val="3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w:t>
            </w:r>
          </w:p>
        </w:tc>
        <w:tc>
          <w:tcPr>
            <w:tcW w:w="3303" w:type="dxa"/>
            <w:gridSpan w:val="2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13.5</w:t>
            </w:r>
          </w:p>
        </w:tc>
        <w:tc>
          <w:tcPr>
            <w:tcW w:w="3065" w:type="dxa"/>
            <w:gridSpan w:val="4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Before w:val="1"/>
          <w:wBefore w:w="95" w:type="dxa"/>
          <w:trHeight w:val="409" w:hRule="atLeast"/>
        </w:trPr>
        <w:tc>
          <w:tcPr>
            <w:tcW w:w="2627" w:type="dxa"/>
            <w:gridSpan w:val="1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4251" w:type="dxa"/>
            <w:gridSpan w:val="3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303" w:type="dxa"/>
            <w:gridSpan w:val="2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065" w:type="dxa"/>
            <w:gridSpan w:val="4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gridBefore w:val="1"/>
          <w:wBefore w:w="95" w:type="dxa"/>
          <w:trHeight w:val="409" w:hRule="atLeast"/>
        </w:trPr>
        <w:tc>
          <w:tcPr>
            <w:tcW w:w="2074" w:type="dxa"/>
            <w:gridSpan w:val="7"/>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年度总体目标</w:t>
            </w:r>
          </w:p>
        </w:tc>
        <w:tc>
          <w:tcPr>
            <w:tcW w:w="6540" w:type="dxa"/>
            <w:gridSpan w:val="5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632" w:type="dxa"/>
            <w:gridSpan w:val="60"/>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gridBefore w:val="1"/>
          <w:wBefore w:w="95" w:type="dxa"/>
          <w:trHeight w:val="1879" w:hRule="atLeast"/>
        </w:trPr>
        <w:tc>
          <w:tcPr>
            <w:tcW w:w="2074" w:type="dxa"/>
            <w:gridSpan w:val="7"/>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540" w:type="dxa"/>
            <w:gridSpan w:val="57"/>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2022年投入资金135080元，保障三支一扶人员工资保险，落实国家各项法律法规，维护农村社会稳定，提升基层组织服务群众的能力。</w:t>
            </w:r>
          </w:p>
        </w:tc>
        <w:tc>
          <w:tcPr>
            <w:tcW w:w="4632" w:type="dxa"/>
            <w:gridSpan w:val="60"/>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2022年投入资金135080元，保障三支一扶人员工资保险，落实国家各项法律法规，维护农村社会稳定，提升基层组织服务群众的能力。</w:t>
            </w:r>
          </w:p>
        </w:tc>
      </w:tr>
      <w:tr>
        <w:tblPrEx>
          <w:tblCellMar>
            <w:top w:w="0" w:type="dxa"/>
            <w:left w:w="108" w:type="dxa"/>
            <w:bottom w:w="0" w:type="dxa"/>
            <w:right w:w="108" w:type="dxa"/>
          </w:tblCellMar>
        </w:tblPrEx>
        <w:trPr>
          <w:gridBefore w:val="1"/>
          <w:wBefore w:w="95" w:type="dxa"/>
          <w:trHeight w:val="529" w:hRule="atLeast"/>
        </w:trPr>
        <w:tc>
          <w:tcPr>
            <w:tcW w:w="2074"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06" w:type="dxa"/>
            <w:gridSpan w:val="2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3698" w:type="dxa"/>
            <w:gridSpan w:val="2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36" w:type="dxa"/>
            <w:gridSpan w:val="1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567"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358" w:type="dxa"/>
            <w:gridSpan w:val="1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分值/权重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（百分制）</w:t>
            </w:r>
          </w:p>
        </w:tc>
        <w:tc>
          <w:tcPr>
            <w:tcW w:w="653" w:type="dxa"/>
            <w:gridSpan w:val="1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054" w:type="dxa"/>
            <w:gridSpan w:val="1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扣分原因分析</w:t>
            </w:r>
          </w:p>
        </w:tc>
      </w:tr>
      <w:tr>
        <w:tblPrEx>
          <w:tblCellMar>
            <w:top w:w="0" w:type="dxa"/>
            <w:left w:w="108" w:type="dxa"/>
            <w:bottom w:w="0" w:type="dxa"/>
            <w:right w:w="108" w:type="dxa"/>
          </w:tblCellMar>
        </w:tblPrEx>
        <w:trPr>
          <w:gridBefore w:val="1"/>
          <w:wBefore w:w="95" w:type="dxa"/>
          <w:trHeight w:val="409" w:hRule="atLeast"/>
        </w:trPr>
        <w:tc>
          <w:tcPr>
            <w:tcW w:w="10181" w:type="dxa"/>
            <w:gridSpan w:val="79"/>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    分</w:t>
            </w:r>
          </w:p>
        </w:tc>
        <w:tc>
          <w:tcPr>
            <w:tcW w:w="135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53"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54" w:type="dxa"/>
            <w:gridSpan w:val="18"/>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6878" w:type="dxa"/>
            <w:gridSpan w:val="50"/>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预算执行率（10分）</w:t>
            </w:r>
          </w:p>
        </w:tc>
        <w:tc>
          <w:tcPr>
            <w:tcW w:w="1736" w:type="dxa"/>
            <w:gridSpan w:val="1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567"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　</w:t>
            </w:r>
          </w:p>
        </w:tc>
        <w:tc>
          <w:tcPr>
            <w:tcW w:w="135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53"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54" w:type="dxa"/>
            <w:gridSpan w:val="1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074" w:type="dxa"/>
            <w:gridSpan w:val="7"/>
            <w:vMerge w:val="restart"/>
            <w:tcBorders>
              <w:top w:val="nil"/>
              <w:left w:val="single" w:color="auto" w:sz="4" w:space="0"/>
              <w:bottom w:val="single" w:color="000000"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产出指标</w:t>
            </w:r>
          </w:p>
        </w:tc>
        <w:tc>
          <w:tcPr>
            <w:tcW w:w="1106" w:type="dxa"/>
            <w:gridSpan w:val="21"/>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3698"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工资和保险费支付率</w:t>
            </w:r>
          </w:p>
        </w:tc>
        <w:tc>
          <w:tcPr>
            <w:tcW w:w="1736"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56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5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53"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54" w:type="dxa"/>
            <w:gridSpan w:val="1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074" w:type="dxa"/>
            <w:gridSpan w:val="7"/>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106" w:type="dxa"/>
            <w:gridSpan w:val="21"/>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质量指标</w:t>
            </w:r>
          </w:p>
        </w:tc>
        <w:tc>
          <w:tcPr>
            <w:tcW w:w="3698"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w:t>
            </w:r>
          </w:p>
        </w:tc>
        <w:tc>
          <w:tcPr>
            <w:tcW w:w="1736"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56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5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53"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54" w:type="dxa"/>
            <w:gridSpan w:val="1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074" w:type="dxa"/>
            <w:gridSpan w:val="7"/>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106" w:type="dxa"/>
            <w:gridSpan w:val="21"/>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成本指标</w:t>
            </w:r>
          </w:p>
        </w:tc>
        <w:tc>
          <w:tcPr>
            <w:tcW w:w="3698"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社会保险费额度</w:t>
            </w:r>
          </w:p>
        </w:tc>
        <w:tc>
          <w:tcPr>
            <w:tcW w:w="1736"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28800</w:t>
            </w:r>
          </w:p>
        </w:tc>
        <w:tc>
          <w:tcPr>
            <w:tcW w:w="156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28800</w:t>
            </w:r>
          </w:p>
        </w:tc>
        <w:tc>
          <w:tcPr>
            <w:tcW w:w="135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53"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54" w:type="dxa"/>
            <w:gridSpan w:val="1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074" w:type="dxa"/>
            <w:gridSpan w:val="7"/>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106" w:type="dxa"/>
            <w:gridSpan w:val="21"/>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成本指标</w:t>
            </w:r>
          </w:p>
        </w:tc>
        <w:tc>
          <w:tcPr>
            <w:tcW w:w="3698"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工资和绩效额度</w:t>
            </w:r>
          </w:p>
        </w:tc>
        <w:tc>
          <w:tcPr>
            <w:tcW w:w="1736"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106280</w:t>
            </w:r>
          </w:p>
        </w:tc>
        <w:tc>
          <w:tcPr>
            <w:tcW w:w="156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106280</w:t>
            </w:r>
          </w:p>
        </w:tc>
        <w:tc>
          <w:tcPr>
            <w:tcW w:w="135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53"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54" w:type="dxa"/>
            <w:gridSpan w:val="1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074" w:type="dxa"/>
            <w:gridSpan w:val="7"/>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106" w:type="dxa"/>
            <w:gridSpan w:val="2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3698"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三支一扶人数</w:t>
            </w:r>
          </w:p>
        </w:tc>
        <w:tc>
          <w:tcPr>
            <w:tcW w:w="1736"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56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35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53"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54" w:type="dxa"/>
            <w:gridSpan w:val="1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074" w:type="dxa"/>
            <w:gridSpan w:val="7"/>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效益指标</w:t>
            </w:r>
          </w:p>
        </w:tc>
        <w:tc>
          <w:tcPr>
            <w:tcW w:w="1106" w:type="dxa"/>
            <w:gridSpan w:val="21"/>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社会效益指标</w:t>
            </w:r>
          </w:p>
        </w:tc>
        <w:tc>
          <w:tcPr>
            <w:tcW w:w="3698"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保障三支一扶工作正常运转</w:t>
            </w:r>
          </w:p>
        </w:tc>
        <w:tc>
          <w:tcPr>
            <w:tcW w:w="1736"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56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35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653"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054" w:type="dxa"/>
            <w:gridSpan w:val="1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074" w:type="dxa"/>
            <w:gridSpan w:val="7"/>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1106" w:type="dxa"/>
            <w:gridSpan w:val="21"/>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3698" w:type="dxa"/>
            <w:gridSpan w:val="2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三支一扶人员满意度</w:t>
            </w:r>
          </w:p>
        </w:tc>
        <w:tc>
          <w:tcPr>
            <w:tcW w:w="1736"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56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35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653"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054" w:type="dxa"/>
            <w:gridSpan w:val="1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758" w:hRule="atLeast"/>
        </w:trPr>
        <w:tc>
          <w:tcPr>
            <w:tcW w:w="13246" w:type="dxa"/>
            <w:gridSpan w:val="124"/>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说明：1.预算执行率得分=全年执行数/全年预算数*10分；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2.“产出指标、效益指标、满意度指标”一共90分，对应的是一体化系统中单位编制的项目绩效目标。</w:t>
            </w:r>
          </w:p>
        </w:tc>
      </w:tr>
      <w:tr>
        <w:tblPrEx>
          <w:tblCellMar>
            <w:top w:w="0" w:type="dxa"/>
            <w:left w:w="108" w:type="dxa"/>
            <w:bottom w:w="0" w:type="dxa"/>
            <w:right w:w="108" w:type="dxa"/>
          </w:tblCellMar>
        </w:tblPrEx>
        <w:trPr>
          <w:gridBefore w:val="1"/>
          <w:wBefore w:w="95" w:type="dxa"/>
          <w:trHeight w:val="758" w:hRule="atLeast"/>
        </w:trPr>
        <w:tc>
          <w:tcPr>
            <w:tcW w:w="13246" w:type="dxa"/>
            <w:gridSpan w:val="124"/>
            <w:tcBorders>
              <w:top w:val="single" w:color="auto" w:sz="4" w:space="0"/>
              <w:left w:val="nil"/>
              <w:bottom w:val="nil"/>
              <w:right w:val="nil"/>
            </w:tcBorders>
            <w:shd w:val="clear" w:color="auto" w:fill="auto"/>
            <w:vAlign w:val="center"/>
          </w:tcPr>
          <w:p>
            <w:pPr>
              <w:widowControl/>
              <w:jc w:val="center"/>
              <w:rPr>
                <w:rFonts w:ascii="宋体" w:hAnsi="宋体" w:cs="宋体"/>
                <w:b/>
                <w:bCs/>
                <w:color w:val="000000"/>
                <w:kern w:val="0"/>
                <w:sz w:val="36"/>
                <w:szCs w:val="36"/>
              </w:rPr>
            </w:pPr>
          </w:p>
          <w:p>
            <w:pPr>
              <w:widowControl/>
              <w:jc w:val="center"/>
              <w:rPr>
                <w:rFonts w:ascii="宋体" w:hAnsi="宋体" w:cs="宋体"/>
                <w:color w:val="000000"/>
                <w:kern w:val="0"/>
                <w:sz w:val="22"/>
                <w:szCs w:val="22"/>
              </w:rPr>
            </w:pPr>
            <w:r>
              <w:rPr>
                <w:rFonts w:hint="eastAsia" w:ascii="宋体" w:hAnsi="宋体" w:cs="宋体"/>
                <w:b/>
                <w:bCs/>
                <w:color w:val="000000"/>
                <w:kern w:val="0"/>
                <w:sz w:val="36"/>
                <w:szCs w:val="36"/>
              </w:rPr>
              <w:t>区级项目支出绩效自评表</w:t>
            </w:r>
          </w:p>
        </w:tc>
      </w:tr>
      <w:tr>
        <w:tblPrEx>
          <w:tblCellMar>
            <w:top w:w="0" w:type="dxa"/>
            <w:left w:w="108" w:type="dxa"/>
            <w:bottom w:w="0" w:type="dxa"/>
            <w:right w:w="108" w:type="dxa"/>
          </w:tblCellMar>
        </w:tblPrEx>
        <w:trPr>
          <w:gridBefore w:val="1"/>
          <w:wBefore w:w="95" w:type="dxa"/>
          <w:trHeight w:val="409" w:hRule="atLeast"/>
        </w:trPr>
        <w:tc>
          <w:tcPr>
            <w:tcW w:w="212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4587" w:type="dxa"/>
            <w:gridSpan w:val="39"/>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小二型水库运行维护</w:t>
            </w:r>
          </w:p>
        </w:tc>
        <w:tc>
          <w:tcPr>
            <w:tcW w:w="1780"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w:t>
            </w:r>
          </w:p>
        </w:tc>
        <w:tc>
          <w:tcPr>
            <w:tcW w:w="4751" w:type="dxa"/>
            <w:gridSpan w:val="6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w:t>
            </w:r>
          </w:p>
        </w:tc>
      </w:tr>
      <w:tr>
        <w:tblPrEx>
          <w:tblCellMar>
            <w:top w:w="0" w:type="dxa"/>
            <w:left w:w="108" w:type="dxa"/>
            <w:bottom w:w="0" w:type="dxa"/>
            <w:right w:w="108" w:type="dxa"/>
          </w:tblCellMar>
        </w:tblPrEx>
        <w:trPr>
          <w:gridBefore w:val="1"/>
          <w:wBefore w:w="95" w:type="dxa"/>
          <w:trHeight w:val="409" w:hRule="atLeast"/>
        </w:trPr>
        <w:tc>
          <w:tcPr>
            <w:tcW w:w="2128" w:type="dxa"/>
            <w:gridSpan w:val="8"/>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87" w:type="dxa"/>
            <w:gridSpan w:val="39"/>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c>
          <w:tcPr>
            <w:tcW w:w="1780" w:type="dxa"/>
            <w:gridSpan w:val="1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751" w:type="dxa"/>
            <w:gridSpan w:val="6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乐山市市中区棉竹镇人民政府</w:t>
            </w:r>
          </w:p>
        </w:tc>
      </w:tr>
      <w:tr>
        <w:tblPrEx>
          <w:tblCellMar>
            <w:top w:w="0" w:type="dxa"/>
            <w:left w:w="108" w:type="dxa"/>
            <w:bottom w:w="0" w:type="dxa"/>
            <w:right w:w="108" w:type="dxa"/>
          </w:tblCellMar>
        </w:tblPrEx>
        <w:trPr>
          <w:gridBefore w:val="1"/>
          <w:wBefore w:w="95" w:type="dxa"/>
          <w:trHeight w:val="409" w:hRule="atLeast"/>
        </w:trPr>
        <w:tc>
          <w:tcPr>
            <w:tcW w:w="13246" w:type="dxa"/>
            <w:gridSpan w:val="12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项目资金（万元）</w:t>
            </w:r>
          </w:p>
        </w:tc>
      </w:tr>
      <w:tr>
        <w:tblPrEx>
          <w:tblCellMar>
            <w:top w:w="0" w:type="dxa"/>
            <w:left w:w="108" w:type="dxa"/>
            <w:bottom w:w="0" w:type="dxa"/>
            <w:right w:w="108" w:type="dxa"/>
          </w:tblCellMar>
        </w:tblPrEx>
        <w:trPr>
          <w:gridBefore w:val="1"/>
          <w:wBefore w:w="95" w:type="dxa"/>
          <w:trHeight w:val="409" w:hRule="atLeast"/>
        </w:trPr>
        <w:tc>
          <w:tcPr>
            <w:tcW w:w="2681" w:type="dxa"/>
            <w:gridSpan w:val="17"/>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034" w:type="dxa"/>
            <w:gridSpan w:val="30"/>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3387"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3144" w:type="dxa"/>
            <w:gridSpan w:val="4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r>
      <w:tr>
        <w:tblPrEx>
          <w:tblCellMar>
            <w:top w:w="0" w:type="dxa"/>
            <w:left w:w="108" w:type="dxa"/>
            <w:bottom w:w="0" w:type="dxa"/>
            <w:right w:w="108" w:type="dxa"/>
          </w:tblCellMar>
        </w:tblPrEx>
        <w:trPr>
          <w:gridBefore w:val="1"/>
          <w:wBefore w:w="95" w:type="dxa"/>
          <w:trHeight w:val="409" w:hRule="atLeast"/>
        </w:trPr>
        <w:tc>
          <w:tcPr>
            <w:tcW w:w="2681" w:type="dxa"/>
            <w:gridSpan w:val="17"/>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4034"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3387"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3144" w:type="dxa"/>
            <w:gridSpan w:val="4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Before w:val="1"/>
          <w:wBefore w:w="95" w:type="dxa"/>
          <w:trHeight w:val="409" w:hRule="atLeast"/>
        </w:trPr>
        <w:tc>
          <w:tcPr>
            <w:tcW w:w="2681" w:type="dxa"/>
            <w:gridSpan w:val="17"/>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其中：财政拨款</w:t>
            </w:r>
          </w:p>
        </w:tc>
        <w:tc>
          <w:tcPr>
            <w:tcW w:w="4034"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3387"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3144" w:type="dxa"/>
            <w:gridSpan w:val="4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Before w:val="1"/>
          <w:wBefore w:w="95" w:type="dxa"/>
          <w:trHeight w:val="409" w:hRule="atLeast"/>
        </w:trPr>
        <w:tc>
          <w:tcPr>
            <w:tcW w:w="2681" w:type="dxa"/>
            <w:gridSpan w:val="17"/>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4034"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387"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144" w:type="dxa"/>
            <w:gridSpan w:val="4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gridBefore w:val="1"/>
          <w:wBefore w:w="95" w:type="dxa"/>
          <w:trHeight w:val="409" w:hRule="atLeast"/>
        </w:trPr>
        <w:tc>
          <w:tcPr>
            <w:tcW w:w="2128" w:type="dxa"/>
            <w:gridSpan w:val="8"/>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年度总体目标</w:t>
            </w:r>
          </w:p>
        </w:tc>
        <w:tc>
          <w:tcPr>
            <w:tcW w:w="6367" w:type="dxa"/>
            <w:gridSpan w:val="5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751" w:type="dxa"/>
            <w:gridSpan w:val="6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gridBefore w:val="1"/>
          <w:wBefore w:w="95" w:type="dxa"/>
          <w:trHeight w:val="1879" w:hRule="atLeast"/>
        </w:trPr>
        <w:tc>
          <w:tcPr>
            <w:tcW w:w="2128" w:type="dxa"/>
            <w:gridSpan w:val="8"/>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367" w:type="dxa"/>
            <w:gridSpan w:val="54"/>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本年预计投入2万元，主要用于天空山村天宫山水库的管护人员务工费、防洪提坝维修维护、水库周边日常治理等支出，保障天宫山水库日常运行维护。</w:t>
            </w:r>
          </w:p>
        </w:tc>
        <w:tc>
          <w:tcPr>
            <w:tcW w:w="4751" w:type="dxa"/>
            <w:gridSpan w:val="62"/>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本年预计投入2万元，主要用于天空山村天宫山水库的管护人员务工费、防洪提坝维修维护、水库周边日常治理等支出，保障天宫山水库日常运行维护。</w:t>
            </w:r>
          </w:p>
        </w:tc>
      </w:tr>
      <w:tr>
        <w:tblPrEx>
          <w:tblCellMar>
            <w:top w:w="0" w:type="dxa"/>
            <w:left w:w="108" w:type="dxa"/>
            <w:bottom w:w="0" w:type="dxa"/>
            <w:right w:w="108" w:type="dxa"/>
          </w:tblCellMar>
        </w:tblPrEx>
        <w:trPr>
          <w:gridBefore w:val="1"/>
          <w:wBefore w:w="95" w:type="dxa"/>
          <w:trHeight w:val="529" w:hRule="atLeast"/>
        </w:trPr>
        <w:tc>
          <w:tcPr>
            <w:tcW w:w="212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06" w:type="dxa"/>
            <w:gridSpan w:val="2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3481" w:type="dxa"/>
            <w:gridSpan w:val="1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80"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607"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393" w:type="dxa"/>
            <w:gridSpan w:val="1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分值/权重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（百分制）</w:t>
            </w:r>
          </w:p>
        </w:tc>
        <w:tc>
          <w:tcPr>
            <w:tcW w:w="670" w:type="dxa"/>
            <w:gridSpan w:val="11"/>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081" w:type="dxa"/>
            <w:gridSpan w:val="2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扣分原因分析</w:t>
            </w:r>
          </w:p>
        </w:tc>
      </w:tr>
      <w:tr>
        <w:tblPrEx>
          <w:tblCellMar>
            <w:top w:w="0" w:type="dxa"/>
            <w:left w:w="108" w:type="dxa"/>
            <w:bottom w:w="0" w:type="dxa"/>
            <w:right w:w="108" w:type="dxa"/>
          </w:tblCellMar>
        </w:tblPrEx>
        <w:trPr>
          <w:gridBefore w:val="1"/>
          <w:wBefore w:w="95" w:type="dxa"/>
          <w:trHeight w:val="409" w:hRule="atLeast"/>
        </w:trPr>
        <w:tc>
          <w:tcPr>
            <w:tcW w:w="10102" w:type="dxa"/>
            <w:gridSpan w:val="77"/>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    分</w:t>
            </w:r>
          </w:p>
        </w:tc>
        <w:tc>
          <w:tcPr>
            <w:tcW w:w="1393"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70"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81" w:type="dxa"/>
            <w:gridSpan w:val="20"/>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6715" w:type="dxa"/>
            <w:gridSpan w:val="47"/>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预算执行率（10分）</w:t>
            </w:r>
          </w:p>
        </w:tc>
        <w:tc>
          <w:tcPr>
            <w:tcW w:w="1780"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607"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　</w:t>
            </w:r>
          </w:p>
        </w:tc>
        <w:tc>
          <w:tcPr>
            <w:tcW w:w="1393"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70"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81" w:type="dxa"/>
            <w:gridSpan w:val="20"/>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128" w:type="dxa"/>
            <w:gridSpan w:val="8"/>
            <w:vMerge w:val="restart"/>
            <w:tcBorders>
              <w:top w:val="nil"/>
              <w:left w:val="single" w:color="auto" w:sz="4" w:space="0"/>
              <w:bottom w:val="nil"/>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产出指标</w:t>
            </w:r>
          </w:p>
        </w:tc>
        <w:tc>
          <w:tcPr>
            <w:tcW w:w="1106" w:type="dxa"/>
            <w:gridSpan w:val="2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3481"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小二型水库个数</w:t>
            </w:r>
          </w:p>
        </w:tc>
        <w:tc>
          <w:tcPr>
            <w:tcW w:w="1780"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60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393"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70"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81" w:type="dxa"/>
            <w:gridSpan w:val="20"/>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128" w:type="dxa"/>
            <w:gridSpan w:val="8"/>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106" w:type="dxa"/>
            <w:gridSpan w:val="2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质量指标</w:t>
            </w:r>
          </w:p>
        </w:tc>
        <w:tc>
          <w:tcPr>
            <w:tcW w:w="3481"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运行维护经费支付准确率</w:t>
            </w:r>
          </w:p>
        </w:tc>
        <w:tc>
          <w:tcPr>
            <w:tcW w:w="1780"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60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93"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670"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081" w:type="dxa"/>
            <w:gridSpan w:val="20"/>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128" w:type="dxa"/>
            <w:gridSpan w:val="8"/>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106" w:type="dxa"/>
            <w:gridSpan w:val="2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3481"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运行维护经费支付及时率</w:t>
            </w:r>
          </w:p>
        </w:tc>
        <w:tc>
          <w:tcPr>
            <w:tcW w:w="1780"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60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93"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670"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081" w:type="dxa"/>
            <w:gridSpan w:val="20"/>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12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106" w:type="dxa"/>
            <w:gridSpan w:val="2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3481"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运行维护经费标准</w:t>
            </w:r>
          </w:p>
        </w:tc>
        <w:tc>
          <w:tcPr>
            <w:tcW w:w="1780"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20000</w:t>
            </w:r>
          </w:p>
        </w:tc>
        <w:tc>
          <w:tcPr>
            <w:tcW w:w="160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20000</w:t>
            </w:r>
          </w:p>
        </w:tc>
        <w:tc>
          <w:tcPr>
            <w:tcW w:w="1393"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670"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081" w:type="dxa"/>
            <w:gridSpan w:val="20"/>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128" w:type="dxa"/>
            <w:gridSpan w:val="8"/>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效益指标</w:t>
            </w:r>
          </w:p>
        </w:tc>
        <w:tc>
          <w:tcPr>
            <w:tcW w:w="1106" w:type="dxa"/>
            <w:gridSpan w:val="2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社会效益指标</w:t>
            </w:r>
          </w:p>
        </w:tc>
        <w:tc>
          <w:tcPr>
            <w:tcW w:w="3481"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运行维护经费应付尽付率</w:t>
            </w:r>
          </w:p>
        </w:tc>
        <w:tc>
          <w:tcPr>
            <w:tcW w:w="1780"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60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93"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670"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081" w:type="dxa"/>
            <w:gridSpan w:val="20"/>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128" w:type="dxa"/>
            <w:gridSpan w:val="8"/>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1106" w:type="dxa"/>
            <w:gridSpan w:val="22"/>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3481" w:type="dxa"/>
            <w:gridSpan w:val="1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群众满意度</w:t>
            </w:r>
          </w:p>
        </w:tc>
        <w:tc>
          <w:tcPr>
            <w:tcW w:w="1780"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60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393"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70"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81" w:type="dxa"/>
            <w:gridSpan w:val="20"/>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758" w:hRule="atLeast"/>
        </w:trPr>
        <w:tc>
          <w:tcPr>
            <w:tcW w:w="13246" w:type="dxa"/>
            <w:gridSpan w:val="124"/>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说明：1.预算执行率得分=全年执行数/全年预算数*10分；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2.“产出指标、效益指标、满意度指标”一共90分，对应的是一体化系统中单位编制的项目绩效目标。</w:t>
            </w:r>
          </w:p>
        </w:tc>
      </w:tr>
      <w:tr>
        <w:tblPrEx>
          <w:tblCellMar>
            <w:top w:w="0" w:type="dxa"/>
            <w:left w:w="108" w:type="dxa"/>
            <w:bottom w:w="0" w:type="dxa"/>
            <w:right w:w="108" w:type="dxa"/>
          </w:tblCellMar>
        </w:tblPrEx>
        <w:trPr>
          <w:gridBefore w:val="1"/>
          <w:wBefore w:w="95" w:type="dxa"/>
          <w:trHeight w:val="758" w:hRule="atLeast"/>
        </w:trPr>
        <w:tc>
          <w:tcPr>
            <w:tcW w:w="13246" w:type="dxa"/>
            <w:gridSpan w:val="124"/>
            <w:tcBorders>
              <w:top w:val="single" w:color="auto" w:sz="4" w:space="0"/>
              <w:left w:val="nil"/>
              <w:bottom w:val="nil"/>
              <w:right w:val="nil"/>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b/>
                <w:bCs/>
                <w:color w:val="000000"/>
                <w:kern w:val="0"/>
                <w:sz w:val="36"/>
                <w:szCs w:val="36"/>
              </w:rPr>
              <w:t>区级项目支出绩效自评表</w:t>
            </w:r>
          </w:p>
        </w:tc>
      </w:tr>
      <w:tr>
        <w:tblPrEx>
          <w:tblCellMar>
            <w:top w:w="0" w:type="dxa"/>
            <w:left w:w="108" w:type="dxa"/>
            <w:bottom w:w="0" w:type="dxa"/>
            <w:right w:w="108" w:type="dxa"/>
          </w:tblCellMar>
        </w:tblPrEx>
        <w:trPr>
          <w:gridBefore w:val="1"/>
          <w:wBefore w:w="95" w:type="dxa"/>
          <w:trHeight w:val="409" w:hRule="atLeast"/>
        </w:trPr>
        <w:tc>
          <w:tcPr>
            <w:tcW w:w="2372"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4134" w:type="dxa"/>
            <w:gridSpan w:val="31"/>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社工岗人员</w:t>
            </w:r>
          </w:p>
        </w:tc>
        <w:tc>
          <w:tcPr>
            <w:tcW w:w="1989" w:type="dxa"/>
            <w:gridSpan w:val="17"/>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w:t>
            </w:r>
          </w:p>
        </w:tc>
        <w:tc>
          <w:tcPr>
            <w:tcW w:w="5411" w:type="dxa"/>
            <w:gridSpan w:val="6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w:t>
            </w:r>
          </w:p>
        </w:tc>
      </w:tr>
      <w:tr>
        <w:tblPrEx>
          <w:tblCellMar>
            <w:top w:w="0" w:type="dxa"/>
            <w:left w:w="108" w:type="dxa"/>
            <w:bottom w:w="0" w:type="dxa"/>
            <w:right w:w="108" w:type="dxa"/>
          </w:tblCellMar>
        </w:tblPrEx>
        <w:trPr>
          <w:gridBefore w:val="1"/>
          <w:wBefore w:w="95" w:type="dxa"/>
          <w:trHeight w:val="409" w:hRule="atLeast"/>
        </w:trPr>
        <w:tc>
          <w:tcPr>
            <w:tcW w:w="2372" w:type="dxa"/>
            <w:gridSpan w:val="1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134" w:type="dxa"/>
            <w:gridSpan w:val="31"/>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c>
          <w:tcPr>
            <w:tcW w:w="1989" w:type="dxa"/>
            <w:gridSpan w:val="1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5411" w:type="dxa"/>
            <w:gridSpan w:val="6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乐山市市中区棉竹镇人民政府</w:t>
            </w:r>
          </w:p>
        </w:tc>
      </w:tr>
      <w:tr>
        <w:tblPrEx>
          <w:tblCellMar>
            <w:top w:w="0" w:type="dxa"/>
            <w:left w:w="108" w:type="dxa"/>
            <w:bottom w:w="0" w:type="dxa"/>
            <w:right w:w="108" w:type="dxa"/>
          </w:tblCellMar>
        </w:tblPrEx>
        <w:trPr>
          <w:gridBefore w:val="1"/>
          <w:wBefore w:w="95" w:type="dxa"/>
          <w:trHeight w:val="409" w:hRule="atLeast"/>
        </w:trPr>
        <w:tc>
          <w:tcPr>
            <w:tcW w:w="13906" w:type="dxa"/>
            <w:gridSpan w:val="12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项目资金（万元）</w:t>
            </w:r>
          </w:p>
        </w:tc>
      </w:tr>
      <w:tr>
        <w:tblPrEx>
          <w:tblCellMar>
            <w:top w:w="0" w:type="dxa"/>
            <w:left w:w="108" w:type="dxa"/>
            <w:bottom w:w="0" w:type="dxa"/>
            <w:right w:w="108" w:type="dxa"/>
          </w:tblCellMar>
        </w:tblPrEx>
        <w:trPr>
          <w:gridBefore w:val="1"/>
          <w:wBefore w:w="95" w:type="dxa"/>
          <w:trHeight w:val="409" w:hRule="atLeast"/>
        </w:trPr>
        <w:tc>
          <w:tcPr>
            <w:tcW w:w="3195" w:type="dxa"/>
            <w:gridSpan w:val="29"/>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311" w:type="dxa"/>
            <w:gridSpan w:val="1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3780" w:type="dxa"/>
            <w:gridSpan w:val="3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3620" w:type="dxa"/>
            <w:gridSpan w:val="4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r>
      <w:tr>
        <w:tblPrEx>
          <w:tblCellMar>
            <w:top w:w="0" w:type="dxa"/>
            <w:left w:w="108" w:type="dxa"/>
            <w:bottom w:w="0" w:type="dxa"/>
            <w:right w:w="108" w:type="dxa"/>
          </w:tblCellMar>
        </w:tblPrEx>
        <w:trPr>
          <w:gridBefore w:val="1"/>
          <w:wBefore w:w="95" w:type="dxa"/>
          <w:trHeight w:val="409" w:hRule="atLeast"/>
        </w:trPr>
        <w:tc>
          <w:tcPr>
            <w:tcW w:w="3195" w:type="dxa"/>
            <w:gridSpan w:val="29"/>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3311" w:type="dxa"/>
            <w:gridSpan w:val="1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3.79</w:t>
            </w:r>
          </w:p>
        </w:tc>
        <w:tc>
          <w:tcPr>
            <w:tcW w:w="3780" w:type="dxa"/>
            <w:gridSpan w:val="3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3.79</w:t>
            </w:r>
          </w:p>
        </w:tc>
        <w:tc>
          <w:tcPr>
            <w:tcW w:w="3620" w:type="dxa"/>
            <w:gridSpan w:val="4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Before w:val="1"/>
          <w:wBefore w:w="95" w:type="dxa"/>
          <w:trHeight w:val="409" w:hRule="atLeast"/>
        </w:trPr>
        <w:tc>
          <w:tcPr>
            <w:tcW w:w="3195" w:type="dxa"/>
            <w:gridSpan w:val="29"/>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其中：财政拨款</w:t>
            </w:r>
          </w:p>
        </w:tc>
        <w:tc>
          <w:tcPr>
            <w:tcW w:w="3311" w:type="dxa"/>
            <w:gridSpan w:val="1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3.79</w:t>
            </w:r>
          </w:p>
        </w:tc>
        <w:tc>
          <w:tcPr>
            <w:tcW w:w="3780" w:type="dxa"/>
            <w:gridSpan w:val="3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3.79</w:t>
            </w:r>
          </w:p>
        </w:tc>
        <w:tc>
          <w:tcPr>
            <w:tcW w:w="3620" w:type="dxa"/>
            <w:gridSpan w:val="4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Before w:val="1"/>
          <w:wBefore w:w="95" w:type="dxa"/>
          <w:trHeight w:val="409" w:hRule="atLeast"/>
        </w:trPr>
        <w:tc>
          <w:tcPr>
            <w:tcW w:w="3195" w:type="dxa"/>
            <w:gridSpan w:val="29"/>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3311" w:type="dxa"/>
            <w:gridSpan w:val="1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780" w:type="dxa"/>
            <w:gridSpan w:val="3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620" w:type="dxa"/>
            <w:gridSpan w:val="4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gridBefore w:val="1"/>
          <w:wBefore w:w="95" w:type="dxa"/>
          <w:trHeight w:val="409" w:hRule="atLeast"/>
        </w:trPr>
        <w:tc>
          <w:tcPr>
            <w:tcW w:w="2372" w:type="dxa"/>
            <w:gridSpan w:val="14"/>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年度总体目标</w:t>
            </w:r>
          </w:p>
        </w:tc>
        <w:tc>
          <w:tcPr>
            <w:tcW w:w="6123" w:type="dxa"/>
            <w:gridSpan w:val="4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5411" w:type="dxa"/>
            <w:gridSpan w:val="6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gridBefore w:val="1"/>
          <w:wBefore w:w="95" w:type="dxa"/>
          <w:trHeight w:val="1879" w:hRule="atLeast"/>
        </w:trPr>
        <w:tc>
          <w:tcPr>
            <w:tcW w:w="2372" w:type="dxa"/>
            <w:gridSpan w:val="1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23" w:type="dxa"/>
            <w:gridSpan w:val="48"/>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川省公共卫生特别服务岗（疫情社区排查防控社工岗）项目由四川省卫健委、教育厅、民政厅、财政厅、人力资源社会保障厅等共同组织实施，按“省统筹、市级主体，公平公开、竞争择优、强化保障、加强管理原则，招募大中校毕业生从事公共卫生相关服务。</w:t>
            </w:r>
          </w:p>
        </w:tc>
        <w:tc>
          <w:tcPr>
            <w:tcW w:w="5411" w:type="dxa"/>
            <w:gridSpan w:val="62"/>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川省公共卫生特别服务岗（疫情社区排查防控社工岗）项目由四川省卫健委、教育厅、民政厅、财政厅、人力资源社会保障厅等共同组织实施，按“省统筹、市级主体，公平公开、竞争择优、强化保障、加强管理原则，招募大中校毕业生从事公共卫生相关服务。</w:t>
            </w:r>
          </w:p>
        </w:tc>
      </w:tr>
      <w:tr>
        <w:tblPrEx>
          <w:tblCellMar>
            <w:top w:w="0" w:type="dxa"/>
            <w:left w:w="108" w:type="dxa"/>
            <w:bottom w:w="0" w:type="dxa"/>
            <w:right w:w="108" w:type="dxa"/>
          </w:tblCellMar>
        </w:tblPrEx>
        <w:trPr>
          <w:gridBefore w:val="1"/>
          <w:wBefore w:w="95" w:type="dxa"/>
          <w:trHeight w:val="529" w:hRule="atLeast"/>
        </w:trPr>
        <w:tc>
          <w:tcPr>
            <w:tcW w:w="2372"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646" w:type="dxa"/>
            <w:gridSpan w:val="2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488"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989" w:type="dxa"/>
            <w:gridSpan w:val="1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791" w:type="dxa"/>
            <w:gridSpan w:val="1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553" w:type="dxa"/>
            <w:gridSpan w:val="1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分值/权重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（百分制）</w:t>
            </w:r>
          </w:p>
        </w:tc>
        <w:tc>
          <w:tcPr>
            <w:tcW w:w="747"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32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扣分原因分析</w:t>
            </w:r>
          </w:p>
        </w:tc>
      </w:tr>
      <w:tr>
        <w:tblPrEx>
          <w:tblCellMar>
            <w:top w:w="0" w:type="dxa"/>
            <w:left w:w="108" w:type="dxa"/>
            <w:bottom w:w="0" w:type="dxa"/>
            <w:right w:w="108" w:type="dxa"/>
          </w:tblCellMar>
        </w:tblPrEx>
        <w:trPr>
          <w:gridBefore w:val="1"/>
          <w:wBefore w:w="95" w:type="dxa"/>
          <w:trHeight w:val="409" w:hRule="atLeast"/>
        </w:trPr>
        <w:tc>
          <w:tcPr>
            <w:tcW w:w="10286" w:type="dxa"/>
            <w:gridSpan w:val="80"/>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    分</w:t>
            </w:r>
          </w:p>
        </w:tc>
        <w:tc>
          <w:tcPr>
            <w:tcW w:w="1553" w:type="dxa"/>
            <w:gridSpan w:val="1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4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20" w:type="dxa"/>
            <w:gridSpan w:val="11"/>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6506" w:type="dxa"/>
            <w:gridSpan w:val="45"/>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预算执行率（10分）</w:t>
            </w:r>
          </w:p>
        </w:tc>
        <w:tc>
          <w:tcPr>
            <w:tcW w:w="1989" w:type="dxa"/>
            <w:gridSpan w:val="17"/>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791" w:type="dxa"/>
            <w:gridSpan w:val="18"/>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　</w:t>
            </w:r>
          </w:p>
        </w:tc>
        <w:tc>
          <w:tcPr>
            <w:tcW w:w="1553" w:type="dxa"/>
            <w:gridSpan w:val="1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20" w:type="dxa"/>
            <w:gridSpan w:val="11"/>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372" w:type="dxa"/>
            <w:gridSpan w:val="14"/>
            <w:vMerge w:val="restart"/>
            <w:tcBorders>
              <w:top w:val="nil"/>
              <w:left w:val="single" w:color="auto" w:sz="4" w:space="0"/>
              <w:bottom w:val="nil"/>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产出指标</w:t>
            </w:r>
          </w:p>
        </w:tc>
        <w:tc>
          <w:tcPr>
            <w:tcW w:w="1646" w:type="dxa"/>
            <w:gridSpan w:val="2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488"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社工岗人数</w:t>
            </w:r>
          </w:p>
        </w:tc>
        <w:tc>
          <w:tcPr>
            <w:tcW w:w="1989"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791" w:type="dxa"/>
            <w:gridSpan w:val="1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553" w:type="dxa"/>
            <w:gridSpan w:val="1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20" w:type="dxa"/>
            <w:gridSpan w:val="11"/>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372" w:type="dxa"/>
            <w:gridSpan w:val="14"/>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2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488"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经费保障时期</w:t>
            </w:r>
          </w:p>
        </w:tc>
        <w:tc>
          <w:tcPr>
            <w:tcW w:w="1989"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791" w:type="dxa"/>
            <w:gridSpan w:val="1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553" w:type="dxa"/>
            <w:gridSpan w:val="1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20" w:type="dxa"/>
            <w:gridSpan w:val="11"/>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372" w:type="dxa"/>
            <w:gridSpan w:val="14"/>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27"/>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质量指标</w:t>
            </w:r>
          </w:p>
        </w:tc>
        <w:tc>
          <w:tcPr>
            <w:tcW w:w="2488"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经费支付准确率</w:t>
            </w:r>
          </w:p>
        </w:tc>
        <w:tc>
          <w:tcPr>
            <w:tcW w:w="1989"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91" w:type="dxa"/>
            <w:gridSpan w:val="1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553" w:type="dxa"/>
            <w:gridSpan w:val="1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20" w:type="dxa"/>
            <w:gridSpan w:val="11"/>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372" w:type="dxa"/>
            <w:gridSpan w:val="14"/>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27"/>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2488"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经费支付及时率</w:t>
            </w:r>
          </w:p>
        </w:tc>
        <w:tc>
          <w:tcPr>
            <w:tcW w:w="1989"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91" w:type="dxa"/>
            <w:gridSpan w:val="1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553" w:type="dxa"/>
            <w:gridSpan w:val="1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20" w:type="dxa"/>
            <w:gridSpan w:val="11"/>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372"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646" w:type="dxa"/>
            <w:gridSpan w:val="2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经济成本指标</w:t>
            </w:r>
          </w:p>
        </w:tc>
        <w:tc>
          <w:tcPr>
            <w:tcW w:w="2488"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社工岗月工资额</w:t>
            </w:r>
          </w:p>
        </w:tc>
        <w:tc>
          <w:tcPr>
            <w:tcW w:w="1989"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3664</w:t>
            </w:r>
          </w:p>
        </w:tc>
        <w:tc>
          <w:tcPr>
            <w:tcW w:w="1791" w:type="dxa"/>
            <w:gridSpan w:val="1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3664</w:t>
            </w:r>
          </w:p>
        </w:tc>
        <w:tc>
          <w:tcPr>
            <w:tcW w:w="1553" w:type="dxa"/>
            <w:gridSpan w:val="1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4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320" w:type="dxa"/>
            <w:gridSpan w:val="11"/>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372" w:type="dxa"/>
            <w:gridSpan w:val="14"/>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效益指标</w:t>
            </w:r>
          </w:p>
        </w:tc>
        <w:tc>
          <w:tcPr>
            <w:tcW w:w="1646" w:type="dxa"/>
            <w:gridSpan w:val="27"/>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社会效益指标</w:t>
            </w:r>
          </w:p>
        </w:tc>
        <w:tc>
          <w:tcPr>
            <w:tcW w:w="2488"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经费应付尽付率</w:t>
            </w:r>
          </w:p>
        </w:tc>
        <w:tc>
          <w:tcPr>
            <w:tcW w:w="1989"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91" w:type="dxa"/>
            <w:gridSpan w:val="1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553" w:type="dxa"/>
            <w:gridSpan w:val="1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4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320" w:type="dxa"/>
            <w:gridSpan w:val="11"/>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409" w:hRule="atLeast"/>
        </w:trPr>
        <w:tc>
          <w:tcPr>
            <w:tcW w:w="2372" w:type="dxa"/>
            <w:gridSpan w:val="14"/>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1646" w:type="dxa"/>
            <w:gridSpan w:val="27"/>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服务对象满意度指标</w:t>
            </w:r>
          </w:p>
        </w:tc>
        <w:tc>
          <w:tcPr>
            <w:tcW w:w="2488"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受益对象满意度</w:t>
            </w:r>
          </w:p>
        </w:tc>
        <w:tc>
          <w:tcPr>
            <w:tcW w:w="1989"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1791" w:type="dxa"/>
            <w:gridSpan w:val="1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1553" w:type="dxa"/>
            <w:gridSpan w:val="1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4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320" w:type="dxa"/>
            <w:gridSpan w:val="11"/>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95" w:type="dxa"/>
          <w:trHeight w:val="758" w:hRule="atLeast"/>
        </w:trPr>
        <w:tc>
          <w:tcPr>
            <w:tcW w:w="13906" w:type="dxa"/>
            <w:gridSpan w:val="124"/>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说明：1.预算执行率得分=全年执行数/全年预算数*10分；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2.“产出指标、效益指标、满意度指标”一共90分，对应的是一体化系统中单位编制的项目绩效目标。</w:t>
            </w:r>
          </w:p>
        </w:tc>
      </w:tr>
      <w:tr>
        <w:tblPrEx>
          <w:tblCellMar>
            <w:top w:w="0" w:type="dxa"/>
            <w:left w:w="108" w:type="dxa"/>
            <w:bottom w:w="0" w:type="dxa"/>
            <w:right w:w="108" w:type="dxa"/>
          </w:tblCellMar>
        </w:tblPrEx>
        <w:trPr>
          <w:gridBefore w:val="1"/>
          <w:wBefore w:w="95" w:type="dxa"/>
          <w:trHeight w:val="758" w:hRule="atLeast"/>
        </w:trPr>
        <w:tc>
          <w:tcPr>
            <w:tcW w:w="13906" w:type="dxa"/>
            <w:gridSpan w:val="124"/>
            <w:tcBorders>
              <w:top w:val="single" w:color="auto" w:sz="4" w:space="0"/>
              <w:left w:val="nil"/>
              <w:bottom w:val="nil"/>
              <w:right w:val="nil"/>
            </w:tcBorders>
            <w:shd w:val="clear" w:color="auto" w:fill="auto"/>
            <w:vAlign w:val="center"/>
          </w:tcPr>
          <w:p>
            <w:pPr>
              <w:widowControl/>
              <w:jc w:val="center"/>
              <w:rPr>
                <w:rFonts w:ascii="宋体" w:hAnsi="宋体" w:cs="宋体"/>
                <w:b/>
                <w:bCs/>
                <w:color w:val="000000"/>
                <w:kern w:val="0"/>
                <w:sz w:val="36"/>
                <w:szCs w:val="36"/>
              </w:rPr>
            </w:pPr>
          </w:p>
          <w:p>
            <w:pPr>
              <w:widowControl/>
              <w:jc w:val="center"/>
              <w:rPr>
                <w:rFonts w:ascii="宋体" w:hAnsi="宋体" w:cs="宋体"/>
                <w:color w:val="000000"/>
                <w:kern w:val="0"/>
                <w:sz w:val="22"/>
                <w:szCs w:val="22"/>
              </w:rPr>
            </w:pPr>
            <w:r>
              <w:rPr>
                <w:rFonts w:hint="eastAsia" w:ascii="宋体" w:hAnsi="宋体" w:cs="宋体"/>
                <w:b/>
                <w:bCs/>
                <w:color w:val="000000"/>
                <w:kern w:val="0"/>
                <w:sz w:val="36"/>
                <w:szCs w:val="36"/>
              </w:rPr>
              <w:t>区级项目支出绩效自评表</w:t>
            </w:r>
          </w:p>
        </w:tc>
      </w:tr>
      <w:tr>
        <w:tblPrEx>
          <w:tblCellMar>
            <w:top w:w="0" w:type="dxa"/>
            <w:left w:w="108" w:type="dxa"/>
            <w:bottom w:w="0" w:type="dxa"/>
            <w:right w:w="108" w:type="dxa"/>
          </w:tblCellMar>
        </w:tblPrEx>
        <w:trPr>
          <w:gridBefore w:val="1"/>
          <w:wBefore w:w="95" w:type="dxa"/>
          <w:trHeight w:val="409" w:hRule="atLeast"/>
        </w:trPr>
        <w:tc>
          <w:tcPr>
            <w:tcW w:w="212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5127" w:type="dxa"/>
            <w:gridSpan w:val="46"/>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免费开放资金</w:t>
            </w:r>
          </w:p>
        </w:tc>
        <w:tc>
          <w:tcPr>
            <w:tcW w:w="1780" w:type="dxa"/>
            <w:gridSpan w:val="1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w:t>
            </w:r>
          </w:p>
        </w:tc>
        <w:tc>
          <w:tcPr>
            <w:tcW w:w="4871" w:type="dxa"/>
            <w:gridSpan w:val="5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w:t>
            </w:r>
          </w:p>
        </w:tc>
      </w:tr>
      <w:tr>
        <w:tblPrEx>
          <w:tblCellMar>
            <w:top w:w="0" w:type="dxa"/>
            <w:left w:w="108" w:type="dxa"/>
            <w:bottom w:w="0" w:type="dxa"/>
            <w:right w:w="108" w:type="dxa"/>
          </w:tblCellMar>
        </w:tblPrEx>
        <w:trPr>
          <w:gridBefore w:val="1"/>
          <w:wBefore w:w="95" w:type="dxa"/>
          <w:trHeight w:val="409" w:hRule="atLeast"/>
        </w:trPr>
        <w:tc>
          <w:tcPr>
            <w:tcW w:w="2128" w:type="dxa"/>
            <w:gridSpan w:val="8"/>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5127" w:type="dxa"/>
            <w:gridSpan w:val="46"/>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c>
          <w:tcPr>
            <w:tcW w:w="1780" w:type="dxa"/>
            <w:gridSpan w:val="1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871" w:type="dxa"/>
            <w:gridSpan w:val="56"/>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乐山市市中区棉竹镇人民政府</w:t>
            </w:r>
          </w:p>
        </w:tc>
      </w:tr>
      <w:tr>
        <w:tblPrEx>
          <w:tblCellMar>
            <w:top w:w="0" w:type="dxa"/>
            <w:left w:w="108" w:type="dxa"/>
            <w:bottom w:w="0" w:type="dxa"/>
            <w:right w:w="108" w:type="dxa"/>
          </w:tblCellMar>
        </w:tblPrEx>
        <w:trPr>
          <w:gridBefore w:val="1"/>
          <w:wBefore w:w="95" w:type="dxa"/>
          <w:trHeight w:val="409" w:hRule="atLeast"/>
        </w:trPr>
        <w:tc>
          <w:tcPr>
            <w:tcW w:w="13906" w:type="dxa"/>
            <w:gridSpan w:val="12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项目资金（万元）</w:t>
            </w:r>
          </w:p>
        </w:tc>
      </w:tr>
      <w:tr>
        <w:tblPrEx>
          <w:tblCellMar>
            <w:top w:w="0" w:type="dxa"/>
            <w:left w:w="108" w:type="dxa"/>
            <w:bottom w:w="0" w:type="dxa"/>
            <w:right w:w="108" w:type="dxa"/>
          </w:tblCellMar>
        </w:tblPrEx>
        <w:trPr>
          <w:gridBefore w:val="1"/>
          <w:wBefore w:w="95" w:type="dxa"/>
          <w:trHeight w:val="409" w:hRule="atLeast"/>
        </w:trPr>
        <w:tc>
          <w:tcPr>
            <w:tcW w:w="2951" w:type="dxa"/>
            <w:gridSpan w:val="24"/>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304" w:type="dxa"/>
            <w:gridSpan w:val="30"/>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3387"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3264" w:type="dxa"/>
            <w:gridSpan w:val="4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r>
      <w:tr>
        <w:tblPrEx>
          <w:tblCellMar>
            <w:top w:w="0" w:type="dxa"/>
            <w:left w:w="108" w:type="dxa"/>
            <w:bottom w:w="0" w:type="dxa"/>
            <w:right w:w="108" w:type="dxa"/>
          </w:tblCellMar>
        </w:tblPrEx>
        <w:trPr>
          <w:gridBefore w:val="1"/>
          <w:wBefore w:w="95" w:type="dxa"/>
          <w:trHeight w:val="409" w:hRule="atLeast"/>
        </w:trPr>
        <w:tc>
          <w:tcPr>
            <w:tcW w:w="2951" w:type="dxa"/>
            <w:gridSpan w:val="2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4304"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3387"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3264" w:type="dxa"/>
            <w:gridSpan w:val="4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Before w:val="1"/>
          <w:wBefore w:w="95" w:type="dxa"/>
          <w:trHeight w:val="409" w:hRule="atLeast"/>
        </w:trPr>
        <w:tc>
          <w:tcPr>
            <w:tcW w:w="2951" w:type="dxa"/>
            <w:gridSpan w:val="2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其中：财政拨款</w:t>
            </w:r>
          </w:p>
        </w:tc>
        <w:tc>
          <w:tcPr>
            <w:tcW w:w="4304"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3387"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3264" w:type="dxa"/>
            <w:gridSpan w:val="4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Before w:val="1"/>
          <w:wBefore w:w="95" w:type="dxa"/>
          <w:trHeight w:val="409" w:hRule="atLeast"/>
        </w:trPr>
        <w:tc>
          <w:tcPr>
            <w:tcW w:w="2951" w:type="dxa"/>
            <w:gridSpan w:val="2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4304"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387"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264" w:type="dxa"/>
            <w:gridSpan w:val="4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gridBefore w:val="1"/>
          <w:wBefore w:w="95" w:type="dxa"/>
          <w:trHeight w:val="409" w:hRule="atLeast"/>
        </w:trPr>
        <w:tc>
          <w:tcPr>
            <w:tcW w:w="2128" w:type="dxa"/>
            <w:gridSpan w:val="8"/>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年度总体目标</w:t>
            </w:r>
          </w:p>
        </w:tc>
        <w:tc>
          <w:tcPr>
            <w:tcW w:w="6907" w:type="dxa"/>
            <w:gridSpan w:val="6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871" w:type="dxa"/>
            <w:gridSpan w:val="5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gridBefore w:val="1"/>
          <w:wBefore w:w="95" w:type="dxa"/>
          <w:trHeight w:val="1879" w:hRule="atLeast"/>
        </w:trPr>
        <w:tc>
          <w:tcPr>
            <w:tcW w:w="2128" w:type="dxa"/>
            <w:gridSpan w:val="8"/>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907" w:type="dxa"/>
            <w:gridSpan w:val="60"/>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本年预计投入资金9万元，主要用于我镇综合文化站开展和组织公益性群众文化活动、举办公益性讲座和展览宣传、村级文化辅导、文化信息资源共享工程、公共电子阅览室服及设备运行维护等综合性文化免费开放活动的开展。</w:t>
            </w:r>
          </w:p>
        </w:tc>
        <w:tc>
          <w:tcPr>
            <w:tcW w:w="4871" w:type="dxa"/>
            <w:gridSpan w:val="56"/>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本年预计投入资金9万元，主要用于我镇综合文化站开展和组织公益性群众文化活动、举办公益性讲座和展览宣传、村级文化辅导、文化信息资源共享工程、公共电子阅览室服及设备运行维护等综合性文化免费开放活动的开展。</w:t>
            </w:r>
          </w:p>
        </w:tc>
      </w:tr>
      <w:tr>
        <w:tblPrEx>
          <w:tblCellMar>
            <w:top w:w="0" w:type="dxa"/>
            <w:left w:w="108" w:type="dxa"/>
            <w:bottom w:w="0" w:type="dxa"/>
            <w:right w:w="108" w:type="dxa"/>
          </w:tblCellMar>
        </w:tblPrEx>
        <w:trPr>
          <w:gridBefore w:val="1"/>
          <w:gridAfter w:val="2"/>
          <w:wBefore w:w="95" w:type="dxa"/>
          <w:wAfter w:w="119" w:type="dxa"/>
          <w:trHeight w:val="529" w:hRule="atLeast"/>
        </w:trPr>
        <w:tc>
          <w:tcPr>
            <w:tcW w:w="212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647"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3482" w:type="dxa"/>
            <w:gridSpan w:val="1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81" w:type="dxa"/>
            <w:gridSpan w:val="1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608" w:type="dxa"/>
            <w:gridSpan w:val="1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394" w:type="dxa"/>
            <w:gridSpan w:val="1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分值/权重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（百分制）</w:t>
            </w:r>
          </w:p>
        </w:tc>
        <w:tc>
          <w:tcPr>
            <w:tcW w:w="670" w:type="dxa"/>
            <w:gridSpan w:val="1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077"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扣分原因分析</w:t>
            </w:r>
          </w:p>
        </w:tc>
      </w:tr>
      <w:tr>
        <w:tblPrEx>
          <w:tblCellMar>
            <w:top w:w="0" w:type="dxa"/>
            <w:left w:w="108" w:type="dxa"/>
            <w:bottom w:w="0" w:type="dxa"/>
            <w:right w:w="108" w:type="dxa"/>
          </w:tblCellMar>
        </w:tblPrEx>
        <w:trPr>
          <w:gridBefore w:val="1"/>
          <w:gridAfter w:val="2"/>
          <w:wBefore w:w="95" w:type="dxa"/>
          <w:wAfter w:w="119" w:type="dxa"/>
          <w:trHeight w:val="409" w:hRule="atLeast"/>
        </w:trPr>
        <w:tc>
          <w:tcPr>
            <w:tcW w:w="10646" w:type="dxa"/>
            <w:gridSpan w:val="8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    分</w:t>
            </w:r>
          </w:p>
        </w:tc>
        <w:tc>
          <w:tcPr>
            <w:tcW w:w="1394"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70"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77" w:type="dxa"/>
            <w:gridSpan w:val="8"/>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gridAfter w:val="2"/>
          <w:wBefore w:w="95" w:type="dxa"/>
          <w:wAfter w:w="119" w:type="dxa"/>
          <w:trHeight w:val="409" w:hRule="atLeast"/>
        </w:trPr>
        <w:tc>
          <w:tcPr>
            <w:tcW w:w="7257" w:type="dxa"/>
            <w:gridSpan w:val="54"/>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预算执行率（10分）</w:t>
            </w:r>
          </w:p>
        </w:tc>
        <w:tc>
          <w:tcPr>
            <w:tcW w:w="1781" w:type="dxa"/>
            <w:gridSpan w:val="1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608" w:type="dxa"/>
            <w:gridSpan w:val="16"/>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　</w:t>
            </w:r>
          </w:p>
        </w:tc>
        <w:tc>
          <w:tcPr>
            <w:tcW w:w="1394"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70"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77" w:type="dxa"/>
            <w:gridSpan w:val="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gridAfter w:val="2"/>
          <w:wBefore w:w="95" w:type="dxa"/>
          <w:wAfter w:w="119" w:type="dxa"/>
          <w:trHeight w:val="409" w:hRule="atLeast"/>
        </w:trPr>
        <w:tc>
          <w:tcPr>
            <w:tcW w:w="2128" w:type="dxa"/>
            <w:gridSpan w:val="8"/>
            <w:vMerge w:val="restart"/>
            <w:tcBorders>
              <w:top w:val="nil"/>
              <w:left w:val="single" w:color="auto" w:sz="4" w:space="0"/>
              <w:bottom w:val="nil"/>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产出指标</w:t>
            </w:r>
          </w:p>
        </w:tc>
        <w:tc>
          <w:tcPr>
            <w:tcW w:w="1647"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3482"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文化站个数</w:t>
            </w:r>
          </w:p>
        </w:tc>
        <w:tc>
          <w:tcPr>
            <w:tcW w:w="1781"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608"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394"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70"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77" w:type="dxa"/>
            <w:gridSpan w:val="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gridAfter w:val="2"/>
          <w:wBefore w:w="95" w:type="dxa"/>
          <w:wAfter w:w="119" w:type="dxa"/>
          <w:trHeight w:val="409" w:hRule="atLeast"/>
        </w:trPr>
        <w:tc>
          <w:tcPr>
            <w:tcW w:w="2128" w:type="dxa"/>
            <w:gridSpan w:val="8"/>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7" w:type="dxa"/>
            <w:gridSpan w:val="30"/>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质量指标</w:t>
            </w:r>
          </w:p>
        </w:tc>
        <w:tc>
          <w:tcPr>
            <w:tcW w:w="3482" w:type="dxa"/>
            <w:gridSpan w:val="16"/>
            <w:tcBorders>
              <w:top w:val="nil"/>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免费开放资金支付准确率</w:t>
            </w:r>
          </w:p>
        </w:tc>
        <w:tc>
          <w:tcPr>
            <w:tcW w:w="1781" w:type="dxa"/>
            <w:gridSpan w:val="1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608"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94"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70"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77" w:type="dxa"/>
            <w:gridSpan w:val="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gridAfter w:val="2"/>
          <w:wBefore w:w="95" w:type="dxa"/>
          <w:wAfter w:w="119" w:type="dxa"/>
          <w:trHeight w:val="409" w:hRule="atLeast"/>
        </w:trPr>
        <w:tc>
          <w:tcPr>
            <w:tcW w:w="2128" w:type="dxa"/>
            <w:gridSpan w:val="8"/>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7" w:type="dxa"/>
            <w:gridSpan w:val="30"/>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3482" w:type="dxa"/>
            <w:gridSpan w:val="16"/>
            <w:tcBorders>
              <w:top w:val="nil"/>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免费开放资金支付及时率</w:t>
            </w:r>
          </w:p>
        </w:tc>
        <w:tc>
          <w:tcPr>
            <w:tcW w:w="1781" w:type="dxa"/>
            <w:gridSpan w:val="1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608"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94"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70"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77" w:type="dxa"/>
            <w:gridSpan w:val="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gridAfter w:val="2"/>
          <w:wBefore w:w="95" w:type="dxa"/>
          <w:wAfter w:w="119" w:type="dxa"/>
          <w:trHeight w:val="409" w:hRule="atLeast"/>
        </w:trPr>
        <w:tc>
          <w:tcPr>
            <w:tcW w:w="2128" w:type="dxa"/>
            <w:gridSpan w:val="8"/>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7" w:type="dxa"/>
            <w:gridSpan w:val="30"/>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成本指标</w:t>
            </w:r>
          </w:p>
        </w:tc>
        <w:tc>
          <w:tcPr>
            <w:tcW w:w="3482" w:type="dxa"/>
            <w:gridSpan w:val="16"/>
            <w:tcBorders>
              <w:top w:val="nil"/>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免费开放补助资金标准</w:t>
            </w:r>
          </w:p>
        </w:tc>
        <w:tc>
          <w:tcPr>
            <w:tcW w:w="1781" w:type="dxa"/>
            <w:gridSpan w:val="1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608"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394"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70"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77" w:type="dxa"/>
            <w:gridSpan w:val="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gridAfter w:val="2"/>
          <w:wBefore w:w="95" w:type="dxa"/>
          <w:wAfter w:w="119" w:type="dxa"/>
          <w:trHeight w:val="409" w:hRule="atLeast"/>
        </w:trPr>
        <w:tc>
          <w:tcPr>
            <w:tcW w:w="2128" w:type="dxa"/>
            <w:gridSpan w:val="8"/>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效益指标</w:t>
            </w:r>
          </w:p>
        </w:tc>
        <w:tc>
          <w:tcPr>
            <w:tcW w:w="1647" w:type="dxa"/>
            <w:gridSpan w:val="30"/>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社会效益指标</w:t>
            </w:r>
          </w:p>
        </w:tc>
        <w:tc>
          <w:tcPr>
            <w:tcW w:w="3482" w:type="dxa"/>
            <w:gridSpan w:val="16"/>
            <w:tcBorders>
              <w:top w:val="nil"/>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免费开放资金应付尽付率</w:t>
            </w:r>
          </w:p>
        </w:tc>
        <w:tc>
          <w:tcPr>
            <w:tcW w:w="1781" w:type="dxa"/>
            <w:gridSpan w:val="1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608"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94"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70"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77" w:type="dxa"/>
            <w:gridSpan w:val="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gridAfter w:val="2"/>
          <w:wBefore w:w="95" w:type="dxa"/>
          <w:wAfter w:w="119" w:type="dxa"/>
          <w:trHeight w:val="409" w:hRule="atLeast"/>
        </w:trPr>
        <w:tc>
          <w:tcPr>
            <w:tcW w:w="2128" w:type="dxa"/>
            <w:gridSpan w:val="8"/>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47" w:type="dxa"/>
            <w:gridSpan w:val="30"/>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社会效益指标</w:t>
            </w:r>
          </w:p>
        </w:tc>
        <w:tc>
          <w:tcPr>
            <w:tcW w:w="3482" w:type="dxa"/>
            <w:gridSpan w:val="16"/>
            <w:tcBorders>
              <w:top w:val="nil"/>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免费开放资金管理健全性</w:t>
            </w:r>
          </w:p>
        </w:tc>
        <w:tc>
          <w:tcPr>
            <w:tcW w:w="1781" w:type="dxa"/>
            <w:gridSpan w:val="1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1608"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1394"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670"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077" w:type="dxa"/>
            <w:gridSpan w:val="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gridAfter w:val="2"/>
          <w:wBefore w:w="95" w:type="dxa"/>
          <w:wAfter w:w="119" w:type="dxa"/>
          <w:trHeight w:val="409" w:hRule="atLeast"/>
        </w:trPr>
        <w:tc>
          <w:tcPr>
            <w:tcW w:w="2128" w:type="dxa"/>
            <w:gridSpan w:val="8"/>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1647" w:type="dxa"/>
            <w:gridSpan w:val="30"/>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服务对象满意度指标</w:t>
            </w:r>
          </w:p>
        </w:tc>
        <w:tc>
          <w:tcPr>
            <w:tcW w:w="3482" w:type="dxa"/>
            <w:gridSpan w:val="16"/>
            <w:tcBorders>
              <w:top w:val="nil"/>
              <w:left w:val="single" w:color="auto" w:sz="4" w:space="0"/>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服务群众满意度</w:t>
            </w:r>
          </w:p>
        </w:tc>
        <w:tc>
          <w:tcPr>
            <w:tcW w:w="1781" w:type="dxa"/>
            <w:gridSpan w:val="1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1608"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1394"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670"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077" w:type="dxa"/>
            <w:gridSpan w:val="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gridAfter w:val="2"/>
          <w:wBefore w:w="95" w:type="dxa"/>
          <w:wAfter w:w="119" w:type="dxa"/>
          <w:trHeight w:val="758" w:hRule="atLeast"/>
        </w:trPr>
        <w:tc>
          <w:tcPr>
            <w:tcW w:w="13787" w:type="dxa"/>
            <w:gridSpan w:val="122"/>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说明：1.预算执行率得分=全年执行数/全年预算数*10分；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2.“产出指标、效益指标、满意度指标”一共90分，对应的是一体化系统中单位编制的项目绩效目标。</w:t>
            </w:r>
          </w:p>
        </w:tc>
      </w:tr>
      <w:tr>
        <w:tblPrEx>
          <w:tblCellMar>
            <w:top w:w="0" w:type="dxa"/>
            <w:left w:w="108" w:type="dxa"/>
            <w:bottom w:w="0" w:type="dxa"/>
            <w:right w:w="108" w:type="dxa"/>
          </w:tblCellMar>
        </w:tblPrEx>
        <w:trPr>
          <w:gridBefore w:val="1"/>
          <w:gridAfter w:val="2"/>
          <w:wBefore w:w="95" w:type="dxa"/>
          <w:wAfter w:w="119" w:type="dxa"/>
          <w:trHeight w:val="758" w:hRule="atLeast"/>
        </w:trPr>
        <w:tc>
          <w:tcPr>
            <w:tcW w:w="13787" w:type="dxa"/>
            <w:gridSpan w:val="122"/>
            <w:tcBorders>
              <w:top w:val="single" w:color="auto" w:sz="4" w:space="0"/>
              <w:left w:val="nil"/>
              <w:bottom w:val="nil"/>
              <w:right w:val="nil"/>
            </w:tcBorders>
            <w:shd w:val="clear" w:color="auto" w:fill="auto"/>
            <w:vAlign w:val="center"/>
          </w:tcPr>
          <w:p>
            <w:pPr>
              <w:widowControl/>
              <w:jc w:val="center"/>
              <w:rPr>
                <w:rFonts w:ascii="宋体" w:hAnsi="宋体" w:cs="宋体"/>
                <w:b/>
                <w:bCs/>
                <w:color w:val="000000"/>
                <w:kern w:val="0"/>
                <w:sz w:val="36"/>
                <w:szCs w:val="36"/>
              </w:rPr>
            </w:pPr>
          </w:p>
          <w:p>
            <w:pPr>
              <w:widowControl/>
              <w:jc w:val="center"/>
              <w:rPr>
                <w:rFonts w:ascii="宋体" w:hAnsi="宋体" w:cs="宋体"/>
                <w:color w:val="000000"/>
                <w:kern w:val="0"/>
                <w:sz w:val="22"/>
                <w:szCs w:val="22"/>
              </w:rPr>
            </w:pPr>
            <w:r>
              <w:rPr>
                <w:rFonts w:hint="eastAsia" w:ascii="宋体" w:hAnsi="宋体" w:cs="宋体"/>
                <w:b/>
                <w:bCs/>
                <w:color w:val="000000"/>
                <w:kern w:val="0"/>
                <w:sz w:val="36"/>
                <w:szCs w:val="36"/>
              </w:rPr>
              <w:t>区级项目支出绩效自评表</w:t>
            </w:r>
          </w:p>
        </w:tc>
      </w:tr>
      <w:tr>
        <w:tblPrEx>
          <w:tblCellMar>
            <w:top w:w="0" w:type="dxa"/>
            <w:left w:w="108" w:type="dxa"/>
            <w:bottom w:w="0" w:type="dxa"/>
            <w:right w:w="108" w:type="dxa"/>
          </w:tblCellMar>
        </w:tblPrEx>
        <w:trPr>
          <w:gridAfter w:val="1"/>
          <w:wAfter w:w="99" w:type="dxa"/>
          <w:trHeight w:val="409" w:hRule="atLeast"/>
        </w:trPr>
        <w:tc>
          <w:tcPr>
            <w:tcW w:w="200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5875" w:type="dxa"/>
            <w:gridSpan w:val="54"/>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公益性岗位</w:t>
            </w:r>
          </w:p>
        </w:tc>
        <w:tc>
          <w:tcPr>
            <w:tcW w:w="1675"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w:t>
            </w:r>
          </w:p>
        </w:tc>
        <w:tc>
          <w:tcPr>
            <w:tcW w:w="4355" w:type="dxa"/>
            <w:gridSpan w:val="5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w:t>
            </w:r>
          </w:p>
        </w:tc>
      </w:tr>
      <w:tr>
        <w:tblPrEx>
          <w:tblCellMar>
            <w:top w:w="0" w:type="dxa"/>
            <w:left w:w="108" w:type="dxa"/>
            <w:bottom w:w="0" w:type="dxa"/>
            <w:right w:w="108" w:type="dxa"/>
          </w:tblCellMar>
        </w:tblPrEx>
        <w:trPr>
          <w:gridAfter w:val="1"/>
          <w:wAfter w:w="99" w:type="dxa"/>
          <w:trHeight w:val="409" w:hRule="atLeast"/>
        </w:trPr>
        <w:tc>
          <w:tcPr>
            <w:tcW w:w="2001"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5875" w:type="dxa"/>
            <w:gridSpan w:val="54"/>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c>
          <w:tcPr>
            <w:tcW w:w="1675" w:type="dxa"/>
            <w:gridSpan w:val="1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355" w:type="dxa"/>
            <w:gridSpan w:val="50"/>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乐山市市中区棉竹镇人民政府</w:t>
            </w:r>
          </w:p>
        </w:tc>
      </w:tr>
      <w:tr>
        <w:tblPrEx>
          <w:tblCellMar>
            <w:top w:w="0" w:type="dxa"/>
            <w:left w:w="108" w:type="dxa"/>
            <w:bottom w:w="0" w:type="dxa"/>
            <w:right w:w="108" w:type="dxa"/>
          </w:tblCellMar>
        </w:tblPrEx>
        <w:trPr>
          <w:gridAfter w:val="1"/>
          <w:wAfter w:w="99" w:type="dxa"/>
          <w:trHeight w:val="409" w:hRule="atLeast"/>
        </w:trPr>
        <w:tc>
          <w:tcPr>
            <w:tcW w:w="13906" w:type="dxa"/>
            <w:gridSpan w:val="12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项目资金（万元）</w:t>
            </w:r>
          </w:p>
        </w:tc>
      </w:tr>
      <w:tr>
        <w:tblPrEx>
          <w:tblCellMar>
            <w:top w:w="0" w:type="dxa"/>
            <w:left w:w="108" w:type="dxa"/>
            <w:bottom w:w="0" w:type="dxa"/>
            <w:right w:w="108" w:type="dxa"/>
          </w:tblCellMar>
        </w:tblPrEx>
        <w:trPr>
          <w:gridAfter w:val="1"/>
          <w:wAfter w:w="99" w:type="dxa"/>
          <w:trHeight w:val="409" w:hRule="atLeast"/>
        </w:trPr>
        <w:tc>
          <w:tcPr>
            <w:tcW w:w="2824" w:type="dxa"/>
            <w:gridSpan w:val="21"/>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052" w:type="dxa"/>
            <w:gridSpan w:val="3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3186" w:type="dxa"/>
            <w:gridSpan w:val="2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2844" w:type="dxa"/>
            <w:gridSpan w:val="3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r>
      <w:tr>
        <w:tblPrEx>
          <w:tblCellMar>
            <w:top w:w="0" w:type="dxa"/>
            <w:left w:w="108" w:type="dxa"/>
            <w:bottom w:w="0" w:type="dxa"/>
            <w:right w:w="108" w:type="dxa"/>
          </w:tblCellMar>
        </w:tblPrEx>
        <w:trPr>
          <w:gridAfter w:val="1"/>
          <w:wAfter w:w="99" w:type="dxa"/>
          <w:trHeight w:val="409" w:hRule="atLeast"/>
        </w:trPr>
        <w:tc>
          <w:tcPr>
            <w:tcW w:w="2824" w:type="dxa"/>
            <w:gridSpan w:val="21"/>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5052" w:type="dxa"/>
            <w:gridSpan w:val="3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9.12</w:t>
            </w:r>
          </w:p>
        </w:tc>
        <w:tc>
          <w:tcPr>
            <w:tcW w:w="3186" w:type="dxa"/>
            <w:gridSpan w:val="2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9.12</w:t>
            </w:r>
          </w:p>
        </w:tc>
        <w:tc>
          <w:tcPr>
            <w:tcW w:w="2844" w:type="dxa"/>
            <w:gridSpan w:val="3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After w:val="1"/>
          <w:wAfter w:w="99" w:type="dxa"/>
          <w:trHeight w:val="409" w:hRule="atLeast"/>
        </w:trPr>
        <w:tc>
          <w:tcPr>
            <w:tcW w:w="2824" w:type="dxa"/>
            <w:gridSpan w:val="21"/>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其中：财政拨款</w:t>
            </w:r>
          </w:p>
        </w:tc>
        <w:tc>
          <w:tcPr>
            <w:tcW w:w="5052" w:type="dxa"/>
            <w:gridSpan w:val="3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9.12</w:t>
            </w:r>
          </w:p>
        </w:tc>
        <w:tc>
          <w:tcPr>
            <w:tcW w:w="3186" w:type="dxa"/>
            <w:gridSpan w:val="2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9.12</w:t>
            </w:r>
          </w:p>
        </w:tc>
        <w:tc>
          <w:tcPr>
            <w:tcW w:w="2844" w:type="dxa"/>
            <w:gridSpan w:val="3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After w:val="1"/>
          <w:wAfter w:w="99" w:type="dxa"/>
          <w:trHeight w:val="409" w:hRule="atLeast"/>
        </w:trPr>
        <w:tc>
          <w:tcPr>
            <w:tcW w:w="2824" w:type="dxa"/>
            <w:gridSpan w:val="21"/>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5052" w:type="dxa"/>
            <w:gridSpan w:val="3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186" w:type="dxa"/>
            <w:gridSpan w:val="2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844" w:type="dxa"/>
            <w:gridSpan w:val="3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gridAfter w:val="1"/>
          <w:wAfter w:w="99" w:type="dxa"/>
          <w:trHeight w:val="409" w:hRule="atLeast"/>
        </w:trPr>
        <w:tc>
          <w:tcPr>
            <w:tcW w:w="2001" w:type="dxa"/>
            <w:gridSpan w:val="5"/>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年度总体目标</w:t>
            </w:r>
          </w:p>
        </w:tc>
        <w:tc>
          <w:tcPr>
            <w:tcW w:w="7550" w:type="dxa"/>
            <w:gridSpan w:val="6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355" w:type="dxa"/>
            <w:gridSpan w:val="50"/>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gridAfter w:val="1"/>
          <w:wAfter w:w="99" w:type="dxa"/>
          <w:trHeight w:val="1879" w:hRule="atLeast"/>
        </w:trPr>
        <w:tc>
          <w:tcPr>
            <w:tcW w:w="200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550" w:type="dxa"/>
            <w:gridSpan w:val="69"/>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2022年投入资金91260元，为做好城乡就业困难群体就业工作，进一步加强公益性岗位开发管理，根据《就业促进法》、《人力资源和社会保障部、财政部关于做好公益性岗位开发管理有关工作的通知》相关规定，保障公益性岗位工作顺利开展，主要用于本镇公益性岗位工资和保险费支出。</w:t>
            </w:r>
          </w:p>
        </w:tc>
        <w:tc>
          <w:tcPr>
            <w:tcW w:w="4355" w:type="dxa"/>
            <w:gridSpan w:val="50"/>
            <w:tcBorders>
              <w:top w:val="single" w:color="auto" w:sz="4" w:space="0"/>
              <w:left w:val="nil"/>
              <w:bottom w:val="nil"/>
              <w:right w:val="single" w:color="000000" w:sz="4" w:space="0"/>
            </w:tcBorders>
            <w:shd w:val="clear" w:color="auto" w:fill="auto"/>
            <w:vAlign w:val="center"/>
          </w:tcPr>
          <w:p>
            <w:pPr>
              <w:widowControl/>
              <w:spacing w:after="240"/>
              <w:jc w:val="left"/>
              <w:rPr>
                <w:rFonts w:ascii="宋体" w:hAnsi="宋体" w:cs="宋体"/>
                <w:color w:val="000000"/>
                <w:kern w:val="0"/>
                <w:sz w:val="20"/>
                <w:szCs w:val="20"/>
              </w:rPr>
            </w:pPr>
            <w:r>
              <w:rPr>
                <w:rFonts w:hint="eastAsia" w:ascii="宋体" w:hAnsi="宋体" w:cs="宋体"/>
                <w:color w:val="000000"/>
                <w:kern w:val="0"/>
                <w:sz w:val="20"/>
                <w:szCs w:val="20"/>
              </w:rPr>
              <w:t>2022年投入资金91260元，为做好城乡就业困难群体就业工作，进一步加强公益性岗位开发管理，根据《就业促进法》、《人力资源和社会保障部、财政部关于做好公益性岗位开发管理有关工作的通知》相关规定，保障公益性岗位工作顺利开展，主要用于本镇公益性岗位工资和保险费支出。</w:t>
            </w:r>
          </w:p>
        </w:tc>
      </w:tr>
      <w:tr>
        <w:tblPrEx>
          <w:tblCellMar>
            <w:top w:w="0" w:type="dxa"/>
            <w:left w:w="108" w:type="dxa"/>
            <w:bottom w:w="0" w:type="dxa"/>
            <w:right w:w="108" w:type="dxa"/>
          </w:tblCellMar>
        </w:tblPrEx>
        <w:trPr>
          <w:gridAfter w:val="1"/>
          <w:wAfter w:w="99" w:type="dxa"/>
          <w:trHeight w:val="529" w:hRule="atLeast"/>
        </w:trPr>
        <w:tc>
          <w:tcPr>
            <w:tcW w:w="200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646" w:type="dxa"/>
            <w:gridSpan w:val="3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4229" w:type="dxa"/>
            <w:gridSpan w:val="2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675"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511" w:type="dxa"/>
            <w:gridSpan w:val="1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262" w:type="dxa"/>
            <w:gridSpan w:val="2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分值/权重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（百分制）</w:t>
            </w:r>
          </w:p>
        </w:tc>
        <w:tc>
          <w:tcPr>
            <w:tcW w:w="630"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52"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扣分原因分析</w:t>
            </w:r>
          </w:p>
        </w:tc>
      </w:tr>
      <w:tr>
        <w:tblPrEx>
          <w:tblCellMar>
            <w:top w:w="0" w:type="dxa"/>
            <w:left w:w="108" w:type="dxa"/>
            <w:bottom w:w="0" w:type="dxa"/>
            <w:right w:w="108" w:type="dxa"/>
          </w:tblCellMar>
        </w:tblPrEx>
        <w:trPr>
          <w:gridAfter w:val="1"/>
          <w:wAfter w:w="99" w:type="dxa"/>
          <w:trHeight w:val="409" w:hRule="atLeast"/>
        </w:trPr>
        <w:tc>
          <w:tcPr>
            <w:tcW w:w="11062" w:type="dxa"/>
            <w:gridSpan w:val="8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    分</w:t>
            </w:r>
          </w:p>
        </w:tc>
        <w:tc>
          <w:tcPr>
            <w:tcW w:w="1262" w:type="dxa"/>
            <w:gridSpan w:val="2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30"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952" w:type="dxa"/>
            <w:gridSpan w:val="8"/>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99" w:type="dxa"/>
          <w:trHeight w:val="409" w:hRule="atLeast"/>
        </w:trPr>
        <w:tc>
          <w:tcPr>
            <w:tcW w:w="7876" w:type="dxa"/>
            <w:gridSpan w:val="59"/>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预算执行率（10分）</w:t>
            </w:r>
          </w:p>
        </w:tc>
        <w:tc>
          <w:tcPr>
            <w:tcW w:w="1675"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511" w:type="dxa"/>
            <w:gridSpan w:val="1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　</w:t>
            </w:r>
          </w:p>
        </w:tc>
        <w:tc>
          <w:tcPr>
            <w:tcW w:w="1262" w:type="dxa"/>
            <w:gridSpan w:val="2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30"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52" w:type="dxa"/>
            <w:gridSpan w:val="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99" w:type="dxa"/>
          <w:trHeight w:val="409" w:hRule="atLeast"/>
        </w:trPr>
        <w:tc>
          <w:tcPr>
            <w:tcW w:w="2001" w:type="dxa"/>
            <w:gridSpan w:val="5"/>
            <w:vMerge w:val="restart"/>
            <w:tcBorders>
              <w:top w:val="nil"/>
              <w:left w:val="single" w:color="auto" w:sz="4" w:space="0"/>
              <w:bottom w:val="nil"/>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产出指标</w:t>
            </w:r>
          </w:p>
        </w:tc>
        <w:tc>
          <w:tcPr>
            <w:tcW w:w="1646" w:type="dxa"/>
            <w:gridSpan w:val="3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4229"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公益性岗位人数</w:t>
            </w:r>
          </w:p>
        </w:tc>
        <w:tc>
          <w:tcPr>
            <w:tcW w:w="1675"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511"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262" w:type="dxa"/>
            <w:gridSpan w:val="2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30"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52" w:type="dxa"/>
            <w:gridSpan w:val="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99" w:type="dxa"/>
          <w:trHeight w:val="409" w:hRule="atLeast"/>
        </w:trPr>
        <w:tc>
          <w:tcPr>
            <w:tcW w:w="2001" w:type="dxa"/>
            <w:gridSpan w:val="5"/>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4229"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公益性岗位工作时间</w:t>
            </w:r>
          </w:p>
        </w:tc>
        <w:tc>
          <w:tcPr>
            <w:tcW w:w="1675"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511"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262" w:type="dxa"/>
            <w:gridSpan w:val="2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30"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52" w:type="dxa"/>
            <w:gridSpan w:val="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99" w:type="dxa"/>
          <w:trHeight w:val="409" w:hRule="atLeast"/>
        </w:trPr>
        <w:tc>
          <w:tcPr>
            <w:tcW w:w="2001" w:type="dxa"/>
            <w:gridSpan w:val="5"/>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成本指标</w:t>
            </w:r>
          </w:p>
        </w:tc>
        <w:tc>
          <w:tcPr>
            <w:tcW w:w="4229"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公益性岗位工资标准</w:t>
            </w:r>
          </w:p>
        </w:tc>
        <w:tc>
          <w:tcPr>
            <w:tcW w:w="1675"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1650</w:t>
            </w:r>
          </w:p>
        </w:tc>
        <w:tc>
          <w:tcPr>
            <w:tcW w:w="1511"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1650</w:t>
            </w:r>
          </w:p>
        </w:tc>
        <w:tc>
          <w:tcPr>
            <w:tcW w:w="1262" w:type="dxa"/>
            <w:gridSpan w:val="2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30"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52" w:type="dxa"/>
            <w:gridSpan w:val="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99" w:type="dxa"/>
          <w:trHeight w:val="409" w:hRule="atLeast"/>
        </w:trPr>
        <w:tc>
          <w:tcPr>
            <w:tcW w:w="2001" w:type="dxa"/>
            <w:gridSpan w:val="5"/>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成本指标</w:t>
            </w:r>
          </w:p>
        </w:tc>
        <w:tc>
          <w:tcPr>
            <w:tcW w:w="4229"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公益性岗位工资标准（2022年）</w:t>
            </w:r>
          </w:p>
        </w:tc>
        <w:tc>
          <w:tcPr>
            <w:tcW w:w="1675"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1970</w:t>
            </w:r>
          </w:p>
        </w:tc>
        <w:tc>
          <w:tcPr>
            <w:tcW w:w="1511"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1970</w:t>
            </w:r>
          </w:p>
        </w:tc>
        <w:tc>
          <w:tcPr>
            <w:tcW w:w="1262" w:type="dxa"/>
            <w:gridSpan w:val="2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30"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52" w:type="dxa"/>
            <w:gridSpan w:val="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99" w:type="dxa"/>
          <w:trHeight w:val="409" w:hRule="atLeast"/>
        </w:trPr>
        <w:tc>
          <w:tcPr>
            <w:tcW w:w="2001" w:type="dxa"/>
            <w:gridSpan w:val="5"/>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成本指标</w:t>
            </w:r>
          </w:p>
        </w:tc>
        <w:tc>
          <w:tcPr>
            <w:tcW w:w="4229"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公益性岗位保险费标准</w:t>
            </w:r>
          </w:p>
        </w:tc>
        <w:tc>
          <w:tcPr>
            <w:tcW w:w="1675"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1200</w:t>
            </w:r>
          </w:p>
        </w:tc>
        <w:tc>
          <w:tcPr>
            <w:tcW w:w="1511"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1200</w:t>
            </w:r>
          </w:p>
        </w:tc>
        <w:tc>
          <w:tcPr>
            <w:tcW w:w="1262" w:type="dxa"/>
            <w:gridSpan w:val="2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30"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52" w:type="dxa"/>
            <w:gridSpan w:val="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99" w:type="dxa"/>
          <w:trHeight w:val="409" w:hRule="atLeast"/>
        </w:trPr>
        <w:tc>
          <w:tcPr>
            <w:tcW w:w="2001" w:type="dxa"/>
            <w:gridSpan w:val="5"/>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4229"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公益性岗位保险费缴纳及时率</w:t>
            </w:r>
          </w:p>
        </w:tc>
        <w:tc>
          <w:tcPr>
            <w:tcW w:w="1675"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511"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62" w:type="dxa"/>
            <w:gridSpan w:val="2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30"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52" w:type="dxa"/>
            <w:gridSpan w:val="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99" w:type="dxa"/>
          <w:trHeight w:val="409" w:hRule="atLeast"/>
        </w:trPr>
        <w:tc>
          <w:tcPr>
            <w:tcW w:w="2001" w:type="dxa"/>
            <w:gridSpan w:val="5"/>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4229"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公益性岗位工资发放及时率</w:t>
            </w:r>
          </w:p>
        </w:tc>
        <w:tc>
          <w:tcPr>
            <w:tcW w:w="1675"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511"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62" w:type="dxa"/>
            <w:gridSpan w:val="2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30"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52" w:type="dxa"/>
            <w:gridSpan w:val="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99" w:type="dxa"/>
          <w:trHeight w:val="409" w:hRule="atLeast"/>
        </w:trPr>
        <w:tc>
          <w:tcPr>
            <w:tcW w:w="2001" w:type="dxa"/>
            <w:gridSpan w:val="5"/>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质量指标</w:t>
            </w:r>
          </w:p>
        </w:tc>
        <w:tc>
          <w:tcPr>
            <w:tcW w:w="4229"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公益性岗位工资发放准确率</w:t>
            </w:r>
          </w:p>
        </w:tc>
        <w:tc>
          <w:tcPr>
            <w:tcW w:w="1675"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511"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62" w:type="dxa"/>
            <w:gridSpan w:val="2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30"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52" w:type="dxa"/>
            <w:gridSpan w:val="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99" w:type="dxa"/>
          <w:trHeight w:val="409" w:hRule="atLeast"/>
        </w:trPr>
        <w:tc>
          <w:tcPr>
            <w:tcW w:w="2001" w:type="dxa"/>
            <w:gridSpan w:val="5"/>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质量指标</w:t>
            </w:r>
          </w:p>
        </w:tc>
        <w:tc>
          <w:tcPr>
            <w:tcW w:w="4229"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公益性岗位保险费缴纳准确率</w:t>
            </w:r>
          </w:p>
        </w:tc>
        <w:tc>
          <w:tcPr>
            <w:tcW w:w="1675"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511"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62" w:type="dxa"/>
            <w:gridSpan w:val="2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630"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52" w:type="dxa"/>
            <w:gridSpan w:val="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99" w:type="dxa"/>
          <w:trHeight w:val="409" w:hRule="atLeast"/>
        </w:trPr>
        <w:tc>
          <w:tcPr>
            <w:tcW w:w="2001" w:type="dxa"/>
            <w:gridSpan w:val="5"/>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效益指标</w:t>
            </w: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社会效益指标</w:t>
            </w:r>
          </w:p>
        </w:tc>
        <w:tc>
          <w:tcPr>
            <w:tcW w:w="4229"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公益性岗位保险费应缴尽缴率</w:t>
            </w:r>
          </w:p>
        </w:tc>
        <w:tc>
          <w:tcPr>
            <w:tcW w:w="1675"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511"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62" w:type="dxa"/>
            <w:gridSpan w:val="2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30"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52" w:type="dxa"/>
            <w:gridSpan w:val="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99" w:type="dxa"/>
          <w:trHeight w:val="409" w:hRule="atLeast"/>
        </w:trPr>
        <w:tc>
          <w:tcPr>
            <w:tcW w:w="2001" w:type="dxa"/>
            <w:gridSpan w:val="5"/>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社会效益指标</w:t>
            </w:r>
          </w:p>
        </w:tc>
        <w:tc>
          <w:tcPr>
            <w:tcW w:w="4229"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公益性岗位工资应发尽发率</w:t>
            </w:r>
          </w:p>
        </w:tc>
        <w:tc>
          <w:tcPr>
            <w:tcW w:w="1675"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511"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62" w:type="dxa"/>
            <w:gridSpan w:val="2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30"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52" w:type="dxa"/>
            <w:gridSpan w:val="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99" w:type="dxa"/>
          <w:trHeight w:val="409" w:hRule="atLeast"/>
        </w:trPr>
        <w:tc>
          <w:tcPr>
            <w:tcW w:w="2001" w:type="dxa"/>
            <w:gridSpan w:val="5"/>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1646" w:type="dxa"/>
            <w:gridSpan w:val="32"/>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服务对象满意度指标</w:t>
            </w:r>
          </w:p>
        </w:tc>
        <w:tc>
          <w:tcPr>
            <w:tcW w:w="4229" w:type="dxa"/>
            <w:gridSpan w:val="2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公益性岗位人员满意度</w:t>
            </w:r>
          </w:p>
        </w:tc>
        <w:tc>
          <w:tcPr>
            <w:tcW w:w="1675"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511"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262" w:type="dxa"/>
            <w:gridSpan w:val="2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630"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952" w:type="dxa"/>
            <w:gridSpan w:val="8"/>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99" w:type="dxa"/>
          <w:trHeight w:val="758" w:hRule="atLeast"/>
        </w:trPr>
        <w:tc>
          <w:tcPr>
            <w:tcW w:w="13906" w:type="dxa"/>
            <w:gridSpan w:val="124"/>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说明：1.预算执行率得分=全年执行数/全年预算数*10分；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2.“产出指标、效益指标、满意度指标”一共90分，对应的是一体化系统中单位编制的项目绩效目标。</w:t>
            </w:r>
          </w:p>
        </w:tc>
      </w:tr>
      <w:tr>
        <w:tblPrEx>
          <w:tblCellMar>
            <w:top w:w="0" w:type="dxa"/>
            <w:left w:w="108" w:type="dxa"/>
            <w:bottom w:w="0" w:type="dxa"/>
            <w:right w:w="108" w:type="dxa"/>
          </w:tblCellMar>
        </w:tblPrEx>
        <w:trPr>
          <w:gridAfter w:val="1"/>
          <w:wAfter w:w="99" w:type="dxa"/>
          <w:trHeight w:val="758" w:hRule="atLeast"/>
        </w:trPr>
        <w:tc>
          <w:tcPr>
            <w:tcW w:w="13906" w:type="dxa"/>
            <w:gridSpan w:val="124"/>
            <w:tcBorders>
              <w:top w:val="single" w:color="auto" w:sz="4" w:space="0"/>
              <w:left w:val="nil"/>
              <w:bottom w:val="nil"/>
              <w:right w:val="nil"/>
            </w:tcBorders>
            <w:shd w:val="clear" w:color="auto" w:fill="auto"/>
            <w:vAlign w:val="center"/>
          </w:tcPr>
          <w:p>
            <w:pPr>
              <w:widowControl/>
              <w:jc w:val="center"/>
              <w:rPr>
                <w:rFonts w:ascii="宋体" w:hAnsi="宋体" w:cs="宋体"/>
                <w:b/>
                <w:bCs/>
                <w:color w:val="000000"/>
                <w:kern w:val="0"/>
                <w:sz w:val="36"/>
                <w:szCs w:val="36"/>
              </w:rPr>
            </w:pPr>
          </w:p>
          <w:p>
            <w:pPr>
              <w:widowControl/>
              <w:jc w:val="center"/>
              <w:rPr>
                <w:rFonts w:ascii="宋体" w:hAnsi="宋体" w:cs="宋体"/>
                <w:b/>
                <w:bCs/>
                <w:color w:val="000000"/>
                <w:kern w:val="0"/>
                <w:sz w:val="36"/>
                <w:szCs w:val="36"/>
              </w:rPr>
            </w:pPr>
          </w:p>
          <w:p>
            <w:pPr>
              <w:widowControl/>
              <w:jc w:val="center"/>
              <w:rPr>
                <w:rFonts w:ascii="宋体" w:hAnsi="宋体" w:cs="宋体"/>
                <w:b/>
                <w:bCs/>
                <w:color w:val="000000"/>
                <w:kern w:val="0"/>
                <w:sz w:val="36"/>
                <w:szCs w:val="36"/>
              </w:rPr>
            </w:pPr>
          </w:p>
          <w:p>
            <w:pPr>
              <w:widowControl/>
              <w:jc w:val="center"/>
              <w:rPr>
                <w:rFonts w:ascii="宋体" w:hAnsi="宋体" w:cs="宋体"/>
                <w:color w:val="000000"/>
                <w:kern w:val="0"/>
                <w:sz w:val="22"/>
                <w:szCs w:val="22"/>
              </w:rPr>
            </w:pPr>
            <w:r>
              <w:rPr>
                <w:rFonts w:hint="eastAsia" w:ascii="宋体" w:hAnsi="宋体" w:cs="宋体"/>
                <w:b/>
                <w:bCs/>
                <w:color w:val="000000"/>
                <w:kern w:val="0"/>
                <w:sz w:val="36"/>
                <w:szCs w:val="36"/>
              </w:rPr>
              <w:t>区级项目支出绩效自评表</w:t>
            </w:r>
          </w:p>
        </w:tc>
      </w:tr>
      <w:tr>
        <w:tblPrEx>
          <w:tblCellMar>
            <w:top w:w="0" w:type="dxa"/>
            <w:left w:w="108" w:type="dxa"/>
            <w:bottom w:w="0" w:type="dxa"/>
            <w:right w:w="108" w:type="dxa"/>
          </w:tblCellMar>
        </w:tblPrEx>
        <w:trPr>
          <w:gridAfter w:val="7"/>
          <w:wAfter w:w="719" w:type="dxa"/>
          <w:trHeight w:val="409" w:hRule="atLeast"/>
        </w:trPr>
        <w:tc>
          <w:tcPr>
            <w:tcW w:w="2233"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4316" w:type="dxa"/>
            <w:gridSpan w:val="35"/>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社区办公经费</w:t>
            </w:r>
          </w:p>
        </w:tc>
        <w:tc>
          <w:tcPr>
            <w:tcW w:w="1869" w:type="dxa"/>
            <w:gridSpan w:val="16"/>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w:t>
            </w:r>
          </w:p>
        </w:tc>
        <w:tc>
          <w:tcPr>
            <w:tcW w:w="4769" w:type="dxa"/>
            <w:gridSpan w:val="5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w:t>
            </w:r>
          </w:p>
        </w:tc>
      </w:tr>
      <w:tr>
        <w:tblPrEx>
          <w:tblCellMar>
            <w:top w:w="0" w:type="dxa"/>
            <w:left w:w="108" w:type="dxa"/>
            <w:bottom w:w="0" w:type="dxa"/>
            <w:right w:w="108" w:type="dxa"/>
          </w:tblCellMar>
        </w:tblPrEx>
        <w:trPr>
          <w:gridAfter w:val="7"/>
          <w:wAfter w:w="719" w:type="dxa"/>
          <w:trHeight w:val="409" w:hRule="atLeast"/>
        </w:trPr>
        <w:tc>
          <w:tcPr>
            <w:tcW w:w="2233" w:type="dxa"/>
            <w:gridSpan w:val="10"/>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316" w:type="dxa"/>
            <w:gridSpan w:val="35"/>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c>
          <w:tcPr>
            <w:tcW w:w="1869" w:type="dxa"/>
            <w:gridSpan w:val="1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769" w:type="dxa"/>
            <w:gridSpan w:val="57"/>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乐山市市中区棉竹镇人民政府</w:t>
            </w:r>
          </w:p>
        </w:tc>
      </w:tr>
      <w:tr>
        <w:tblPrEx>
          <w:tblCellMar>
            <w:top w:w="0" w:type="dxa"/>
            <w:left w:w="108" w:type="dxa"/>
            <w:bottom w:w="0" w:type="dxa"/>
            <w:right w:w="108" w:type="dxa"/>
          </w:tblCellMar>
        </w:tblPrEx>
        <w:trPr>
          <w:gridAfter w:val="7"/>
          <w:wAfter w:w="719" w:type="dxa"/>
          <w:trHeight w:val="409" w:hRule="atLeast"/>
        </w:trPr>
        <w:tc>
          <w:tcPr>
            <w:tcW w:w="13187" w:type="dxa"/>
            <w:gridSpan w:val="11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项目资金（万元）</w:t>
            </w:r>
          </w:p>
        </w:tc>
      </w:tr>
      <w:tr>
        <w:tblPrEx>
          <w:tblCellMar>
            <w:top w:w="0" w:type="dxa"/>
            <w:left w:w="108" w:type="dxa"/>
            <w:bottom w:w="0" w:type="dxa"/>
            <w:right w:w="108" w:type="dxa"/>
          </w:tblCellMar>
        </w:tblPrEx>
        <w:trPr>
          <w:gridAfter w:val="7"/>
          <w:wAfter w:w="719" w:type="dxa"/>
          <w:trHeight w:val="409" w:hRule="atLeast"/>
        </w:trPr>
        <w:tc>
          <w:tcPr>
            <w:tcW w:w="3056" w:type="dxa"/>
            <w:gridSpan w:val="26"/>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493" w:type="dxa"/>
            <w:gridSpan w:val="19"/>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3556" w:type="dxa"/>
            <w:gridSpan w:val="3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3082" w:type="dxa"/>
            <w:gridSpan w:val="4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r>
      <w:tr>
        <w:tblPrEx>
          <w:tblCellMar>
            <w:top w:w="0" w:type="dxa"/>
            <w:left w:w="108" w:type="dxa"/>
            <w:bottom w:w="0" w:type="dxa"/>
            <w:right w:w="108" w:type="dxa"/>
          </w:tblCellMar>
        </w:tblPrEx>
        <w:trPr>
          <w:gridAfter w:val="7"/>
          <w:wAfter w:w="719" w:type="dxa"/>
          <w:trHeight w:val="409" w:hRule="atLeast"/>
        </w:trPr>
        <w:tc>
          <w:tcPr>
            <w:tcW w:w="3056" w:type="dxa"/>
            <w:gridSpan w:val="2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3493" w:type="dxa"/>
            <w:gridSpan w:val="1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10.5</w:t>
            </w:r>
          </w:p>
        </w:tc>
        <w:tc>
          <w:tcPr>
            <w:tcW w:w="3556" w:type="dxa"/>
            <w:gridSpan w:val="3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10.5</w:t>
            </w:r>
          </w:p>
        </w:tc>
        <w:tc>
          <w:tcPr>
            <w:tcW w:w="3082" w:type="dxa"/>
            <w:gridSpan w:val="4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After w:val="7"/>
          <w:wAfter w:w="719" w:type="dxa"/>
          <w:trHeight w:val="409" w:hRule="atLeast"/>
        </w:trPr>
        <w:tc>
          <w:tcPr>
            <w:tcW w:w="3056" w:type="dxa"/>
            <w:gridSpan w:val="2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其中：财政拨款</w:t>
            </w:r>
          </w:p>
        </w:tc>
        <w:tc>
          <w:tcPr>
            <w:tcW w:w="3493" w:type="dxa"/>
            <w:gridSpan w:val="1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10.5</w:t>
            </w:r>
          </w:p>
        </w:tc>
        <w:tc>
          <w:tcPr>
            <w:tcW w:w="3556" w:type="dxa"/>
            <w:gridSpan w:val="3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10.5</w:t>
            </w:r>
          </w:p>
        </w:tc>
        <w:tc>
          <w:tcPr>
            <w:tcW w:w="3082" w:type="dxa"/>
            <w:gridSpan w:val="4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After w:val="7"/>
          <w:wAfter w:w="719" w:type="dxa"/>
          <w:trHeight w:val="409" w:hRule="atLeast"/>
        </w:trPr>
        <w:tc>
          <w:tcPr>
            <w:tcW w:w="3056" w:type="dxa"/>
            <w:gridSpan w:val="2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3493" w:type="dxa"/>
            <w:gridSpan w:val="1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556" w:type="dxa"/>
            <w:gridSpan w:val="3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082" w:type="dxa"/>
            <w:gridSpan w:val="4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gridAfter w:val="7"/>
          <w:wAfter w:w="719" w:type="dxa"/>
          <w:trHeight w:val="409" w:hRule="atLeast"/>
        </w:trPr>
        <w:tc>
          <w:tcPr>
            <w:tcW w:w="2233" w:type="dxa"/>
            <w:gridSpan w:val="10"/>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年度总体目标</w:t>
            </w:r>
          </w:p>
        </w:tc>
        <w:tc>
          <w:tcPr>
            <w:tcW w:w="6185" w:type="dxa"/>
            <w:gridSpan w:val="5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769" w:type="dxa"/>
            <w:gridSpan w:val="5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gridAfter w:val="7"/>
          <w:wAfter w:w="719" w:type="dxa"/>
          <w:trHeight w:val="1879" w:hRule="atLeast"/>
        </w:trPr>
        <w:tc>
          <w:tcPr>
            <w:tcW w:w="2233" w:type="dxa"/>
            <w:gridSpan w:val="10"/>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85" w:type="dxa"/>
            <w:gridSpan w:val="51"/>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2022年投入10.5万元，保障2个社区日常办公运转支出，维护辖区内社会稳定。</w:t>
            </w:r>
          </w:p>
        </w:tc>
        <w:tc>
          <w:tcPr>
            <w:tcW w:w="4769" w:type="dxa"/>
            <w:gridSpan w:val="57"/>
            <w:tcBorders>
              <w:top w:val="single" w:color="auto" w:sz="4" w:space="0"/>
              <w:left w:val="nil"/>
              <w:bottom w:val="nil"/>
              <w:right w:val="single" w:color="000000" w:sz="4" w:space="0"/>
            </w:tcBorders>
            <w:shd w:val="clear" w:color="auto" w:fill="auto"/>
            <w:vAlign w:val="center"/>
          </w:tcPr>
          <w:p>
            <w:pPr>
              <w:widowControl/>
              <w:spacing w:after="240"/>
              <w:jc w:val="left"/>
              <w:rPr>
                <w:rFonts w:ascii="宋体" w:hAnsi="宋体" w:cs="宋体"/>
                <w:color w:val="000000"/>
                <w:kern w:val="0"/>
                <w:sz w:val="20"/>
                <w:szCs w:val="20"/>
              </w:rPr>
            </w:pPr>
            <w:r>
              <w:rPr>
                <w:rFonts w:hint="eastAsia" w:ascii="宋体" w:hAnsi="宋体" w:cs="宋体"/>
                <w:color w:val="000000"/>
                <w:kern w:val="0"/>
                <w:sz w:val="20"/>
                <w:szCs w:val="20"/>
              </w:rPr>
              <w:t>2022年投入10.5万元，保障2个社区日常办公运转支出，维护辖区内社会稳定。</w:t>
            </w:r>
          </w:p>
        </w:tc>
      </w:tr>
      <w:tr>
        <w:tblPrEx>
          <w:tblCellMar>
            <w:top w:w="0" w:type="dxa"/>
            <w:left w:w="108" w:type="dxa"/>
            <w:bottom w:w="0" w:type="dxa"/>
            <w:right w:w="108" w:type="dxa"/>
          </w:tblCellMar>
        </w:tblPrEx>
        <w:trPr>
          <w:gridAfter w:val="7"/>
          <w:wAfter w:w="719" w:type="dxa"/>
          <w:trHeight w:val="529" w:hRule="atLeast"/>
        </w:trPr>
        <w:tc>
          <w:tcPr>
            <w:tcW w:w="2233"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646"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67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869" w:type="dxa"/>
            <w:gridSpan w:val="1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687"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463" w:type="dxa"/>
            <w:gridSpan w:val="1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分值/权重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（百分制）</w:t>
            </w:r>
          </w:p>
        </w:tc>
        <w:tc>
          <w:tcPr>
            <w:tcW w:w="703" w:type="dxa"/>
            <w:gridSpan w:val="1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16" w:type="dxa"/>
            <w:gridSpan w:val="1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扣分原因分析</w:t>
            </w:r>
          </w:p>
        </w:tc>
      </w:tr>
      <w:tr>
        <w:tblPrEx>
          <w:tblCellMar>
            <w:top w:w="0" w:type="dxa"/>
            <w:left w:w="108" w:type="dxa"/>
            <w:bottom w:w="0" w:type="dxa"/>
            <w:right w:w="108" w:type="dxa"/>
          </w:tblCellMar>
        </w:tblPrEx>
        <w:trPr>
          <w:gridAfter w:val="7"/>
          <w:wAfter w:w="719" w:type="dxa"/>
          <w:trHeight w:val="409" w:hRule="atLeast"/>
        </w:trPr>
        <w:tc>
          <w:tcPr>
            <w:tcW w:w="10105" w:type="dxa"/>
            <w:gridSpan w:val="7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    分</w:t>
            </w:r>
          </w:p>
        </w:tc>
        <w:tc>
          <w:tcPr>
            <w:tcW w:w="1463"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3"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916" w:type="dxa"/>
            <w:gridSpan w:val="1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7"/>
          <w:wAfter w:w="719" w:type="dxa"/>
          <w:trHeight w:val="409" w:hRule="atLeast"/>
        </w:trPr>
        <w:tc>
          <w:tcPr>
            <w:tcW w:w="6549" w:type="dxa"/>
            <w:gridSpan w:val="45"/>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预算执行率（10分）</w:t>
            </w:r>
          </w:p>
        </w:tc>
        <w:tc>
          <w:tcPr>
            <w:tcW w:w="1869" w:type="dxa"/>
            <w:gridSpan w:val="16"/>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687"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　</w:t>
            </w:r>
          </w:p>
        </w:tc>
        <w:tc>
          <w:tcPr>
            <w:tcW w:w="1463"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3"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1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7"/>
          <w:wAfter w:w="719" w:type="dxa"/>
          <w:trHeight w:val="409" w:hRule="atLeast"/>
        </w:trPr>
        <w:tc>
          <w:tcPr>
            <w:tcW w:w="2233" w:type="dxa"/>
            <w:gridSpan w:val="10"/>
            <w:vMerge w:val="restart"/>
            <w:tcBorders>
              <w:top w:val="nil"/>
              <w:left w:val="single" w:color="auto" w:sz="4" w:space="0"/>
              <w:bottom w:val="nil"/>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产出指标</w:t>
            </w:r>
          </w:p>
        </w:tc>
        <w:tc>
          <w:tcPr>
            <w:tcW w:w="1646"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67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2个社区</w:t>
            </w:r>
          </w:p>
        </w:tc>
        <w:tc>
          <w:tcPr>
            <w:tcW w:w="1869"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68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463"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3"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91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7"/>
          <w:wAfter w:w="719" w:type="dxa"/>
          <w:trHeight w:val="409" w:hRule="atLeast"/>
        </w:trPr>
        <w:tc>
          <w:tcPr>
            <w:tcW w:w="2233" w:type="dxa"/>
            <w:gridSpan w:val="10"/>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0"/>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267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资金拨付率</w:t>
            </w:r>
          </w:p>
        </w:tc>
        <w:tc>
          <w:tcPr>
            <w:tcW w:w="1869"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68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63"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3"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1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7"/>
          <w:wAfter w:w="719" w:type="dxa"/>
          <w:trHeight w:val="409" w:hRule="atLeast"/>
        </w:trPr>
        <w:tc>
          <w:tcPr>
            <w:tcW w:w="2233" w:type="dxa"/>
            <w:gridSpan w:val="10"/>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0"/>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成本指标</w:t>
            </w:r>
          </w:p>
        </w:tc>
        <w:tc>
          <w:tcPr>
            <w:tcW w:w="267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投入资金额度</w:t>
            </w:r>
          </w:p>
        </w:tc>
        <w:tc>
          <w:tcPr>
            <w:tcW w:w="1869"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10.5</w:t>
            </w:r>
          </w:p>
        </w:tc>
        <w:tc>
          <w:tcPr>
            <w:tcW w:w="168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10.5</w:t>
            </w:r>
          </w:p>
        </w:tc>
        <w:tc>
          <w:tcPr>
            <w:tcW w:w="1463"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3"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1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7"/>
          <w:wAfter w:w="719" w:type="dxa"/>
          <w:trHeight w:val="409" w:hRule="atLeast"/>
        </w:trPr>
        <w:tc>
          <w:tcPr>
            <w:tcW w:w="2233" w:type="dxa"/>
            <w:gridSpan w:val="10"/>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0"/>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质量指标</w:t>
            </w:r>
          </w:p>
        </w:tc>
        <w:tc>
          <w:tcPr>
            <w:tcW w:w="267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资金使用规范率</w:t>
            </w:r>
          </w:p>
        </w:tc>
        <w:tc>
          <w:tcPr>
            <w:tcW w:w="1869"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68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63"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3"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1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7"/>
          <w:wAfter w:w="719" w:type="dxa"/>
          <w:trHeight w:val="409" w:hRule="atLeast"/>
        </w:trPr>
        <w:tc>
          <w:tcPr>
            <w:tcW w:w="2233" w:type="dxa"/>
            <w:gridSpan w:val="10"/>
            <w:tcBorders>
              <w:top w:val="single" w:color="auto" w:sz="4" w:space="0"/>
              <w:left w:val="single" w:color="auto" w:sz="4" w:space="0"/>
              <w:bottom w:val="nil"/>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效益指标</w:t>
            </w:r>
          </w:p>
        </w:tc>
        <w:tc>
          <w:tcPr>
            <w:tcW w:w="1646" w:type="dxa"/>
            <w:gridSpan w:val="30"/>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社会效益指标</w:t>
            </w:r>
          </w:p>
        </w:tc>
        <w:tc>
          <w:tcPr>
            <w:tcW w:w="267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维护社会稳定情况</w:t>
            </w:r>
          </w:p>
        </w:tc>
        <w:tc>
          <w:tcPr>
            <w:tcW w:w="1869"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68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463"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3"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91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7"/>
          <w:wAfter w:w="719" w:type="dxa"/>
          <w:trHeight w:val="409" w:hRule="atLeast"/>
        </w:trPr>
        <w:tc>
          <w:tcPr>
            <w:tcW w:w="2233" w:type="dxa"/>
            <w:gridSpan w:val="10"/>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1646" w:type="dxa"/>
            <w:gridSpan w:val="30"/>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服务对象满意度指标</w:t>
            </w:r>
          </w:p>
        </w:tc>
        <w:tc>
          <w:tcPr>
            <w:tcW w:w="2670"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群众满意度</w:t>
            </w:r>
          </w:p>
        </w:tc>
        <w:tc>
          <w:tcPr>
            <w:tcW w:w="1869"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68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463"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3"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91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7"/>
          <w:wAfter w:w="719" w:type="dxa"/>
          <w:trHeight w:val="758" w:hRule="atLeast"/>
        </w:trPr>
        <w:tc>
          <w:tcPr>
            <w:tcW w:w="13187" w:type="dxa"/>
            <w:gridSpan w:val="118"/>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说明：1.预算执行率得分=全年执行数/全年预算数*10分；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2.“产出指标、效益指标、满意度指标”一共90分，对应的是一体化系统中单位编制的项目绩效目标。</w:t>
            </w:r>
          </w:p>
        </w:tc>
      </w:tr>
      <w:tr>
        <w:tblPrEx>
          <w:tblCellMar>
            <w:top w:w="0" w:type="dxa"/>
            <w:left w:w="108" w:type="dxa"/>
            <w:bottom w:w="0" w:type="dxa"/>
            <w:right w:w="108" w:type="dxa"/>
          </w:tblCellMar>
        </w:tblPrEx>
        <w:trPr>
          <w:gridAfter w:val="7"/>
          <w:wAfter w:w="719" w:type="dxa"/>
          <w:trHeight w:val="758" w:hRule="atLeast"/>
        </w:trPr>
        <w:tc>
          <w:tcPr>
            <w:tcW w:w="13187" w:type="dxa"/>
            <w:gridSpan w:val="118"/>
            <w:tcBorders>
              <w:top w:val="single" w:color="auto" w:sz="4" w:space="0"/>
              <w:left w:val="nil"/>
              <w:bottom w:val="nil"/>
              <w:right w:val="nil"/>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b/>
                <w:bCs/>
                <w:color w:val="000000"/>
                <w:kern w:val="0"/>
                <w:sz w:val="36"/>
                <w:szCs w:val="36"/>
              </w:rPr>
              <w:t>区级项目支出绩效自评表</w:t>
            </w:r>
          </w:p>
        </w:tc>
      </w:tr>
      <w:tr>
        <w:tblPrEx>
          <w:tblCellMar>
            <w:top w:w="0" w:type="dxa"/>
            <w:left w:w="108" w:type="dxa"/>
            <w:bottom w:w="0" w:type="dxa"/>
            <w:right w:w="108" w:type="dxa"/>
          </w:tblCellMar>
        </w:tblPrEx>
        <w:trPr>
          <w:gridAfter w:val="3"/>
          <w:wAfter w:w="577" w:type="dxa"/>
          <w:trHeight w:val="409" w:hRule="atLeast"/>
        </w:trPr>
        <w:tc>
          <w:tcPr>
            <w:tcW w:w="211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4794" w:type="dxa"/>
            <w:gridSpan w:val="43"/>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专职网格员经费</w:t>
            </w:r>
          </w:p>
        </w:tc>
        <w:tc>
          <w:tcPr>
            <w:tcW w:w="1769"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w:t>
            </w:r>
          </w:p>
        </w:tc>
        <w:tc>
          <w:tcPr>
            <w:tcW w:w="4653" w:type="dxa"/>
            <w:gridSpan w:val="5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w:t>
            </w:r>
          </w:p>
        </w:tc>
      </w:tr>
      <w:tr>
        <w:tblPrEx>
          <w:tblCellMar>
            <w:top w:w="0" w:type="dxa"/>
            <w:left w:w="108" w:type="dxa"/>
            <w:bottom w:w="0" w:type="dxa"/>
            <w:right w:w="108" w:type="dxa"/>
          </w:tblCellMar>
        </w:tblPrEx>
        <w:trPr>
          <w:gridAfter w:val="3"/>
          <w:wAfter w:w="577" w:type="dxa"/>
          <w:trHeight w:val="409" w:hRule="atLeast"/>
        </w:trPr>
        <w:tc>
          <w:tcPr>
            <w:tcW w:w="2113" w:type="dxa"/>
            <w:gridSpan w:val="6"/>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794" w:type="dxa"/>
            <w:gridSpan w:val="43"/>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c>
          <w:tcPr>
            <w:tcW w:w="1769" w:type="dxa"/>
            <w:gridSpan w:val="1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653" w:type="dxa"/>
            <w:gridSpan w:val="58"/>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r>
      <w:tr>
        <w:tblPrEx>
          <w:tblCellMar>
            <w:top w:w="0" w:type="dxa"/>
            <w:left w:w="108" w:type="dxa"/>
            <w:bottom w:w="0" w:type="dxa"/>
            <w:right w:w="108" w:type="dxa"/>
          </w:tblCellMar>
        </w:tblPrEx>
        <w:trPr>
          <w:gridAfter w:val="3"/>
          <w:wAfter w:w="577" w:type="dxa"/>
          <w:trHeight w:val="409" w:hRule="atLeast"/>
        </w:trPr>
        <w:tc>
          <w:tcPr>
            <w:tcW w:w="13329" w:type="dxa"/>
            <w:gridSpan w:val="12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项目资金（万元）</w:t>
            </w:r>
          </w:p>
        </w:tc>
      </w:tr>
      <w:tr>
        <w:tblPrEx>
          <w:tblCellMar>
            <w:top w:w="0" w:type="dxa"/>
            <w:left w:w="108" w:type="dxa"/>
            <w:bottom w:w="0" w:type="dxa"/>
            <w:right w:w="108" w:type="dxa"/>
          </w:tblCellMar>
        </w:tblPrEx>
        <w:trPr>
          <w:gridAfter w:val="3"/>
          <w:wAfter w:w="577" w:type="dxa"/>
          <w:trHeight w:val="409" w:hRule="atLeast"/>
        </w:trPr>
        <w:tc>
          <w:tcPr>
            <w:tcW w:w="2936" w:type="dxa"/>
            <w:gridSpan w:val="24"/>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971" w:type="dxa"/>
            <w:gridSpan w:val="25"/>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3365"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3057" w:type="dxa"/>
            <w:gridSpan w:val="4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r>
      <w:tr>
        <w:tblPrEx>
          <w:tblCellMar>
            <w:top w:w="0" w:type="dxa"/>
            <w:left w:w="108" w:type="dxa"/>
            <w:bottom w:w="0" w:type="dxa"/>
            <w:right w:w="108" w:type="dxa"/>
          </w:tblCellMar>
        </w:tblPrEx>
        <w:trPr>
          <w:gridAfter w:val="3"/>
          <w:wAfter w:w="577" w:type="dxa"/>
          <w:trHeight w:val="409" w:hRule="atLeast"/>
        </w:trPr>
        <w:tc>
          <w:tcPr>
            <w:tcW w:w="2936" w:type="dxa"/>
            <w:gridSpan w:val="2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3971" w:type="dxa"/>
            <w:gridSpan w:val="2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9.57</w:t>
            </w:r>
          </w:p>
        </w:tc>
        <w:tc>
          <w:tcPr>
            <w:tcW w:w="3365"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9.57</w:t>
            </w:r>
          </w:p>
        </w:tc>
        <w:tc>
          <w:tcPr>
            <w:tcW w:w="3057" w:type="dxa"/>
            <w:gridSpan w:val="4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After w:val="3"/>
          <w:wAfter w:w="577" w:type="dxa"/>
          <w:trHeight w:val="409" w:hRule="atLeast"/>
        </w:trPr>
        <w:tc>
          <w:tcPr>
            <w:tcW w:w="2936" w:type="dxa"/>
            <w:gridSpan w:val="2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其中：财政拨款</w:t>
            </w:r>
          </w:p>
        </w:tc>
        <w:tc>
          <w:tcPr>
            <w:tcW w:w="3971" w:type="dxa"/>
            <w:gridSpan w:val="2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9.57</w:t>
            </w:r>
          </w:p>
        </w:tc>
        <w:tc>
          <w:tcPr>
            <w:tcW w:w="3365"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9.57</w:t>
            </w:r>
          </w:p>
        </w:tc>
        <w:tc>
          <w:tcPr>
            <w:tcW w:w="3057" w:type="dxa"/>
            <w:gridSpan w:val="4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After w:val="3"/>
          <w:wAfter w:w="577" w:type="dxa"/>
          <w:trHeight w:val="409" w:hRule="atLeast"/>
        </w:trPr>
        <w:tc>
          <w:tcPr>
            <w:tcW w:w="2936" w:type="dxa"/>
            <w:gridSpan w:val="2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3971" w:type="dxa"/>
            <w:gridSpan w:val="2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365"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057" w:type="dxa"/>
            <w:gridSpan w:val="4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gridAfter w:val="3"/>
          <w:wAfter w:w="577" w:type="dxa"/>
          <w:trHeight w:val="409" w:hRule="atLeast"/>
        </w:trPr>
        <w:tc>
          <w:tcPr>
            <w:tcW w:w="2113" w:type="dxa"/>
            <w:gridSpan w:val="6"/>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年度总体目标</w:t>
            </w:r>
          </w:p>
        </w:tc>
        <w:tc>
          <w:tcPr>
            <w:tcW w:w="6563" w:type="dxa"/>
            <w:gridSpan w:val="58"/>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653" w:type="dxa"/>
            <w:gridSpan w:val="5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gridAfter w:val="3"/>
          <w:wAfter w:w="577" w:type="dxa"/>
          <w:trHeight w:val="2055" w:hRule="atLeast"/>
        </w:trPr>
        <w:tc>
          <w:tcPr>
            <w:tcW w:w="2113" w:type="dxa"/>
            <w:gridSpan w:val="6"/>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563" w:type="dxa"/>
            <w:gridSpan w:val="58"/>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本年预计按排资金95746.2元，按乐山市市中区城市基层党建引领基层治理工作领导小组关于《党建引领城市基层治理推动“全科网格”建设实施方案（试行）》文件要求，结合我区“建设城市社会治理创新先导区”发展定位，坚持城市治理网格与基层组织同构，为加快建设社会主义现代化市中区提供制度保障。用于网格员工资、绩效、保险费和管理费各经费支出，用于保障各网格员工作正常开展。</w:t>
            </w:r>
          </w:p>
        </w:tc>
        <w:tc>
          <w:tcPr>
            <w:tcW w:w="4653" w:type="dxa"/>
            <w:gridSpan w:val="58"/>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本年预计按排资金95746.2元，按乐山市市中区城市基层党建引领基层治理工作领导小组关于《党建引领城市基层治理推动“全科网格”建设实施方案（试行）》文件要求，结合我区“建设城市社会治理创新先导区”发展定位，坚持城市治理网格与基层组织同构，为加快建设社会主义现代化市中区提供制度保障。用于网格员工资、绩效、保险费和管理费各经费支出，用于保障各网格员工作正常开展。</w:t>
            </w:r>
          </w:p>
        </w:tc>
      </w:tr>
      <w:tr>
        <w:tblPrEx>
          <w:tblCellMar>
            <w:top w:w="0" w:type="dxa"/>
            <w:left w:w="108" w:type="dxa"/>
            <w:bottom w:w="0" w:type="dxa"/>
            <w:right w:w="108" w:type="dxa"/>
          </w:tblCellMar>
        </w:tblPrEx>
        <w:trPr>
          <w:gridAfter w:val="3"/>
          <w:wAfter w:w="577" w:type="dxa"/>
          <w:trHeight w:val="529" w:hRule="atLeast"/>
        </w:trPr>
        <w:tc>
          <w:tcPr>
            <w:tcW w:w="211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646" w:type="dxa"/>
            <w:gridSpan w:val="3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3148" w:type="dxa"/>
            <w:gridSpan w:val="11"/>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69"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596"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384" w:type="dxa"/>
            <w:gridSpan w:val="1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分值/权重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（百分制）</w:t>
            </w:r>
          </w:p>
        </w:tc>
        <w:tc>
          <w:tcPr>
            <w:tcW w:w="668" w:type="dxa"/>
            <w:gridSpan w:val="1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005" w:type="dxa"/>
            <w:gridSpan w:val="1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扣分原因分析</w:t>
            </w:r>
          </w:p>
        </w:tc>
      </w:tr>
      <w:tr>
        <w:tblPrEx>
          <w:tblCellMar>
            <w:top w:w="0" w:type="dxa"/>
            <w:left w:w="108" w:type="dxa"/>
            <w:bottom w:w="0" w:type="dxa"/>
            <w:right w:w="108" w:type="dxa"/>
          </w:tblCellMar>
        </w:tblPrEx>
        <w:trPr>
          <w:gridAfter w:val="3"/>
          <w:wAfter w:w="577" w:type="dxa"/>
          <w:trHeight w:val="409" w:hRule="atLeast"/>
        </w:trPr>
        <w:tc>
          <w:tcPr>
            <w:tcW w:w="10272" w:type="dxa"/>
            <w:gridSpan w:val="79"/>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    分</w:t>
            </w:r>
          </w:p>
        </w:tc>
        <w:tc>
          <w:tcPr>
            <w:tcW w:w="1384"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68"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05" w:type="dxa"/>
            <w:gridSpan w:val="1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3"/>
          <w:wAfter w:w="577" w:type="dxa"/>
          <w:trHeight w:val="409" w:hRule="atLeast"/>
        </w:trPr>
        <w:tc>
          <w:tcPr>
            <w:tcW w:w="6907" w:type="dxa"/>
            <w:gridSpan w:val="49"/>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预算执行率（10分）</w:t>
            </w:r>
          </w:p>
        </w:tc>
        <w:tc>
          <w:tcPr>
            <w:tcW w:w="1769"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596"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　</w:t>
            </w:r>
          </w:p>
        </w:tc>
        <w:tc>
          <w:tcPr>
            <w:tcW w:w="1384"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68"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05" w:type="dxa"/>
            <w:gridSpan w:val="1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3"/>
          <w:wAfter w:w="577" w:type="dxa"/>
          <w:trHeight w:val="409" w:hRule="atLeast"/>
        </w:trPr>
        <w:tc>
          <w:tcPr>
            <w:tcW w:w="2113" w:type="dxa"/>
            <w:gridSpan w:val="6"/>
            <w:vMerge w:val="restart"/>
            <w:tcBorders>
              <w:top w:val="nil"/>
              <w:left w:val="single" w:color="auto" w:sz="4" w:space="0"/>
              <w:bottom w:val="nil"/>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产出指标</w:t>
            </w: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质量指标</w:t>
            </w:r>
          </w:p>
        </w:tc>
        <w:tc>
          <w:tcPr>
            <w:tcW w:w="3148"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网格员经费支付准确率</w:t>
            </w:r>
          </w:p>
        </w:tc>
        <w:tc>
          <w:tcPr>
            <w:tcW w:w="1769"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596"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84"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68"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05" w:type="dxa"/>
            <w:gridSpan w:val="1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3"/>
          <w:wAfter w:w="577" w:type="dxa"/>
          <w:trHeight w:val="409" w:hRule="atLeast"/>
        </w:trPr>
        <w:tc>
          <w:tcPr>
            <w:tcW w:w="2113" w:type="dxa"/>
            <w:gridSpan w:val="6"/>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3148"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网格员经费支付及时率</w:t>
            </w:r>
          </w:p>
        </w:tc>
        <w:tc>
          <w:tcPr>
            <w:tcW w:w="1769"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596"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84"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68"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05" w:type="dxa"/>
            <w:gridSpan w:val="1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3"/>
          <w:wAfter w:w="577" w:type="dxa"/>
          <w:trHeight w:val="409" w:hRule="atLeast"/>
        </w:trPr>
        <w:tc>
          <w:tcPr>
            <w:tcW w:w="2113" w:type="dxa"/>
            <w:gridSpan w:val="6"/>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数量指标</w:t>
            </w:r>
          </w:p>
        </w:tc>
        <w:tc>
          <w:tcPr>
            <w:tcW w:w="3148"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涉及村社区数</w:t>
            </w:r>
          </w:p>
        </w:tc>
        <w:tc>
          <w:tcPr>
            <w:tcW w:w="1769"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596"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384"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68"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05" w:type="dxa"/>
            <w:gridSpan w:val="1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3"/>
          <w:wAfter w:w="577" w:type="dxa"/>
          <w:trHeight w:val="409" w:hRule="atLeast"/>
        </w:trPr>
        <w:tc>
          <w:tcPr>
            <w:tcW w:w="2113" w:type="dxa"/>
            <w:gridSpan w:val="6"/>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数量指标</w:t>
            </w:r>
          </w:p>
        </w:tc>
        <w:tc>
          <w:tcPr>
            <w:tcW w:w="3148"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网格员人数</w:t>
            </w:r>
          </w:p>
        </w:tc>
        <w:tc>
          <w:tcPr>
            <w:tcW w:w="1769"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596"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384"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68"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05" w:type="dxa"/>
            <w:gridSpan w:val="1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3"/>
          <w:wAfter w:w="577" w:type="dxa"/>
          <w:trHeight w:val="409" w:hRule="atLeast"/>
        </w:trPr>
        <w:tc>
          <w:tcPr>
            <w:tcW w:w="2113" w:type="dxa"/>
            <w:gridSpan w:val="6"/>
            <w:tcBorders>
              <w:top w:val="single" w:color="auto" w:sz="4" w:space="0"/>
              <w:left w:val="single" w:color="auto" w:sz="4" w:space="0"/>
              <w:bottom w:val="nil"/>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效益指标</w:t>
            </w: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社会效益指标</w:t>
            </w:r>
          </w:p>
        </w:tc>
        <w:tc>
          <w:tcPr>
            <w:tcW w:w="3148"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网格员经费应付尽付率</w:t>
            </w:r>
          </w:p>
        </w:tc>
        <w:tc>
          <w:tcPr>
            <w:tcW w:w="1769"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596"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84"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668"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005" w:type="dxa"/>
            <w:gridSpan w:val="1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3"/>
          <w:wAfter w:w="577" w:type="dxa"/>
          <w:trHeight w:val="409" w:hRule="atLeast"/>
        </w:trPr>
        <w:tc>
          <w:tcPr>
            <w:tcW w:w="2113"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1646" w:type="dxa"/>
            <w:gridSpan w:val="32"/>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服务对象满意度指标</w:t>
            </w:r>
          </w:p>
        </w:tc>
        <w:tc>
          <w:tcPr>
            <w:tcW w:w="3148" w:type="dxa"/>
            <w:gridSpan w:val="11"/>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w:t>
            </w:r>
          </w:p>
        </w:tc>
        <w:tc>
          <w:tcPr>
            <w:tcW w:w="1769"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596"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384"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68"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05" w:type="dxa"/>
            <w:gridSpan w:val="1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3"/>
          <w:wAfter w:w="577" w:type="dxa"/>
          <w:trHeight w:val="409" w:hRule="atLeast"/>
        </w:trPr>
        <w:tc>
          <w:tcPr>
            <w:tcW w:w="2113" w:type="dxa"/>
            <w:gridSpan w:val="6"/>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经济成本指标</w:t>
            </w:r>
          </w:p>
        </w:tc>
        <w:tc>
          <w:tcPr>
            <w:tcW w:w="3148"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网格员工资标准</w:t>
            </w:r>
          </w:p>
        </w:tc>
        <w:tc>
          <w:tcPr>
            <w:tcW w:w="1769"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2931</w:t>
            </w:r>
          </w:p>
        </w:tc>
        <w:tc>
          <w:tcPr>
            <w:tcW w:w="1596"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2931</w:t>
            </w:r>
          </w:p>
        </w:tc>
        <w:tc>
          <w:tcPr>
            <w:tcW w:w="1384"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68"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05" w:type="dxa"/>
            <w:gridSpan w:val="1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3"/>
          <w:wAfter w:w="577" w:type="dxa"/>
          <w:trHeight w:val="409" w:hRule="atLeast"/>
        </w:trPr>
        <w:tc>
          <w:tcPr>
            <w:tcW w:w="2113" w:type="dxa"/>
            <w:gridSpan w:val="6"/>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经济成本指标</w:t>
            </w:r>
          </w:p>
        </w:tc>
        <w:tc>
          <w:tcPr>
            <w:tcW w:w="3148" w:type="dxa"/>
            <w:gridSpan w:val="1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网格员保险费预算数</w:t>
            </w:r>
          </w:p>
        </w:tc>
        <w:tc>
          <w:tcPr>
            <w:tcW w:w="1769"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1073.31</w:t>
            </w:r>
          </w:p>
        </w:tc>
        <w:tc>
          <w:tcPr>
            <w:tcW w:w="1596"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1073.31</w:t>
            </w:r>
          </w:p>
        </w:tc>
        <w:tc>
          <w:tcPr>
            <w:tcW w:w="1384"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68"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005" w:type="dxa"/>
            <w:gridSpan w:val="13"/>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3"/>
          <w:wAfter w:w="577" w:type="dxa"/>
          <w:trHeight w:val="758" w:hRule="atLeast"/>
        </w:trPr>
        <w:tc>
          <w:tcPr>
            <w:tcW w:w="13329" w:type="dxa"/>
            <w:gridSpan w:val="122"/>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说明：1.预算执行率得分=全年执行数/全年预算数*10分；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2.“产出指标、效益指标、满意度指标”一共90分，对应的是一体化系统中单位编制的项目绩效目标。</w:t>
            </w:r>
          </w:p>
        </w:tc>
      </w:tr>
      <w:tr>
        <w:tblPrEx>
          <w:tblCellMar>
            <w:top w:w="0" w:type="dxa"/>
            <w:left w:w="108" w:type="dxa"/>
            <w:bottom w:w="0" w:type="dxa"/>
            <w:right w:w="108" w:type="dxa"/>
          </w:tblCellMar>
        </w:tblPrEx>
        <w:trPr>
          <w:gridAfter w:val="3"/>
          <w:wAfter w:w="577" w:type="dxa"/>
          <w:trHeight w:val="758" w:hRule="atLeast"/>
        </w:trPr>
        <w:tc>
          <w:tcPr>
            <w:tcW w:w="13329" w:type="dxa"/>
            <w:gridSpan w:val="122"/>
            <w:tcBorders>
              <w:top w:val="single" w:color="auto" w:sz="4" w:space="0"/>
              <w:left w:val="nil"/>
              <w:bottom w:val="nil"/>
              <w:right w:val="nil"/>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b/>
                <w:bCs/>
                <w:color w:val="000000"/>
                <w:kern w:val="0"/>
                <w:sz w:val="36"/>
                <w:szCs w:val="36"/>
              </w:rPr>
              <w:t>区级项目支出绩效自评表</w:t>
            </w:r>
          </w:p>
        </w:tc>
      </w:tr>
      <w:tr>
        <w:tblPrEx>
          <w:tblCellMar>
            <w:top w:w="0" w:type="dxa"/>
            <w:left w:w="108" w:type="dxa"/>
            <w:bottom w:w="0" w:type="dxa"/>
            <w:right w:w="108" w:type="dxa"/>
          </w:tblCellMar>
        </w:tblPrEx>
        <w:trPr>
          <w:gridAfter w:val="6"/>
          <w:wAfter w:w="699" w:type="dxa"/>
          <w:trHeight w:val="409" w:hRule="atLeast"/>
        </w:trPr>
        <w:tc>
          <w:tcPr>
            <w:tcW w:w="198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5323" w:type="dxa"/>
            <w:gridSpan w:val="50"/>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社区干部工资报酬</w:t>
            </w:r>
          </w:p>
        </w:tc>
        <w:tc>
          <w:tcPr>
            <w:tcW w:w="1657" w:type="dxa"/>
            <w:gridSpan w:val="1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w:t>
            </w:r>
          </w:p>
        </w:tc>
        <w:tc>
          <w:tcPr>
            <w:tcW w:w="4246" w:type="dxa"/>
            <w:gridSpan w:val="5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w:t>
            </w:r>
          </w:p>
        </w:tc>
      </w:tr>
      <w:tr>
        <w:tblPrEx>
          <w:tblCellMar>
            <w:top w:w="0" w:type="dxa"/>
            <w:left w:w="108" w:type="dxa"/>
            <w:bottom w:w="0" w:type="dxa"/>
            <w:right w:w="108" w:type="dxa"/>
          </w:tblCellMar>
        </w:tblPrEx>
        <w:trPr>
          <w:gridAfter w:val="6"/>
          <w:wAfter w:w="699" w:type="dxa"/>
          <w:trHeight w:val="409" w:hRule="atLeast"/>
        </w:trPr>
        <w:tc>
          <w:tcPr>
            <w:tcW w:w="1981"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5323" w:type="dxa"/>
            <w:gridSpan w:val="50"/>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c>
          <w:tcPr>
            <w:tcW w:w="1657" w:type="dxa"/>
            <w:gridSpan w:val="1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246" w:type="dxa"/>
            <w:gridSpan w:val="51"/>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乐山市市中区棉竹镇人民政府</w:t>
            </w:r>
          </w:p>
        </w:tc>
      </w:tr>
      <w:tr>
        <w:tblPrEx>
          <w:tblCellMar>
            <w:top w:w="0" w:type="dxa"/>
            <w:left w:w="108" w:type="dxa"/>
            <w:bottom w:w="0" w:type="dxa"/>
            <w:right w:w="108" w:type="dxa"/>
          </w:tblCellMar>
        </w:tblPrEx>
        <w:trPr>
          <w:gridAfter w:val="6"/>
          <w:wAfter w:w="699" w:type="dxa"/>
          <w:trHeight w:val="409" w:hRule="atLeast"/>
        </w:trPr>
        <w:tc>
          <w:tcPr>
            <w:tcW w:w="13207" w:type="dxa"/>
            <w:gridSpan w:val="119"/>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项目资金（万元）</w:t>
            </w:r>
          </w:p>
        </w:tc>
      </w:tr>
      <w:tr>
        <w:tblPrEx>
          <w:tblCellMar>
            <w:top w:w="0" w:type="dxa"/>
            <w:left w:w="108" w:type="dxa"/>
            <w:bottom w:w="0" w:type="dxa"/>
            <w:right w:w="108" w:type="dxa"/>
          </w:tblCellMar>
        </w:tblPrEx>
        <w:trPr>
          <w:gridAfter w:val="6"/>
          <w:wAfter w:w="699" w:type="dxa"/>
          <w:trHeight w:val="409" w:hRule="atLeast"/>
        </w:trPr>
        <w:tc>
          <w:tcPr>
            <w:tcW w:w="2804" w:type="dxa"/>
            <w:gridSpan w:val="19"/>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00" w:type="dxa"/>
            <w:gridSpan w:val="35"/>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3153" w:type="dxa"/>
            <w:gridSpan w:val="2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2750" w:type="dxa"/>
            <w:gridSpan w:val="3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r>
      <w:tr>
        <w:tblPrEx>
          <w:tblCellMar>
            <w:top w:w="0" w:type="dxa"/>
            <w:left w:w="108" w:type="dxa"/>
            <w:bottom w:w="0" w:type="dxa"/>
            <w:right w:w="108" w:type="dxa"/>
          </w:tblCellMar>
        </w:tblPrEx>
        <w:trPr>
          <w:gridAfter w:val="6"/>
          <w:wAfter w:w="699" w:type="dxa"/>
          <w:trHeight w:val="409" w:hRule="atLeast"/>
        </w:trPr>
        <w:tc>
          <w:tcPr>
            <w:tcW w:w="2804" w:type="dxa"/>
            <w:gridSpan w:val="19"/>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4500" w:type="dxa"/>
            <w:gridSpan w:val="3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77.28</w:t>
            </w:r>
          </w:p>
        </w:tc>
        <w:tc>
          <w:tcPr>
            <w:tcW w:w="3153" w:type="dxa"/>
            <w:gridSpan w:val="2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77.28</w:t>
            </w:r>
          </w:p>
        </w:tc>
        <w:tc>
          <w:tcPr>
            <w:tcW w:w="2750" w:type="dxa"/>
            <w:gridSpan w:val="3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After w:val="6"/>
          <w:wAfter w:w="699" w:type="dxa"/>
          <w:trHeight w:val="409" w:hRule="atLeast"/>
        </w:trPr>
        <w:tc>
          <w:tcPr>
            <w:tcW w:w="2804" w:type="dxa"/>
            <w:gridSpan w:val="19"/>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其中：财政拨款</w:t>
            </w:r>
          </w:p>
        </w:tc>
        <w:tc>
          <w:tcPr>
            <w:tcW w:w="4500" w:type="dxa"/>
            <w:gridSpan w:val="3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77.28</w:t>
            </w:r>
          </w:p>
        </w:tc>
        <w:tc>
          <w:tcPr>
            <w:tcW w:w="3153" w:type="dxa"/>
            <w:gridSpan w:val="2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77.28</w:t>
            </w:r>
          </w:p>
        </w:tc>
        <w:tc>
          <w:tcPr>
            <w:tcW w:w="2750" w:type="dxa"/>
            <w:gridSpan w:val="3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After w:val="6"/>
          <w:wAfter w:w="699" w:type="dxa"/>
          <w:trHeight w:val="409" w:hRule="atLeast"/>
        </w:trPr>
        <w:tc>
          <w:tcPr>
            <w:tcW w:w="2804" w:type="dxa"/>
            <w:gridSpan w:val="19"/>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4500" w:type="dxa"/>
            <w:gridSpan w:val="3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153" w:type="dxa"/>
            <w:gridSpan w:val="2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750" w:type="dxa"/>
            <w:gridSpan w:val="3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gridAfter w:val="6"/>
          <w:wAfter w:w="699" w:type="dxa"/>
          <w:trHeight w:val="409" w:hRule="atLeast"/>
        </w:trPr>
        <w:tc>
          <w:tcPr>
            <w:tcW w:w="1981" w:type="dxa"/>
            <w:gridSpan w:val="4"/>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年度总体目标</w:t>
            </w:r>
          </w:p>
        </w:tc>
        <w:tc>
          <w:tcPr>
            <w:tcW w:w="6980" w:type="dxa"/>
            <w:gridSpan w:val="6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246" w:type="dxa"/>
            <w:gridSpan w:val="51"/>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gridAfter w:val="6"/>
          <w:wAfter w:w="699" w:type="dxa"/>
          <w:trHeight w:val="2055" w:hRule="atLeast"/>
        </w:trPr>
        <w:tc>
          <w:tcPr>
            <w:tcW w:w="198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980" w:type="dxa"/>
            <w:gridSpan w:val="64"/>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2022年投入772824元，支付各社区干部工资，保障社区工作正常开展，提升基层组织服务群众的能力。</w:t>
            </w:r>
          </w:p>
        </w:tc>
        <w:tc>
          <w:tcPr>
            <w:tcW w:w="4246" w:type="dxa"/>
            <w:gridSpan w:val="51"/>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2022年投入772824元，支付各社区干部工资，保障社区工作正常开展，提升基层组织服务群众的能力。</w:t>
            </w:r>
          </w:p>
        </w:tc>
      </w:tr>
      <w:tr>
        <w:tblPrEx>
          <w:tblCellMar>
            <w:top w:w="0" w:type="dxa"/>
            <w:left w:w="108" w:type="dxa"/>
            <w:bottom w:w="0" w:type="dxa"/>
            <w:right w:w="108" w:type="dxa"/>
          </w:tblCellMar>
        </w:tblPrEx>
        <w:trPr>
          <w:gridAfter w:val="6"/>
          <w:wAfter w:w="699" w:type="dxa"/>
          <w:trHeight w:val="529" w:hRule="atLeast"/>
        </w:trPr>
        <w:tc>
          <w:tcPr>
            <w:tcW w:w="198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646" w:type="dxa"/>
            <w:gridSpan w:val="3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3677" w:type="dxa"/>
            <w:gridSpan w:val="1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657" w:type="dxa"/>
            <w:gridSpan w:val="1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496"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297" w:type="dxa"/>
            <w:gridSpan w:val="1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分值/权重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（百分制）</w:t>
            </w:r>
          </w:p>
        </w:tc>
        <w:tc>
          <w:tcPr>
            <w:tcW w:w="624"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29"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扣分原因分析</w:t>
            </w:r>
          </w:p>
        </w:tc>
      </w:tr>
      <w:tr>
        <w:tblPrEx>
          <w:tblCellMar>
            <w:top w:w="0" w:type="dxa"/>
            <w:left w:w="108" w:type="dxa"/>
            <w:bottom w:w="0" w:type="dxa"/>
            <w:right w:w="108" w:type="dxa"/>
          </w:tblCellMar>
        </w:tblPrEx>
        <w:trPr>
          <w:gridAfter w:val="6"/>
          <w:wAfter w:w="699" w:type="dxa"/>
          <w:trHeight w:val="409" w:hRule="atLeast"/>
        </w:trPr>
        <w:tc>
          <w:tcPr>
            <w:tcW w:w="10457" w:type="dxa"/>
            <w:gridSpan w:val="8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    分</w:t>
            </w:r>
          </w:p>
        </w:tc>
        <w:tc>
          <w:tcPr>
            <w:tcW w:w="1297"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24"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829" w:type="dxa"/>
            <w:gridSpan w:val="7"/>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6"/>
          <w:wAfter w:w="699" w:type="dxa"/>
          <w:trHeight w:val="409" w:hRule="atLeast"/>
        </w:trPr>
        <w:tc>
          <w:tcPr>
            <w:tcW w:w="7304" w:type="dxa"/>
            <w:gridSpan w:val="54"/>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预算执行率（10分）</w:t>
            </w:r>
          </w:p>
        </w:tc>
        <w:tc>
          <w:tcPr>
            <w:tcW w:w="1657" w:type="dxa"/>
            <w:gridSpan w:val="1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496"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　</w:t>
            </w:r>
          </w:p>
        </w:tc>
        <w:tc>
          <w:tcPr>
            <w:tcW w:w="1297"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24"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29"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6"/>
          <w:wAfter w:w="699" w:type="dxa"/>
          <w:trHeight w:val="409" w:hRule="atLeast"/>
        </w:trPr>
        <w:tc>
          <w:tcPr>
            <w:tcW w:w="1981" w:type="dxa"/>
            <w:gridSpan w:val="4"/>
            <w:vMerge w:val="restart"/>
            <w:tcBorders>
              <w:top w:val="nil"/>
              <w:left w:val="single" w:color="auto" w:sz="4" w:space="0"/>
              <w:bottom w:val="nil"/>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产出指标</w:t>
            </w: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质量指标</w:t>
            </w:r>
          </w:p>
        </w:tc>
        <w:tc>
          <w:tcPr>
            <w:tcW w:w="3677" w:type="dxa"/>
            <w:gridSpan w:val="1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w:t>
            </w:r>
          </w:p>
        </w:tc>
        <w:tc>
          <w:tcPr>
            <w:tcW w:w="1657"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96"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97"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624"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829"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6"/>
          <w:wAfter w:w="699" w:type="dxa"/>
          <w:trHeight w:val="409" w:hRule="atLeast"/>
        </w:trPr>
        <w:tc>
          <w:tcPr>
            <w:tcW w:w="1981" w:type="dxa"/>
            <w:gridSpan w:val="4"/>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成本指标</w:t>
            </w:r>
          </w:p>
        </w:tc>
        <w:tc>
          <w:tcPr>
            <w:tcW w:w="3677" w:type="dxa"/>
            <w:gridSpan w:val="1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常职干部书记工资标准</w:t>
            </w:r>
          </w:p>
        </w:tc>
        <w:tc>
          <w:tcPr>
            <w:tcW w:w="1657"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4520</w:t>
            </w:r>
          </w:p>
        </w:tc>
        <w:tc>
          <w:tcPr>
            <w:tcW w:w="1496"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4520</w:t>
            </w:r>
          </w:p>
        </w:tc>
        <w:tc>
          <w:tcPr>
            <w:tcW w:w="1297"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24"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29"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6"/>
          <w:wAfter w:w="699" w:type="dxa"/>
          <w:trHeight w:val="409" w:hRule="atLeast"/>
        </w:trPr>
        <w:tc>
          <w:tcPr>
            <w:tcW w:w="1981" w:type="dxa"/>
            <w:gridSpan w:val="4"/>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成本指标</w:t>
            </w:r>
          </w:p>
        </w:tc>
        <w:tc>
          <w:tcPr>
            <w:tcW w:w="3677" w:type="dxa"/>
            <w:gridSpan w:val="1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常任副职干部书记工资标准</w:t>
            </w:r>
          </w:p>
        </w:tc>
        <w:tc>
          <w:tcPr>
            <w:tcW w:w="1657"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3768</w:t>
            </w:r>
          </w:p>
        </w:tc>
        <w:tc>
          <w:tcPr>
            <w:tcW w:w="1496"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3768</w:t>
            </w:r>
          </w:p>
        </w:tc>
        <w:tc>
          <w:tcPr>
            <w:tcW w:w="1297"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24"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29"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6"/>
          <w:wAfter w:w="699" w:type="dxa"/>
          <w:trHeight w:val="409" w:hRule="atLeast"/>
        </w:trPr>
        <w:tc>
          <w:tcPr>
            <w:tcW w:w="1981" w:type="dxa"/>
            <w:gridSpan w:val="4"/>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3677" w:type="dxa"/>
            <w:gridSpan w:val="1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资金支付及时率</w:t>
            </w:r>
          </w:p>
        </w:tc>
        <w:tc>
          <w:tcPr>
            <w:tcW w:w="1657"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96"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97"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24"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29"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6"/>
          <w:wAfter w:w="699" w:type="dxa"/>
          <w:trHeight w:val="409" w:hRule="atLeast"/>
        </w:trPr>
        <w:tc>
          <w:tcPr>
            <w:tcW w:w="1981" w:type="dxa"/>
            <w:gridSpan w:val="4"/>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数量指标</w:t>
            </w:r>
          </w:p>
        </w:tc>
        <w:tc>
          <w:tcPr>
            <w:tcW w:w="3677" w:type="dxa"/>
            <w:gridSpan w:val="1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常职干部个数</w:t>
            </w:r>
          </w:p>
        </w:tc>
        <w:tc>
          <w:tcPr>
            <w:tcW w:w="1657"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w:t>
            </w:r>
          </w:p>
        </w:tc>
        <w:tc>
          <w:tcPr>
            <w:tcW w:w="1496"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w:t>
            </w:r>
          </w:p>
        </w:tc>
        <w:tc>
          <w:tcPr>
            <w:tcW w:w="1297"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24"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29"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6"/>
          <w:wAfter w:w="699" w:type="dxa"/>
          <w:trHeight w:val="409" w:hRule="atLeast"/>
        </w:trPr>
        <w:tc>
          <w:tcPr>
            <w:tcW w:w="1981" w:type="dxa"/>
            <w:gridSpan w:val="4"/>
            <w:tcBorders>
              <w:top w:val="single" w:color="auto" w:sz="4" w:space="0"/>
              <w:left w:val="single" w:color="auto" w:sz="4" w:space="0"/>
              <w:bottom w:val="nil"/>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效益指标</w:t>
            </w: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社会效益指标</w:t>
            </w:r>
          </w:p>
        </w:tc>
        <w:tc>
          <w:tcPr>
            <w:tcW w:w="3677" w:type="dxa"/>
            <w:gridSpan w:val="1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维护农村社会稳定情况</w:t>
            </w:r>
          </w:p>
        </w:tc>
        <w:tc>
          <w:tcPr>
            <w:tcW w:w="1657"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496"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297"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624"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829"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6"/>
          <w:wAfter w:w="699" w:type="dxa"/>
          <w:trHeight w:val="409" w:hRule="atLeast"/>
        </w:trPr>
        <w:tc>
          <w:tcPr>
            <w:tcW w:w="1981"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1646" w:type="dxa"/>
            <w:gridSpan w:val="32"/>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服务对象满意度指标</w:t>
            </w:r>
          </w:p>
        </w:tc>
        <w:tc>
          <w:tcPr>
            <w:tcW w:w="3677" w:type="dxa"/>
            <w:gridSpan w:val="18"/>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社区干部满意度</w:t>
            </w:r>
          </w:p>
        </w:tc>
        <w:tc>
          <w:tcPr>
            <w:tcW w:w="1657"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96"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97"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24"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29"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6"/>
          <w:wAfter w:w="699" w:type="dxa"/>
          <w:trHeight w:val="758" w:hRule="atLeast"/>
        </w:trPr>
        <w:tc>
          <w:tcPr>
            <w:tcW w:w="13207" w:type="dxa"/>
            <w:gridSpan w:val="119"/>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说明：1.预算执行率得分=全年执行数/全年预算数*10分；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2.“产出指标、效益指标、满意度指标”一共90分，对应的是一体化系统中单位编制的项目绩效目标。</w:t>
            </w:r>
          </w:p>
        </w:tc>
      </w:tr>
      <w:tr>
        <w:tblPrEx>
          <w:tblCellMar>
            <w:top w:w="0" w:type="dxa"/>
            <w:left w:w="108" w:type="dxa"/>
            <w:bottom w:w="0" w:type="dxa"/>
            <w:right w:w="108" w:type="dxa"/>
          </w:tblCellMar>
        </w:tblPrEx>
        <w:trPr>
          <w:gridAfter w:val="6"/>
          <w:wAfter w:w="699" w:type="dxa"/>
          <w:trHeight w:val="758" w:hRule="atLeast"/>
        </w:trPr>
        <w:tc>
          <w:tcPr>
            <w:tcW w:w="13207" w:type="dxa"/>
            <w:gridSpan w:val="119"/>
            <w:tcBorders>
              <w:top w:val="single" w:color="auto" w:sz="4" w:space="0"/>
              <w:left w:val="nil"/>
              <w:bottom w:val="nil"/>
              <w:right w:val="nil"/>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b/>
                <w:bCs/>
                <w:color w:val="000000"/>
                <w:kern w:val="0"/>
                <w:sz w:val="36"/>
                <w:szCs w:val="36"/>
              </w:rPr>
              <w:t>区级项目支出绩效自评表</w:t>
            </w:r>
          </w:p>
        </w:tc>
      </w:tr>
      <w:tr>
        <w:tblPrEx>
          <w:tblCellMar>
            <w:top w:w="0" w:type="dxa"/>
            <w:left w:w="108" w:type="dxa"/>
            <w:bottom w:w="0" w:type="dxa"/>
            <w:right w:w="108" w:type="dxa"/>
          </w:tblCellMar>
        </w:tblPrEx>
        <w:trPr>
          <w:gridAfter w:val="14"/>
          <w:wAfter w:w="1540" w:type="dxa"/>
          <w:trHeight w:val="409" w:hRule="atLeast"/>
        </w:trPr>
        <w:tc>
          <w:tcPr>
            <w:tcW w:w="2334"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2868" w:type="dxa"/>
            <w:gridSpan w:val="31"/>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棉竹镇村办公费</w:t>
            </w:r>
          </w:p>
        </w:tc>
        <w:tc>
          <w:tcPr>
            <w:tcW w:w="1953"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w:t>
            </w:r>
          </w:p>
        </w:tc>
        <w:tc>
          <w:tcPr>
            <w:tcW w:w="5211" w:type="dxa"/>
            <w:gridSpan w:val="5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w:t>
            </w:r>
          </w:p>
        </w:tc>
      </w:tr>
      <w:tr>
        <w:tblPrEx>
          <w:tblCellMar>
            <w:top w:w="0" w:type="dxa"/>
            <w:left w:w="108" w:type="dxa"/>
            <w:bottom w:w="0" w:type="dxa"/>
            <w:right w:w="108" w:type="dxa"/>
          </w:tblCellMar>
        </w:tblPrEx>
        <w:trPr>
          <w:gridAfter w:val="14"/>
          <w:wAfter w:w="1540" w:type="dxa"/>
          <w:trHeight w:val="409" w:hRule="atLeast"/>
        </w:trPr>
        <w:tc>
          <w:tcPr>
            <w:tcW w:w="2334" w:type="dxa"/>
            <w:gridSpan w:val="1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2868" w:type="dxa"/>
            <w:gridSpan w:val="31"/>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c>
          <w:tcPr>
            <w:tcW w:w="1953" w:type="dxa"/>
            <w:gridSpan w:val="9"/>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5211" w:type="dxa"/>
            <w:gridSpan w:val="59"/>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乐山市市中区棉竹镇人民政府</w:t>
            </w:r>
          </w:p>
        </w:tc>
      </w:tr>
      <w:tr>
        <w:tblPrEx>
          <w:tblCellMar>
            <w:top w:w="0" w:type="dxa"/>
            <w:left w:w="108" w:type="dxa"/>
            <w:bottom w:w="0" w:type="dxa"/>
            <w:right w:w="108" w:type="dxa"/>
          </w:tblCellMar>
        </w:tblPrEx>
        <w:trPr>
          <w:gridAfter w:val="14"/>
          <w:wAfter w:w="1540" w:type="dxa"/>
          <w:trHeight w:val="409" w:hRule="atLeast"/>
        </w:trPr>
        <w:tc>
          <w:tcPr>
            <w:tcW w:w="12366" w:type="dxa"/>
            <w:gridSpan w:val="111"/>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项目资金（万元）</w:t>
            </w:r>
          </w:p>
        </w:tc>
      </w:tr>
      <w:tr>
        <w:tblPrEx>
          <w:tblCellMar>
            <w:top w:w="0" w:type="dxa"/>
            <w:left w:w="108" w:type="dxa"/>
            <w:bottom w:w="0" w:type="dxa"/>
            <w:right w:w="108" w:type="dxa"/>
          </w:tblCellMar>
        </w:tblPrEx>
        <w:trPr>
          <w:gridAfter w:val="14"/>
          <w:wAfter w:w="1540" w:type="dxa"/>
          <w:trHeight w:val="409" w:hRule="atLeast"/>
        </w:trPr>
        <w:tc>
          <w:tcPr>
            <w:tcW w:w="2887" w:type="dxa"/>
            <w:gridSpan w:val="22"/>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315" w:type="dxa"/>
            <w:gridSpan w:val="21"/>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3715" w:type="dxa"/>
            <w:gridSpan w:val="2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3449" w:type="dxa"/>
            <w:gridSpan w:val="4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r>
      <w:tr>
        <w:tblPrEx>
          <w:tblCellMar>
            <w:top w:w="0" w:type="dxa"/>
            <w:left w:w="108" w:type="dxa"/>
            <w:bottom w:w="0" w:type="dxa"/>
            <w:right w:w="108" w:type="dxa"/>
          </w:tblCellMar>
        </w:tblPrEx>
        <w:trPr>
          <w:gridAfter w:val="14"/>
          <w:wAfter w:w="1540" w:type="dxa"/>
          <w:trHeight w:val="409" w:hRule="atLeast"/>
        </w:trPr>
        <w:tc>
          <w:tcPr>
            <w:tcW w:w="2887" w:type="dxa"/>
            <w:gridSpan w:val="2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2315" w:type="dxa"/>
            <w:gridSpan w:val="2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15.5</w:t>
            </w:r>
          </w:p>
        </w:tc>
        <w:tc>
          <w:tcPr>
            <w:tcW w:w="3715" w:type="dxa"/>
            <w:gridSpan w:val="2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15.5</w:t>
            </w:r>
          </w:p>
        </w:tc>
        <w:tc>
          <w:tcPr>
            <w:tcW w:w="3449" w:type="dxa"/>
            <w:gridSpan w:val="4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After w:val="14"/>
          <w:wAfter w:w="1540" w:type="dxa"/>
          <w:trHeight w:val="409" w:hRule="atLeast"/>
        </w:trPr>
        <w:tc>
          <w:tcPr>
            <w:tcW w:w="2887" w:type="dxa"/>
            <w:gridSpan w:val="2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其中：财政拨款</w:t>
            </w:r>
          </w:p>
        </w:tc>
        <w:tc>
          <w:tcPr>
            <w:tcW w:w="2315" w:type="dxa"/>
            <w:gridSpan w:val="2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15.5</w:t>
            </w:r>
          </w:p>
        </w:tc>
        <w:tc>
          <w:tcPr>
            <w:tcW w:w="3715" w:type="dxa"/>
            <w:gridSpan w:val="2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15.5</w:t>
            </w:r>
          </w:p>
        </w:tc>
        <w:tc>
          <w:tcPr>
            <w:tcW w:w="3449" w:type="dxa"/>
            <w:gridSpan w:val="4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After w:val="14"/>
          <w:wAfter w:w="1540" w:type="dxa"/>
          <w:trHeight w:val="409" w:hRule="atLeast"/>
        </w:trPr>
        <w:tc>
          <w:tcPr>
            <w:tcW w:w="2887" w:type="dxa"/>
            <w:gridSpan w:val="2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2315" w:type="dxa"/>
            <w:gridSpan w:val="2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715" w:type="dxa"/>
            <w:gridSpan w:val="2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449" w:type="dxa"/>
            <w:gridSpan w:val="4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gridAfter w:val="14"/>
          <w:wAfter w:w="1540" w:type="dxa"/>
          <w:trHeight w:val="409" w:hRule="atLeast"/>
        </w:trPr>
        <w:tc>
          <w:tcPr>
            <w:tcW w:w="2334" w:type="dxa"/>
            <w:gridSpan w:val="1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年度总体目标</w:t>
            </w:r>
          </w:p>
        </w:tc>
        <w:tc>
          <w:tcPr>
            <w:tcW w:w="4821" w:type="dxa"/>
            <w:gridSpan w:val="4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5211" w:type="dxa"/>
            <w:gridSpan w:val="5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gridAfter w:val="14"/>
          <w:wAfter w:w="1540" w:type="dxa"/>
          <w:trHeight w:val="2055" w:hRule="atLeast"/>
        </w:trPr>
        <w:tc>
          <w:tcPr>
            <w:tcW w:w="2334" w:type="dxa"/>
            <w:gridSpan w:val="1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821" w:type="dxa"/>
            <w:gridSpan w:val="40"/>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保障各村办公运转支出</w:t>
            </w:r>
          </w:p>
        </w:tc>
        <w:tc>
          <w:tcPr>
            <w:tcW w:w="5211" w:type="dxa"/>
            <w:gridSpan w:val="59"/>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保障各村办公运转支出</w:t>
            </w:r>
          </w:p>
        </w:tc>
      </w:tr>
      <w:tr>
        <w:tblPrEx>
          <w:tblCellMar>
            <w:top w:w="0" w:type="dxa"/>
            <w:left w:w="108" w:type="dxa"/>
            <w:bottom w:w="0" w:type="dxa"/>
            <w:right w:w="108" w:type="dxa"/>
          </w:tblCellMar>
        </w:tblPrEx>
        <w:trPr>
          <w:gridAfter w:val="14"/>
          <w:wAfter w:w="1540" w:type="dxa"/>
          <w:trHeight w:val="529" w:hRule="atLeast"/>
        </w:trPr>
        <w:tc>
          <w:tcPr>
            <w:tcW w:w="2334"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06" w:type="dxa"/>
            <w:gridSpan w:val="2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762" w:type="dxa"/>
            <w:gridSpan w:val="10"/>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953"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762"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528" w:type="dxa"/>
            <w:gridSpan w:val="1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分值/权重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（百分制）</w:t>
            </w:r>
          </w:p>
        </w:tc>
        <w:tc>
          <w:tcPr>
            <w:tcW w:w="735"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186" w:type="dxa"/>
            <w:gridSpan w:val="2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扣分原因分析</w:t>
            </w:r>
          </w:p>
        </w:tc>
      </w:tr>
      <w:tr>
        <w:tblPrEx>
          <w:tblCellMar>
            <w:top w:w="0" w:type="dxa"/>
            <w:left w:w="108" w:type="dxa"/>
            <w:bottom w:w="0" w:type="dxa"/>
            <w:right w:w="108" w:type="dxa"/>
          </w:tblCellMar>
        </w:tblPrEx>
        <w:trPr>
          <w:gridAfter w:val="14"/>
          <w:wAfter w:w="1540" w:type="dxa"/>
          <w:trHeight w:val="409" w:hRule="atLeast"/>
        </w:trPr>
        <w:tc>
          <w:tcPr>
            <w:tcW w:w="8917" w:type="dxa"/>
            <w:gridSpan w:val="67"/>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    分</w:t>
            </w:r>
          </w:p>
        </w:tc>
        <w:tc>
          <w:tcPr>
            <w:tcW w:w="152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35"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186" w:type="dxa"/>
            <w:gridSpan w:val="2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4"/>
          <w:wAfter w:w="1540" w:type="dxa"/>
          <w:trHeight w:val="409" w:hRule="atLeast"/>
        </w:trPr>
        <w:tc>
          <w:tcPr>
            <w:tcW w:w="5202" w:type="dxa"/>
            <w:gridSpan w:val="43"/>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预算执行率（10分）</w:t>
            </w:r>
          </w:p>
        </w:tc>
        <w:tc>
          <w:tcPr>
            <w:tcW w:w="1953" w:type="dxa"/>
            <w:gridSpan w:val="9"/>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762"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　</w:t>
            </w:r>
          </w:p>
        </w:tc>
        <w:tc>
          <w:tcPr>
            <w:tcW w:w="152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35"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86" w:type="dxa"/>
            <w:gridSpan w:val="2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4"/>
          <w:wAfter w:w="1540" w:type="dxa"/>
          <w:trHeight w:val="409" w:hRule="atLeast"/>
        </w:trPr>
        <w:tc>
          <w:tcPr>
            <w:tcW w:w="2334" w:type="dxa"/>
            <w:gridSpan w:val="12"/>
            <w:vMerge w:val="restart"/>
            <w:tcBorders>
              <w:top w:val="nil"/>
              <w:left w:val="single" w:color="auto" w:sz="4" w:space="0"/>
              <w:bottom w:val="nil"/>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产出指标</w:t>
            </w:r>
          </w:p>
        </w:tc>
        <w:tc>
          <w:tcPr>
            <w:tcW w:w="1106" w:type="dxa"/>
            <w:gridSpan w:val="21"/>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数量指标</w:t>
            </w:r>
          </w:p>
        </w:tc>
        <w:tc>
          <w:tcPr>
            <w:tcW w:w="1762" w:type="dxa"/>
            <w:gridSpan w:val="10"/>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4个村</w:t>
            </w:r>
          </w:p>
        </w:tc>
        <w:tc>
          <w:tcPr>
            <w:tcW w:w="1953" w:type="dxa"/>
            <w:gridSpan w:val="9"/>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155000</w:t>
            </w:r>
          </w:p>
        </w:tc>
        <w:tc>
          <w:tcPr>
            <w:tcW w:w="1762"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155000</w:t>
            </w:r>
          </w:p>
        </w:tc>
        <w:tc>
          <w:tcPr>
            <w:tcW w:w="152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735"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w:t>
            </w:r>
          </w:p>
        </w:tc>
        <w:tc>
          <w:tcPr>
            <w:tcW w:w="1186" w:type="dxa"/>
            <w:gridSpan w:val="2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4"/>
          <w:wAfter w:w="1540" w:type="dxa"/>
          <w:trHeight w:val="409" w:hRule="atLeast"/>
        </w:trPr>
        <w:tc>
          <w:tcPr>
            <w:tcW w:w="2334" w:type="dxa"/>
            <w:gridSpan w:val="12"/>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106" w:type="dxa"/>
            <w:gridSpan w:val="21"/>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质量指标</w:t>
            </w:r>
          </w:p>
        </w:tc>
        <w:tc>
          <w:tcPr>
            <w:tcW w:w="1762" w:type="dxa"/>
            <w:gridSpan w:val="10"/>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预算准确率</w:t>
            </w:r>
          </w:p>
        </w:tc>
        <w:tc>
          <w:tcPr>
            <w:tcW w:w="1953" w:type="dxa"/>
            <w:gridSpan w:val="9"/>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62"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52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35"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186" w:type="dxa"/>
            <w:gridSpan w:val="2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4"/>
          <w:wAfter w:w="1540" w:type="dxa"/>
          <w:trHeight w:val="409" w:hRule="atLeast"/>
        </w:trPr>
        <w:tc>
          <w:tcPr>
            <w:tcW w:w="2334" w:type="dxa"/>
            <w:gridSpan w:val="1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效益指标</w:t>
            </w:r>
          </w:p>
        </w:tc>
        <w:tc>
          <w:tcPr>
            <w:tcW w:w="1106" w:type="dxa"/>
            <w:gridSpan w:val="21"/>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社会效益指标</w:t>
            </w:r>
          </w:p>
        </w:tc>
        <w:tc>
          <w:tcPr>
            <w:tcW w:w="1762" w:type="dxa"/>
            <w:gridSpan w:val="10"/>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1953" w:type="dxa"/>
            <w:gridSpan w:val="9"/>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62"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528"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735"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186" w:type="dxa"/>
            <w:gridSpan w:val="2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4"/>
          <w:wAfter w:w="1540" w:type="dxa"/>
          <w:trHeight w:val="758" w:hRule="atLeast"/>
        </w:trPr>
        <w:tc>
          <w:tcPr>
            <w:tcW w:w="12366" w:type="dxa"/>
            <w:gridSpan w:val="111"/>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说明：1.预算执行率得分=全年执行数/全年预算数*10分；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2.“产出指标、效益指标、满意度指标”一共90分，对应的是一体化系统中单位编制的项目绩效目标。</w:t>
            </w:r>
          </w:p>
        </w:tc>
      </w:tr>
      <w:tr>
        <w:tblPrEx>
          <w:tblCellMar>
            <w:top w:w="0" w:type="dxa"/>
            <w:left w:w="108" w:type="dxa"/>
            <w:bottom w:w="0" w:type="dxa"/>
            <w:right w:w="108" w:type="dxa"/>
          </w:tblCellMar>
        </w:tblPrEx>
        <w:trPr>
          <w:gridAfter w:val="14"/>
          <w:wAfter w:w="1540" w:type="dxa"/>
          <w:trHeight w:val="758" w:hRule="atLeast"/>
        </w:trPr>
        <w:tc>
          <w:tcPr>
            <w:tcW w:w="12366" w:type="dxa"/>
            <w:gridSpan w:val="111"/>
            <w:tcBorders>
              <w:top w:val="single" w:color="auto" w:sz="4" w:space="0"/>
              <w:left w:val="nil"/>
              <w:bottom w:val="nil"/>
              <w:right w:val="nil"/>
            </w:tcBorders>
            <w:shd w:val="clear" w:color="auto" w:fill="auto"/>
            <w:vAlign w:val="center"/>
          </w:tcPr>
          <w:p>
            <w:pPr>
              <w:widowControl/>
              <w:jc w:val="center"/>
              <w:rPr>
                <w:rFonts w:ascii="宋体" w:hAnsi="宋体" w:cs="宋体"/>
                <w:b/>
                <w:bCs/>
                <w:color w:val="000000"/>
                <w:kern w:val="0"/>
                <w:sz w:val="36"/>
                <w:szCs w:val="36"/>
              </w:rPr>
            </w:pPr>
          </w:p>
          <w:p>
            <w:pPr>
              <w:widowControl/>
              <w:jc w:val="center"/>
              <w:rPr>
                <w:rFonts w:ascii="宋体" w:hAnsi="宋体" w:cs="宋体"/>
                <w:color w:val="000000"/>
                <w:kern w:val="0"/>
                <w:sz w:val="22"/>
                <w:szCs w:val="22"/>
              </w:rPr>
            </w:pPr>
            <w:r>
              <w:rPr>
                <w:rFonts w:hint="eastAsia" w:ascii="宋体" w:hAnsi="宋体" w:cs="宋体"/>
                <w:b/>
                <w:bCs/>
                <w:color w:val="000000"/>
                <w:kern w:val="0"/>
                <w:sz w:val="36"/>
                <w:szCs w:val="36"/>
              </w:rPr>
              <w:t>区级项目支出绩效自评表</w:t>
            </w:r>
          </w:p>
        </w:tc>
      </w:tr>
      <w:tr>
        <w:tblPrEx>
          <w:tblCellMar>
            <w:top w:w="0" w:type="dxa"/>
            <w:left w:w="108" w:type="dxa"/>
            <w:bottom w:w="0" w:type="dxa"/>
            <w:right w:w="108" w:type="dxa"/>
          </w:tblCellMar>
        </w:tblPrEx>
        <w:trPr>
          <w:gridAfter w:val="4"/>
          <w:wAfter w:w="640" w:type="dxa"/>
          <w:trHeight w:val="409" w:hRule="atLeast"/>
        </w:trPr>
        <w:tc>
          <w:tcPr>
            <w:tcW w:w="18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5983" w:type="dxa"/>
            <w:gridSpan w:val="54"/>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石桥新村乡村振兴示范点经费</w:t>
            </w:r>
          </w:p>
        </w:tc>
        <w:tc>
          <w:tcPr>
            <w:tcW w:w="1531"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w:t>
            </w:r>
          </w:p>
        </w:tc>
        <w:tc>
          <w:tcPr>
            <w:tcW w:w="3922" w:type="dxa"/>
            <w:gridSpan w:val="4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w:t>
            </w:r>
          </w:p>
        </w:tc>
      </w:tr>
      <w:tr>
        <w:tblPrEx>
          <w:tblCellMar>
            <w:top w:w="0" w:type="dxa"/>
            <w:left w:w="108" w:type="dxa"/>
            <w:bottom w:w="0" w:type="dxa"/>
            <w:right w:w="108" w:type="dxa"/>
          </w:tblCellMar>
        </w:tblPrEx>
        <w:trPr>
          <w:gridAfter w:val="4"/>
          <w:wAfter w:w="640" w:type="dxa"/>
          <w:trHeight w:val="409" w:hRule="atLeast"/>
        </w:trPr>
        <w:tc>
          <w:tcPr>
            <w:tcW w:w="183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5983" w:type="dxa"/>
            <w:gridSpan w:val="54"/>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c>
          <w:tcPr>
            <w:tcW w:w="1531" w:type="dxa"/>
            <w:gridSpan w:val="1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3922" w:type="dxa"/>
            <w:gridSpan w:val="49"/>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乐山市市中区棉竹镇人民政府</w:t>
            </w:r>
          </w:p>
        </w:tc>
      </w:tr>
      <w:tr>
        <w:tblPrEx>
          <w:tblCellMar>
            <w:top w:w="0" w:type="dxa"/>
            <w:left w:w="108" w:type="dxa"/>
            <w:bottom w:w="0" w:type="dxa"/>
            <w:right w:w="108" w:type="dxa"/>
          </w:tblCellMar>
        </w:tblPrEx>
        <w:trPr>
          <w:gridAfter w:val="4"/>
          <w:wAfter w:w="640" w:type="dxa"/>
          <w:trHeight w:val="409" w:hRule="atLeast"/>
        </w:trPr>
        <w:tc>
          <w:tcPr>
            <w:tcW w:w="13266" w:type="dxa"/>
            <w:gridSpan w:val="121"/>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项目资金（万元）</w:t>
            </w:r>
          </w:p>
        </w:tc>
      </w:tr>
      <w:tr>
        <w:tblPrEx>
          <w:tblCellMar>
            <w:top w:w="0" w:type="dxa"/>
            <w:left w:w="108" w:type="dxa"/>
            <w:bottom w:w="0" w:type="dxa"/>
            <w:right w:w="108" w:type="dxa"/>
          </w:tblCellMar>
        </w:tblPrEx>
        <w:trPr>
          <w:gridAfter w:val="4"/>
          <w:wAfter w:w="640" w:type="dxa"/>
          <w:trHeight w:val="409" w:hRule="atLeast"/>
        </w:trPr>
        <w:tc>
          <w:tcPr>
            <w:tcW w:w="2653" w:type="dxa"/>
            <w:gridSpan w:val="16"/>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5160" w:type="dxa"/>
            <w:gridSpan w:val="41"/>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2913" w:type="dxa"/>
            <w:gridSpan w:val="2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2540" w:type="dxa"/>
            <w:gridSpan w:val="3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r>
      <w:tr>
        <w:tblPrEx>
          <w:tblCellMar>
            <w:top w:w="0" w:type="dxa"/>
            <w:left w:w="108" w:type="dxa"/>
            <w:bottom w:w="0" w:type="dxa"/>
            <w:right w:w="108" w:type="dxa"/>
          </w:tblCellMar>
        </w:tblPrEx>
        <w:trPr>
          <w:gridAfter w:val="4"/>
          <w:wAfter w:w="640" w:type="dxa"/>
          <w:trHeight w:val="409" w:hRule="atLeast"/>
        </w:trPr>
        <w:tc>
          <w:tcPr>
            <w:tcW w:w="2653" w:type="dxa"/>
            <w:gridSpan w:val="1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5160" w:type="dxa"/>
            <w:gridSpan w:val="4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36.27</w:t>
            </w:r>
          </w:p>
        </w:tc>
        <w:tc>
          <w:tcPr>
            <w:tcW w:w="2913" w:type="dxa"/>
            <w:gridSpan w:val="2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36.27</w:t>
            </w:r>
          </w:p>
        </w:tc>
        <w:tc>
          <w:tcPr>
            <w:tcW w:w="2540" w:type="dxa"/>
            <w:gridSpan w:val="3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After w:val="4"/>
          <w:wAfter w:w="640" w:type="dxa"/>
          <w:trHeight w:val="409" w:hRule="atLeast"/>
        </w:trPr>
        <w:tc>
          <w:tcPr>
            <w:tcW w:w="2653" w:type="dxa"/>
            <w:gridSpan w:val="1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其中：财政拨款</w:t>
            </w:r>
          </w:p>
        </w:tc>
        <w:tc>
          <w:tcPr>
            <w:tcW w:w="5160" w:type="dxa"/>
            <w:gridSpan w:val="4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36.27</w:t>
            </w:r>
          </w:p>
        </w:tc>
        <w:tc>
          <w:tcPr>
            <w:tcW w:w="2913" w:type="dxa"/>
            <w:gridSpan w:val="2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36.27</w:t>
            </w:r>
          </w:p>
        </w:tc>
        <w:tc>
          <w:tcPr>
            <w:tcW w:w="2540" w:type="dxa"/>
            <w:gridSpan w:val="3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After w:val="4"/>
          <w:wAfter w:w="640" w:type="dxa"/>
          <w:trHeight w:val="409" w:hRule="atLeast"/>
        </w:trPr>
        <w:tc>
          <w:tcPr>
            <w:tcW w:w="2653" w:type="dxa"/>
            <w:gridSpan w:val="1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5160" w:type="dxa"/>
            <w:gridSpan w:val="4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913" w:type="dxa"/>
            <w:gridSpan w:val="2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540" w:type="dxa"/>
            <w:gridSpan w:val="3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gridAfter w:val="4"/>
          <w:wAfter w:w="640" w:type="dxa"/>
          <w:trHeight w:val="409" w:hRule="atLeast"/>
        </w:trPr>
        <w:tc>
          <w:tcPr>
            <w:tcW w:w="1830" w:type="dxa"/>
            <w:gridSpan w:val="3"/>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年度总体目标</w:t>
            </w:r>
          </w:p>
        </w:tc>
        <w:tc>
          <w:tcPr>
            <w:tcW w:w="7514" w:type="dxa"/>
            <w:gridSpan w:val="6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3922" w:type="dxa"/>
            <w:gridSpan w:val="4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gridAfter w:val="4"/>
          <w:wAfter w:w="640" w:type="dxa"/>
          <w:trHeight w:val="2235" w:hRule="atLeast"/>
        </w:trPr>
        <w:tc>
          <w:tcPr>
            <w:tcW w:w="183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514" w:type="dxa"/>
            <w:gridSpan w:val="69"/>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为加快推进乡村战略实施，突出规划引领和示范引领，经区政府九届第102次常务会通过，按排乡村振兴示范点前期资金，本年投入资金362720元，用于原石桥冲新村乡村振兴示范点期打造。</w:t>
            </w:r>
          </w:p>
        </w:tc>
        <w:tc>
          <w:tcPr>
            <w:tcW w:w="3922" w:type="dxa"/>
            <w:gridSpan w:val="49"/>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为加快推进乡村战略实施，突出规划引领和示范引领，经区政府九届第102次常务会通过，按排乡村振兴示范点前期资金，本年投入资金362720元，用于原石桥冲新村乡村振兴示范点期打造。</w:t>
            </w:r>
          </w:p>
        </w:tc>
      </w:tr>
      <w:tr>
        <w:tblPrEx>
          <w:tblCellMar>
            <w:top w:w="0" w:type="dxa"/>
            <w:left w:w="108" w:type="dxa"/>
            <w:bottom w:w="0" w:type="dxa"/>
            <w:right w:w="108" w:type="dxa"/>
          </w:tblCellMar>
        </w:tblPrEx>
        <w:trPr>
          <w:gridAfter w:val="4"/>
          <w:wAfter w:w="640" w:type="dxa"/>
          <w:trHeight w:val="1065" w:hRule="atLeast"/>
        </w:trPr>
        <w:tc>
          <w:tcPr>
            <w:tcW w:w="183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646" w:type="dxa"/>
            <w:gridSpan w:val="3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4337" w:type="dxa"/>
            <w:gridSpan w:val="2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531"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382" w:type="dxa"/>
            <w:gridSpan w:val="1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034" w:type="dxa"/>
            <w:gridSpan w:val="1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分值/权重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（百分制）</w:t>
            </w:r>
          </w:p>
        </w:tc>
        <w:tc>
          <w:tcPr>
            <w:tcW w:w="576" w:type="dxa"/>
            <w:gridSpan w:val="1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3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扣分原因分析</w:t>
            </w:r>
          </w:p>
        </w:tc>
      </w:tr>
      <w:tr>
        <w:tblPrEx>
          <w:tblCellMar>
            <w:top w:w="0" w:type="dxa"/>
            <w:left w:w="108" w:type="dxa"/>
            <w:bottom w:w="0" w:type="dxa"/>
            <w:right w:w="108" w:type="dxa"/>
          </w:tblCellMar>
        </w:tblPrEx>
        <w:trPr>
          <w:gridAfter w:val="4"/>
          <w:wAfter w:w="640" w:type="dxa"/>
          <w:trHeight w:val="409" w:hRule="atLeast"/>
        </w:trPr>
        <w:tc>
          <w:tcPr>
            <w:tcW w:w="10726" w:type="dxa"/>
            <w:gridSpan w:val="8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    分</w:t>
            </w:r>
          </w:p>
        </w:tc>
        <w:tc>
          <w:tcPr>
            <w:tcW w:w="1034"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7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930" w:type="dxa"/>
            <w:gridSpan w:val="11"/>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4"/>
          <w:wAfter w:w="640" w:type="dxa"/>
          <w:trHeight w:val="409" w:hRule="atLeast"/>
        </w:trPr>
        <w:tc>
          <w:tcPr>
            <w:tcW w:w="7813" w:type="dxa"/>
            <w:gridSpan w:val="57"/>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预算执行率（10分）</w:t>
            </w:r>
          </w:p>
        </w:tc>
        <w:tc>
          <w:tcPr>
            <w:tcW w:w="1531"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382" w:type="dxa"/>
            <w:gridSpan w:val="1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　</w:t>
            </w:r>
          </w:p>
        </w:tc>
        <w:tc>
          <w:tcPr>
            <w:tcW w:w="1034"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30" w:type="dxa"/>
            <w:gridSpan w:val="11"/>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4"/>
          <w:wAfter w:w="640" w:type="dxa"/>
          <w:trHeight w:val="495" w:hRule="atLeast"/>
        </w:trPr>
        <w:tc>
          <w:tcPr>
            <w:tcW w:w="1830" w:type="dxa"/>
            <w:gridSpan w:val="3"/>
            <w:vMerge w:val="restart"/>
            <w:tcBorders>
              <w:top w:val="nil"/>
              <w:left w:val="single" w:color="auto" w:sz="4" w:space="0"/>
              <w:bottom w:val="nil"/>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产出指标</w:t>
            </w: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数量指标</w:t>
            </w:r>
          </w:p>
        </w:tc>
        <w:tc>
          <w:tcPr>
            <w:tcW w:w="4337"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示范点个数</w:t>
            </w:r>
          </w:p>
        </w:tc>
        <w:tc>
          <w:tcPr>
            <w:tcW w:w="1531"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382"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034"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30" w:type="dxa"/>
            <w:gridSpan w:val="11"/>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4"/>
          <w:wAfter w:w="640" w:type="dxa"/>
          <w:trHeight w:val="495" w:hRule="atLeast"/>
        </w:trPr>
        <w:tc>
          <w:tcPr>
            <w:tcW w:w="1830" w:type="dxa"/>
            <w:gridSpan w:val="3"/>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质量指标</w:t>
            </w:r>
          </w:p>
        </w:tc>
        <w:tc>
          <w:tcPr>
            <w:tcW w:w="4337"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乡村振兴示范点打造经费支付准确率</w:t>
            </w:r>
          </w:p>
        </w:tc>
        <w:tc>
          <w:tcPr>
            <w:tcW w:w="1531"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82"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34"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30" w:type="dxa"/>
            <w:gridSpan w:val="11"/>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4"/>
          <w:wAfter w:w="640" w:type="dxa"/>
          <w:trHeight w:val="495" w:hRule="atLeast"/>
        </w:trPr>
        <w:tc>
          <w:tcPr>
            <w:tcW w:w="1830" w:type="dxa"/>
            <w:gridSpan w:val="3"/>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4337"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乡村振兴示范点打造经费支付及时率</w:t>
            </w:r>
          </w:p>
        </w:tc>
        <w:tc>
          <w:tcPr>
            <w:tcW w:w="1531"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82"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34"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30" w:type="dxa"/>
            <w:gridSpan w:val="11"/>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4"/>
          <w:wAfter w:w="640" w:type="dxa"/>
          <w:trHeight w:val="495" w:hRule="atLeast"/>
        </w:trPr>
        <w:tc>
          <w:tcPr>
            <w:tcW w:w="1830" w:type="dxa"/>
            <w:gridSpan w:val="3"/>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4337"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每个示范点打造经费标准</w:t>
            </w:r>
          </w:p>
        </w:tc>
        <w:tc>
          <w:tcPr>
            <w:tcW w:w="1531"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82"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34"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30" w:type="dxa"/>
            <w:gridSpan w:val="11"/>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4"/>
          <w:wAfter w:w="640" w:type="dxa"/>
          <w:trHeight w:val="495" w:hRule="atLeast"/>
        </w:trPr>
        <w:tc>
          <w:tcPr>
            <w:tcW w:w="1830" w:type="dxa"/>
            <w:gridSpan w:val="3"/>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效益指标</w:t>
            </w: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社会效益指标</w:t>
            </w:r>
          </w:p>
        </w:tc>
        <w:tc>
          <w:tcPr>
            <w:tcW w:w="4337"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乡村振兴示范点打造经费应付尽付率</w:t>
            </w:r>
          </w:p>
        </w:tc>
        <w:tc>
          <w:tcPr>
            <w:tcW w:w="1531"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382"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34"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7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930" w:type="dxa"/>
            <w:gridSpan w:val="11"/>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4"/>
          <w:wAfter w:w="640" w:type="dxa"/>
          <w:trHeight w:val="495" w:hRule="atLeast"/>
        </w:trPr>
        <w:tc>
          <w:tcPr>
            <w:tcW w:w="183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可持续影响指标</w:t>
            </w:r>
          </w:p>
        </w:tc>
        <w:tc>
          <w:tcPr>
            <w:tcW w:w="4337" w:type="dxa"/>
            <w:gridSpan w:val="2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乡村振兴示范点打造经费管理健全性</w:t>
            </w:r>
          </w:p>
        </w:tc>
        <w:tc>
          <w:tcPr>
            <w:tcW w:w="1531"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高中低</w:t>
            </w:r>
          </w:p>
        </w:tc>
        <w:tc>
          <w:tcPr>
            <w:tcW w:w="1382"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高中低</w:t>
            </w:r>
          </w:p>
        </w:tc>
        <w:tc>
          <w:tcPr>
            <w:tcW w:w="1034"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7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930" w:type="dxa"/>
            <w:gridSpan w:val="11"/>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4"/>
          <w:wAfter w:w="640" w:type="dxa"/>
          <w:trHeight w:val="495" w:hRule="atLeast"/>
        </w:trPr>
        <w:tc>
          <w:tcPr>
            <w:tcW w:w="1830" w:type="dxa"/>
            <w:gridSpan w:val="3"/>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1646" w:type="dxa"/>
            <w:gridSpan w:val="32"/>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服务对象满意度指标</w:t>
            </w:r>
          </w:p>
        </w:tc>
        <w:tc>
          <w:tcPr>
            <w:tcW w:w="4337" w:type="dxa"/>
            <w:gridSpan w:val="2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服务群众满意度</w:t>
            </w:r>
          </w:p>
        </w:tc>
        <w:tc>
          <w:tcPr>
            <w:tcW w:w="1531"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1382"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优良中低差</w:t>
            </w:r>
          </w:p>
        </w:tc>
        <w:tc>
          <w:tcPr>
            <w:tcW w:w="1034" w:type="dxa"/>
            <w:gridSpan w:val="1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7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930" w:type="dxa"/>
            <w:gridSpan w:val="11"/>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4"/>
          <w:wAfter w:w="640" w:type="dxa"/>
          <w:trHeight w:val="758" w:hRule="atLeast"/>
        </w:trPr>
        <w:tc>
          <w:tcPr>
            <w:tcW w:w="13266" w:type="dxa"/>
            <w:gridSpan w:val="121"/>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说明：1.预算执行率得分=全年执行数/全年预算数*10分；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2.“产出指标、效益指标、满意度指标”一共90分，对应的是一体化系统中单位编制的项目绩效目标。</w:t>
            </w:r>
          </w:p>
        </w:tc>
      </w:tr>
      <w:tr>
        <w:tblPrEx>
          <w:tblCellMar>
            <w:top w:w="0" w:type="dxa"/>
            <w:left w:w="108" w:type="dxa"/>
            <w:bottom w:w="0" w:type="dxa"/>
            <w:right w:w="108" w:type="dxa"/>
          </w:tblCellMar>
        </w:tblPrEx>
        <w:trPr>
          <w:gridAfter w:val="4"/>
          <w:wAfter w:w="640" w:type="dxa"/>
          <w:trHeight w:val="758" w:hRule="atLeast"/>
        </w:trPr>
        <w:tc>
          <w:tcPr>
            <w:tcW w:w="13266" w:type="dxa"/>
            <w:gridSpan w:val="121"/>
            <w:tcBorders>
              <w:top w:val="single" w:color="auto" w:sz="4" w:space="0"/>
              <w:left w:val="nil"/>
              <w:bottom w:val="nil"/>
              <w:right w:val="nil"/>
            </w:tcBorders>
            <w:shd w:val="clear" w:color="auto" w:fill="auto"/>
            <w:vAlign w:val="center"/>
          </w:tcPr>
          <w:p>
            <w:pPr>
              <w:widowControl/>
              <w:jc w:val="center"/>
              <w:rPr>
                <w:rFonts w:ascii="宋体" w:hAnsi="宋体" w:cs="宋体"/>
                <w:b/>
                <w:bCs/>
                <w:color w:val="000000"/>
                <w:kern w:val="0"/>
                <w:sz w:val="36"/>
                <w:szCs w:val="36"/>
              </w:rPr>
            </w:pPr>
          </w:p>
          <w:p>
            <w:pPr>
              <w:widowControl/>
              <w:jc w:val="center"/>
              <w:rPr>
                <w:rFonts w:ascii="宋体" w:hAnsi="宋体" w:cs="宋体"/>
                <w:color w:val="000000"/>
                <w:kern w:val="0"/>
                <w:sz w:val="22"/>
                <w:szCs w:val="22"/>
              </w:rPr>
            </w:pPr>
            <w:r>
              <w:rPr>
                <w:rFonts w:hint="eastAsia" w:ascii="宋体" w:hAnsi="宋体" w:cs="宋体"/>
                <w:b/>
                <w:bCs/>
                <w:color w:val="000000"/>
                <w:kern w:val="0"/>
                <w:sz w:val="36"/>
                <w:szCs w:val="36"/>
              </w:rPr>
              <w:t>区级项目支出绩效自评表</w:t>
            </w:r>
          </w:p>
        </w:tc>
      </w:tr>
      <w:tr>
        <w:tblPrEx>
          <w:tblCellMar>
            <w:top w:w="0" w:type="dxa"/>
            <w:left w:w="108" w:type="dxa"/>
            <w:bottom w:w="0" w:type="dxa"/>
            <w:right w:w="108" w:type="dxa"/>
          </w:tblCellMar>
        </w:tblPrEx>
        <w:trPr>
          <w:gridAfter w:val="5"/>
          <w:wAfter w:w="659" w:type="dxa"/>
          <w:trHeight w:val="409" w:hRule="atLeast"/>
        </w:trPr>
        <w:tc>
          <w:tcPr>
            <w:tcW w:w="212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4814" w:type="dxa"/>
            <w:gridSpan w:val="43"/>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人居环境治理环卫包干补助资金</w:t>
            </w:r>
          </w:p>
        </w:tc>
        <w:tc>
          <w:tcPr>
            <w:tcW w:w="1780" w:type="dxa"/>
            <w:gridSpan w:val="16"/>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w:t>
            </w:r>
          </w:p>
        </w:tc>
        <w:tc>
          <w:tcPr>
            <w:tcW w:w="4525" w:type="dxa"/>
            <w:gridSpan w:val="5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w:t>
            </w:r>
          </w:p>
        </w:tc>
      </w:tr>
      <w:tr>
        <w:tblPrEx>
          <w:tblCellMar>
            <w:top w:w="0" w:type="dxa"/>
            <w:left w:w="108" w:type="dxa"/>
            <w:bottom w:w="0" w:type="dxa"/>
            <w:right w:w="108" w:type="dxa"/>
          </w:tblCellMar>
        </w:tblPrEx>
        <w:trPr>
          <w:gridAfter w:val="5"/>
          <w:wAfter w:w="659" w:type="dxa"/>
          <w:trHeight w:val="409" w:hRule="atLeast"/>
        </w:trPr>
        <w:tc>
          <w:tcPr>
            <w:tcW w:w="2128"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814" w:type="dxa"/>
            <w:gridSpan w:val="43"/>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c>
          <w:tcPr>
            <w:tcW w:w="1780" w:type="dxa"/>
            <w:gridSpan w:val="1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525" w:type="dxa"/>
            <w:gridSpan w:val="54"/>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r>
      <w:tr>
        <w:tblPrEx>
          <w:tblCellMar>
            <w:top w:w="0" w:type="dxa"/>
            <w:left w:w="108" w:type="dxa"/>
            <w:bottom w:w="0" w:type="dxa"/>
            <w:right w:w="108" w:type="dxa"/>
          </w:tblCellMar>
        </w:tblPrEx>
        <w:trPr>
          <w:gridAfter w:val="5"/>
          <w:wAfter w:w="659" w:type="dxa"/>
          <w:trHeight w:val="409" w:hRule="atLeast"/>
        </w:trPr>
        <w:tc>
          <w:tcPr>
            <w:tcW w:w="13247" w:type="dxa"/>
            <w:gridSpan w:val="120"/>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项目资金（万元）</w:t>
            </w:r>
          </w:p>
        </w:tc>
      </w:tr>
      <w:tr>
        <w:tblPrEx>
          <w:tblCellMar>
            <w:top w:w="0" w:type="dxa"/>
            <w:left w:w="108" w:type="dxa"/>
            <w:bottom w:w="0" w:type="dxa"/>
            <w:right w:w="108" w:type="dxa"/>
          </w:tblCellMar>
        </w:tblPrEx>
        <w:trPr>
          <w:gridAfter w:val="1"/>
          <w:wAfter w:w="99" w:type="dxa"/>
          <w:trHeight w:val="409" w:hRule="atLeast"/>
        </w:trPr>
        <w:tc>
          <w:tcPr>
            <w:tcW w:w="3097" w:type="dxa"/>
            <w:gridSpan w:val="28"/>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190" w:type="dxa"/>
            <w:gridSpan w:val="25"/>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3556" w:type="dxa"/>
            <w:gridSpan w:val="3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3063" w:type="dxa"/>
            <w:gridSpan w:val="3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r>
      <w:tr>
        <w:tblPrEx>
          <w:tblCellMar>
            <w:top w:w="0" w:type="dxa"/>
            <w:left w:w="108" w:type="dxa"/>
            <w:bottom w:w="0" w:type="dxa"/>
            <w:right w:w="108" w:type="dxa"/>
          </w:tblCellMar>
        </w:tblPrEx>
        <w:trPr>
          <w:gridAfter w:val="1"/>
          <w:wAfter w:w="99" w:type="dxa"/>
          <w:trHeight w:val="409" w:hRule="atLeast"/>
        </w:trPr>
        <w:tc>
          <w:tcPr>
            <w:tcW w:w="3097" w:type="dxa"/>
            <w:gridSpan w:val="2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4190" w:type="dxa"/>
            <w:gridSpan w:val="2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11.1</w:t>
            </w:r>
          </w:p>
        </w:tc>
        <w:tc>
          <w:tcPr>
            <w:tcW w:w="3556" w:type="dxa"/>
            <w:gridSpan w:val="3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11.1</w:t>
            </w:r>
          </w:p>
        </w:tc>
        <w:tc>
          <w:tcPr>
            <w:tcW w:w="3063" w:type="dxa"/>
            <w:gridSpan w:val="3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After w:val="1"/>
          <w:wAfter w:w="99" w:type="dxa"/>
          <w:trHeight w:val="409" w:hRule="atLeast"/>
        </w:trPr>
        <w:tc>
          <w:tcPr>
            <w:tcW w:w="3097" w:type="dxa"/>
            <w:gridSpan w:val="2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其中：财政拨款</w:t>
            </w:r>
          </w:p>
        </w:tc>
        <w:tc>
          <w:tcPr>
            <w:tcW w:w="4190" w:type="dxa"/>
            <w:gridSpan w:val="2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11.1</w:t>
            </w:r>
          </w:p>
        </w:tc>
        <w:tc>
          <w:tcPr>
            <w:tcW w:w="3556" w:type="dxa"/>
            <w:gridSpan w:val="3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11.1</w:t>
            </w:r>
          </w:p>
        </w:tc>
        <w:tc>
          <w:tcPr>
            <w:tcW w:w="3063" w:type="dxa"/>
            <w:gridSpan w:val="3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After w:val="1"/>
          <w:wAfter w:w="99" w:type="dxa"/>
          <w:trHeight w:val="409" w:hRule="atLeast"/>
        </w:trPr>
        <w:tc>
          <w:tcPr>
            <w:tcW w:w="3097" w:type="dxa"/>
            <w:gridSpan w:val="2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4190" w:type="dxa"/>
            <w:gridSpan w:val="2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556" w:type="dxa"/>
            <w:gridSpan w:val="3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063" w:type="dxa"/>
            <w:gridSpan w:val="3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gridAfter w:val="1"/>
          <w:wAfter w:w="99" w:type="dxa"/>
          <w:trHeight w:val="409" w:hRule="atLeast"/>
        </w:trPr>
        <w:tc>
          <w:tcPr>
            <w:tcW w:w="2233" w:type="dxa"/>
            <w:gridSpan w:val="10"/>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年度总体目标</w:t>
            </w:r>
          </w:p>
        </w:tc>
        <w:tc>
          <w:tcPr>
            <w:tcW w:w="6923" w:type="dxa"/>
            <w:gridSpan w:val="6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750" w:type="dxa"/>
            <w:gridSpan w:val="5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gridAfter w:val="1"/>
          <w:wAfter w:w="99" w:type="dxa"/>
          <w:trHeight w:val="2715" w:hRule="atLeast"/>
        </w:trPr>
        <w:tc>
          <w:tcPr>
            <w:tcW w:w="2233" w:type="dxa"/>
            <w:gridSpan w:val="10"/>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923" w:type="dxa"/>
            <w:gridSpan w:val="60"/>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本年按排预算资金11.1万元，按《乐山市市中区环境卫生长效管理工作机制（试行）》、《乐山市市中区人民政府常务会议决定事项通知》（乐中府常2009 23号）的相关文件精神，为进一步做好我镇环境卫生清理整治、垃圾清扫清运、五清行动等工用，用于保障开展环境治理、垃圾清理处理、卫生基础设施建设等工作正常运行。</w:t>
            </w:r>
          </w:p>
        </w:tc>
        <w:tc>
          <w:tcPr>
            <w:tcW w:w="4750" w:type="dxa"/>
            <w:gridSpan w:val="54"/>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本年按排预算资金11.1万元，按《乐山市市中区环境卫生长效管理工作机制（试行）》、《乐山市市中区人民政府常务会议决定事项通知》（乐中府常2009 23号）的相关文件精神，为进一步做好我镇环境卫生清理整治、垃圾清扫清运、五清行动等工用，用于保障开展环境治理、垃圾清理处理、卫生基础设施建设等工作正常运行。</w:t>
            </w:r>
          </w:p>
        </w:tc>
      </w:tr>
      <w:tr>
        <w:tblPrEx>
          <w:tblCellMar>
            <w:top w:w="0" w:type="dxa"/>
            <w:left w:w="108" w:type="dxa"/>
            <w:bottom w:w="0" w:type="dxa"/>
            <w:right w:w="108" w:type="dxa"/>
          </w:tblCellMar>
        </w:tblPrEx>
        <w:trPr>
          <w:gridAfter w:val="1"/>
          <w:wAfter w:w="99" w:type="dxa"/>
          <w:trHeight w:val="529" w:hRule="atLeast"/>
        </w:trPr>
        <w:tc>
          <w:tcPr>
            <w:tcW w:w="2233"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728" w:type="dxa"/>
            <w:gridSpan w:val="3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3326" w:type="dxa"/>
            <w:gridSpan w:val="1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869" w:type="dxa"/>
            <w:gridSpan w:val="1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687" w:type="dxa"/>
            <w:gridSpan w:val="1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462" w:type="dxa"/>
            <w:gridSpan w:val="2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分值/权重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（百分制）</w:t>
            </w:r>
          </w:p>
        </w:tc>
        <w:tc>
          <w:tcPr>
            <w:tcW w:w="703"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98"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扣分原因分析</w:t>
            </w:r>
          </w:p>
        </w:tc>
      </w:tr>
      <w:tr>
        <w:tblPrEx>
          <w:tblCellMar>
            <w:top w:w="0" w:type="dxa"/>
            <w:left w:w="108" w:type="dxa"/>
            <w:bottom w:w="0" w:type="dxa"/>
            <w:right w:w="108" w:type="dxa"/>
          </w:tblCellMar>
        </w:tblPrEx>
        <w:trPr>
          <w:gridAfter w:val="1"/>
          <w:wAfter w:w="99" w:type="dxa"/>
          <w:trHeight w:val="409" w:hRule="atLeast"/>
        </w:trPr>
        <w:tc>
          <w:tcPr>
            <w:tcW w:w="10843" w:type="dxa"/>
            <w:gridSpan w:val="87"/>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    分</w:t>
            </w:r>
          </w:p>
        </w:tc>
        <w:tc>
          <w:tcPr>
            <w:tcW w:w="1462" w:type="dxa"/>
            <w:gridSpan w:val="2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3" w:type="dxa"/>
            <w:gridSpan w:val="9"/>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898" w:type="dxa"/>
            <w:gridSpan w:val="7"/>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99" w:type="dxa"/>
          <w:trHeight w:val="409" w:hRule="atLeast"/>
        </w:trPr>
        <w:tc>
          <w:tcPr>
            <w:tcW w:w="7287" w:type="dxa"/>
            <w:gridSpan w:val="53"/>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预算执行率（10分）</w:t>
            </w:r>
          </w:p>
        </w:tc>
        <w:tc>
          <w:tcPr>
            <w:tcW w:w="1869" w:type="dxa"/>
            <w:gridSpan w:val="17"/>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687" w:type="dxa"/>
            <w:gridSpan w:val="17"/>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　</w:t>
            </w:r>
          </w:p>
        </w:tc>
        <w:tc>
          <w:tcPr>
            <w:tcW w:w="1462" w:type="dxa"/>
            <w:gridSpan w:val="2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3" w:type="dxa"/>
            <w:gridSpan w:val="9"/>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98"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99" w:type="dxa"/>
          <w:trHeight w:val="600" w:hRule="atLeast"/>
        </w:trPr>
        <w:tc>
          <w:tcPr>
            <w:tcW w:w="2233" w:type="dxa"/>
            <w:gridSpan w:val="10"/>
            <w:vMerge w:val="restart"/>
            <w:tcBorders>
              <w:top w:val="nil"/>
              <w:left w:val="single" w:color="auto" w:sz="4" w:space="0"/>
              <w:bottom w:val="nil"/>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产出指标</w:t>
            </w:r>
          </w:p>
        </w:tc>
        <w:tc>
          <w:tcPr>
            <w:tcW w:w="1728" w:type="dxa"/>
            <w:gridSpan w:val="31"/>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数量指标</w:t>
            </w:r>
          </w:p>
        </w:tc>
        <w:tc>
          <w:tcPr>
            <w:tcW w:w="332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经费保障的村社区个数</w:t>
            </w:r>
          </w:p>
        </w:tc>
        <w:tc>
          <w:tcPr>
            <w:tcW w:w="1869"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687"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462" w:type="dxa"/>
            <w:gridSpan w:val="2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3" w:type="dxa"/>
            <w:gridSpan w:val="9"/>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98"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99" w:type="dxa"/>
          <w:trHeight w:val="600" w:hRule="atLeast"/>
        </w:trPr>
        <w:tc>
          <w:tcPr>
            <w:tcW w:w="2233" w:type="dxa"/>
            <w:gridSpan w:val="10"/>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728" w:type="dxa"/>
            <w:gridSpan w:val="31"/>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质量指标</w:t>
            </w:r>
          </w:p>
        </w:tc>
        <w:tc>
          <w:tcPr>
            <w:tcW w:w="332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经费保障应付尽付率</w:t>
            </w:r>
          </w:p>
        </w:tc>
        <w:tc>
          <w:tcPr>
            <w:tcW w:w="1869"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687"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62" w:type="dxa"/>
            <w:gridSpan w:val="2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3" w:type="dxa"/>
            <w:gridSpan w:val="9"/>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898"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99" w:type="dxa"/>
          <w:trHeight w:val="600" w:hRule="atLeast"/>
        </w:trPr>
        <w:tc>
          <w:tcPr>
            <w:tcW w:w="2233" w:type="dxa"/>
            <w:gridSpan w:val="10"/>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728" w:type="dxa"/>
            <w:gridSpan w:val="31"/>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332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经费保障支付准确率</w:t>
            </w:r>
          </w:p>
        </w:tc>
        <w:tc>
          <w:tcPr>
            <w:tcW w:w="1869"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687"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62" w:type="dxa"/>
            <w:gridSpan w:val="2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3" w:type="dxa"/>
            <w:gridSpan w:val="9"/>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98"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99" w:type="dxa"/>
          <w:trHeight w:val="600" w:hRule="atLeast"/>
        </w:trPr>
        <w:tc>
          <w:tcPr>
            <w:tcW w:w="2233" w:type="dxa"/>
            <w:gridSpan w:val="10"/>
            <w:tcBorders>
              <w:top w:val="single" w:color="auto" w:sz="4" w:space="0"/>
              <w:left w:val="single" w:color="auto" w:sz="4" w:space="0"/>
              <w:bottom w:val="nil"/>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效益指标</w:t>
            </w:r>
          </w:p>
        </w:tc>
        <w:tc>
          <w:tcPr>
            <w:tcW w:w="1728" w:type="dxa"/>
            <w:gridSpan w:val="31"/>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社会效益指标</w:t>
            </w:r>
          </w:p>
        </w:tc>
        <w:tc>
          <w:tcPr>
            <w:tcW w:w="332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人居环境治理完成情况</w:t>
            </w:r>
          </w:p>
        </w:tc>
        <w:tc>
          <w:tcPr>
            <w:tcW w:w="1869"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好</w:t>
            </w:r>
          </w:p>
        </w:tc>
        <w:tc>
          <w:tcPr>
            <w:tcW w:w="1687"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好</w:t>
            </w:r>
          </w:p>
        </w:tc>
        <w:tc>
          <w:tcPr>
            <w:tcW w:w="1462" w:type="dxa"/>
            <w:gridSpan w:val="2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3" w:type="dxa"/>
            <w:gridSpan w:val="9"/>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898"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99" w:type="dxa"/>
          <w:trHeight w:val="600" w:hRule="atLeast"/>
        </w:trPr>
        <w:tc>
          <w:tcPr>
            <w:tcW w:w="2233" w:type="dxa"/>
            <w:gridSpan w:val="10"/>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1728" w:type="dxa"/>
            <w:gridSpan w:val="31"/>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服务对象满意度指标</w:t>
            </w:r>
          </w:p>
        </w:tc>
        <w:tc>
          <w:tcPr>
            <w:tcW w:w="3326" w:type="dxa"/>
            <w:gridSpan w:val="1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服务群众满意度</w:t>
            </w:r>
          </w:p>
        </w:tc>
        <w:tc>
          <w:tcPr>
            <w:tcW w:w="1869"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687"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462" w:type="dxa"/>
            <w:gridSpan w:val="2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3" w:type="dxa"/>
            <w:gridSpan w:val="9"/>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98"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99" w:type="dxa"/>
          <w:trHeight w:val="600" w:hRule="atLeast"/>
        </w:trPr>
        <w:tc>
          <w:tcPr>
            <w:tcW w:w="2233" w:type="dxa"/>
            <w:gridSpan w:val="10"/>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728" w:type="dxa"/>
            <w:gridSpan w:val="31"/>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经济成本指标</w:t>
            </w:r>
          </w:p>
        </w:tc>
        <w:tc>
          <w:tcPr>
            <w:tcW w:w="3326" w:type="dxa"/>
            <w:gridSpan w:val="1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经费预算额度</w:t>
            </w:r>
          </w:p>
        </w:tc>
        <w:tc>
          <w:tcPr>
            <w:tcW w:w="1869"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111000</w:t>
            </w:r>
          </w:p>
        </w:tc>
        <w:tc>
          <w:tcPr>
            <w:tcW w:w="1687"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111000</w:t>
            </w:r>
          </w:p>
        </w:tc>
        <w:tc>
          <w:tcPr>
            <w:tcW w:w="1462" w:type="dxa"/>
            <w:gridSpan w:val="21"/>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3" w:type="dxa"/>
            <w:gridSpan w:val="9"/>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898" w:type="dxa"/>
            <w:gridSpan w:val="7"/>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99" w:type="dxa"/>
          <w:trHeight w:val="758" w:hRule="atLeast"/>
        </w:trPr>
        <w:tc>
          <w:tcPr>
            <w:tcW w:w="13906" w:type="dxa"/>
            <w:gridSpan w:val="124"/>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说明：1.预算执行率得分=全年执行数/全年预算数*10分；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2.“产出指标、效益指标、满意度指标”一共90分，对应的是一体化系统中单位编制的项目绩效目标。</w:t>
            </w:r>
          </w:p>
        </w:tc>
      </w:tr>
      <w:tr>
        <w:tblPrEx>
          <w:tblCellMar>
            <w:top w:w="0" w:type="dxa"/>
            <w:left w:w="108" w:type="dxa"/>
            <w:bottom w:w="0" w:type="dxa"/>
            <w:right w:w="108" w:type="dxa"/>
          </w:tblCellMar>
        </w:tblPrEx>
        <w:trPr>
          <w:gridAfter w:val="1"/>
          <w:wAfter w:w="99" w:type="dxa"/>
          <w:trHeight w:val="758" w:hRule="atLeast"/>
        </w:trPr>
        <w:tc>
          <w:tcPr>
            <w:tcW w:w="13906" w:type="dxa"/>
            <w:gridSpan w:val="124"/>
            <w:tcBorders>
              <w:top w:val="single" w:color="auto" w:sz="4" w:space="0"/>
              <w:left w:val="nil"/>
              <w:bottom w:val="nil"/>
              <w:right w:val="nil"/>
            </w:tcBorders>
            <w:shd w:val="clear" w:color="auto" w:fill="auto"/>
            <w:vAlign w:val="center"/>
          </w:tcPr>
          <w:p>
            <w:pPr>
              <w:widowControl/>
              <w:jc w:val="center"/>
              <w:rPr>
                <w:rFonts w:ascii="宋体" w:hAnsi="宋体" w:cs="宋体"/>
                <w:b/>
                <w:bCs/>
                <w:color w:val="000000"/>
                <w:kern w:val="0"/>
                <w:sz w:val="36"/>
                <w:szCs w:val="36"/>
              </w:rPr>
            </w:pPr>
          </w:p>
          <w:p>
            <w:pPr>
              <w:widowControl/>
              <w:jc w:val="center"/>
              <w:rPr>
                <w:rFonts w:ascii="宋体" w:hAnsi="宋体" w:cs="宋体"/>
                <w:color w:val="000000"/>
                <w:kern w:val="0"/>
                <w:sz w:val="22"/>
                <w:szCs w:val="22"/>
              </w:rPr>
            </w:pPr>
            <w:r>
              <w:rPr>
                <w:rFonts w:hint="eastAsia" w:ascii="宋体" w:hAnsi="宋体" w:cs="宋体"/>
                <w:b/>
                <w:bCs/>
                <w:color w:val="000000"/>
                <w:kern w:val="0"/>
                <w:sz w:val="36"/>
                <w:szCs w:val="36"/>
              </w:rPr>
              <w:t>区级项目支出绩效自评表</w:t>
            </w:r>
          </w:p>
        </w:tc>
      </w:tr>
      <w:tr>
        <w:tblPrEx>
          <w:tblCellMar>
            <w:top w:w="0" w:type="dxa"/>
            <w:left w:w="108" w:type="dxa"/>
            <w:bottom w:w="0" w:type="dxa"/>
            <w:right w:w="108" w:type="dxa"/>
          </w:tblCellMar>
        </w:tblPrEx>
        <w:trPr>
          <w:gridAfter w:val="7"/>
          <w:wAfter w:w="719" w:type="dxa"/>
          <w:trHeight w:val="409" w:hRule="atLeast"/>
        </w:trPr>
        <w:tc>
          <w:tcPr>
            <w:tcW w:w="2233"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4316" w:type="dxa"/>
            <w:gridSpan w:val="35"/>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社区办公经费</w:t>
            </w:r>
          </w:p>
        </w:tc>
        <w:tc>
          <w:tcPr>
            <w:tcW w:w="1869" w:type="dxa"/>
            <w:gridSpan w:val="16"/>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w:t>
            </w:r>
          </w:p>
        </w:tc>
        <w:tc>
          <w:tcPr>
            <w:tcW w:w="4769" w:type="dxa"/>
            <w:gridSpan w:val="5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w:t>
            </w:r>
          </w:p>
        </w:tc>
      </w:tr>
      <w:tr>
        <w:tblPrEx>
          <w:tblCellMar>
            <w:top w:w="0" w:type="dxa"/>
            <w:left w:w="108" w:type="dxa"/>
            <w:bottom w:w="0" w:type="dxa"/>
            <w:right w:w="108" w:type="dxa"/>
          </w:tblCellMar>
        </w:tblPrEx>
        <w:trPr>
          <w:gridAfter w:val="7"/>
          <w:wAfter w:w="719" w:type="dxa"/>
          <w:trHeight w:val="409" w:hRule="atLeast"/>
        </w:trPr>
        <w:tc>
          <w:tcPr>
            <w:tcW w:w="2233" w:type="dxa"/>
            <w:gridSpan w:val="10"/>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316" w:type="dxa"/>
            <w:gridSpan w:val="35"/>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乐山市市中区棉竹镇人民政府</w:t>
            </w:r>
          </w:p>
        </w:tc>
        <w:tc>
          <w:tcPr>
            <w:tcW w:w="1869" w:type="dxa"/>
            <w:gridSpan w:val="16"/>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4769" w:type="dxa"/>
            <w:gridSpan w:val="57"/>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乐山市市中区棉竹镇人民政府</w:t>
            </w:r>
          </w:p>
        </w:tc>
      </w:tr>
      <w:tr>
        <w:tblPrEx>
          <w:tblCellMar>
            <w:top w:w="0" w:type="dxa"/>
            <w:left w:w="108" w:type="dxa"/>
            <w:bottom w:w="0" w:type="dxa"/>
            <w:right w:w="108" w:type="dxa"/>
          </w:tblCellMar>
        </w:tblPrEx>
        <w:trPr>
          <w:gridAfter w:val="7"/>
          <w:wAfter w:w="719" w:type="dxa"/>
          <w:trHeight w:val="409" w:hRule="atLeast"/>
        </w:trPr>
        <w:tc>
          <w:tcPr>
            <w:tcW w:w="13187" w:type="dxa"/>
            <w:gridSpan w:val="118"/>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项目资金（万元）</w:t>
            </w:r>
          </w:p>
        </w:tc>
      </w:tr>
      <w:tr>
        <w:tblPrEx>
          <w:tblCellMar>
            <w:top w:w="0" w:type="dxa"/>
            <w:left w:w="108" w:type="dxa"/>
            <w:bottom w:w="0" w:type="dxa"/>
            <w:right w:w="108" w:type="dxa"/>
          </w:tblCellMar>
        </w:tblPrEx>
        <w:trPr>
          <w:gridAfter w:val="7"/>
          <w:wAfter w:w="719" w:type="dxa"/>
          <w:trHeight w:val="409" w:hRule="atLeast"/>
        </w:trPr>
        <w:tc>
          <w:tcPr>
            <w:tcW w:w="3056" w:type="dxa"/>
            <w:gridSpan w:val="26"/>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493" w:type="dxa"/>
            <w:gridSpan w:val="19"/>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3556" w:type="dxa"/>
            <w:gridSpan w:val="3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3082" w:type="dxa"/>
            <w:gridSpan w:val="4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r>
      <w:tr>
        <w:tblPrEx>
          <w:tblCellMar>
            <w:top w:w="0" w:type="dxa"/>
            <w:left w:w="108" w:type="dxa"/>
            <w:bottom w:w="0" w:type="dxa"/>
            <w:right w:w="108" w:type="dxa"/>
          </w:tblCellMar>
        </w:tblPrEx>
        <w:trPr>
          <w:gridAfter w:val="7"/>
          <w:wAfter w:w="719" w:type="dxa"/>
          <w:trHeight w:val="409" w:hRule="atLeast"/>
        </w:trPr>
        <w:tc>
          <w:tcPr>
            <w:tcW w:w="3056" w:type="dxa"/>
            <w:gridSpan w:val="2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3493" w:type="dxa"/>
            <w:gridSpan w:val="1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10.5</w:t>
            </w:r>
          </w:p>
        </w:tc>
        <w:tc>
          <w:tcPr>
            <w:tcW w:w="3556" w:type="dxa"/>
            <w:gridSpan w:val="3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10.5</w:t>
            </w:r>
          </w:p>
        </w:tc>
        <w:tc>
          <w:tcPr>
            <w:tcW w:w="3082" w:type="dxa"/>
            <w:gridSpan w:val="4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After w:val="7"/>
          <w:wAfter w:w="719" w:type="dxa"/>
          <w:trHeight w:val="409" w:hRule="atLeast"/>
        </w:trPr>
        <w:tc>
          <w:tcPr>
            <w:tcW w:w="3056" w:type="dxa"/>
            <w:gridSpan w:val="2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其中：财政拨款</w:t>
            </w:r>
          </w:p>
        </w:tc>
        <w:tc>
          <w:tcPr>
            <w:tcW w:w="3493" w:type="dxa"/>
            <w:gridSpan w:val="1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10.5</w:t>
            </w:r>
          </w:p>
        </w:tc>
        <w:tc>
          <w:tcPr>
            <w:tcW w:w="3556" w:type="dxa"/>
            <w:gridSpan w:val="3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10.5</w:t>
            </w:r>
          </w:p>
        </w:tc>
        <w:tc>
          <w:tcPr>
            <w:tcW w:w="3082" w:type="dxa"/>
            <w:gridSpan w:val="4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gridAfter w:val="7"/>
          <w:wAfter w:w="719" w:type="dxa"/>
          <w:trHeight w:val="409" w:hRule="atLeast"/>
        </w:trPr>
        <w:tc>
          <w:tcPr>
            <w:tcW w:w="3056" w:type="dxa"/>
            <w:gridSpan w:val="2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3493" w:type="dxa"/>
            <w:gridSpan w:val="19"/>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556" w:type="dxa"/>
            <w:gridSpan w:val="3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082" w:type="dxa"/>
            <w:gridSpan w:val="4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gridAfter w:val="7"/>
          <w:wAfter w:w="719" w:type="dxa"/>
          <w:trHeight w:val="409" w:hRule="atLeast"/>
        </w:trPr>
        <w:tc>
          <w:tcPr>
            <w:tcW w:w="2233" w:type="dxa"/>
            <w:gridSpan w:val="10"/>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年度总体目标</w:t>
            </w:r>
          </w:p>
        </w:tc>
        <w:tc>
          <w:tcPr>
            <w:tcW w:w="6185" w:type="dxa"/>
            <w:gridSpan w:val="51"/>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预期目标</w:t>
            </w:r>
          </w:p>
        </w:tc>
        <w:tc>
          <w:tcPr>
            <w:tcW w:w="4769" w:type="dxa"/>
            <w:gridSpan w:val="5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gridAfter w:val="7"/>
          <w:wAfter w:w="719" w:type="dxa"/>
          <w:trHeight w:val="1879" w:hRule="atLeast"/>
        </w:trPr>
        <w:tc>
          <w:tcPr>
            <w:tcW w:w="2233" w:type="dxa"/>
            <w:gridSpan w:val="10"/>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6185" w:type="dxa"/>
            <w:gridSpan w:val="51"/>
            <w:tcBorders>
              <w:top w:val="single" w:color="auto" w:sz="4" w:space="0"/>
              <w:left w:val="nil"/>
              <w:bottom w:val="nil"/>
              <w:right w:val="single" w:color="000000"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2022年投入10.5万元，保障2个社区日常办公运转支出，维护辖区内社会稳定。</w:t>
            </w:r>
          </w:p>
        </w:tc>
        <w:tc>
          <w:tcPr>
            <w:tcW w:w="4769" w:type="dxa"/>
            <w:gridSpan w:val="57"/>
            <w:tcBorders>
              <w:top w:val="single" w:color="auto" w:sz="4" w:space="0"/>
              <w:left w:val="nil"/>
              <w:bottom w:val="nil"/>
              <w:right w:val="single" w:color="000000" w:sz="4" w:space="0"/>
            </w:tcBorders>
            <w:shd w:val="clear" w:color="auto" w:fill="auto"/>
            <w:vAlign w:val="center"/>
          </w:tcPr>
          <w:p>
            <w:pPr>
              <w:widowControl/>
              <w:spacing w:after="240"/>
              <w:jc w:val="left"/>
              <w:rPr>
                <w:rFonts w:ascii="宋体" w:hAnsi="宋体" w:cs="宋体"/>
                <w:color w:val="000000"/>
                <w:kern w:val="0"/>
                <w:sz w:val="20"/>
                <w:szCs w:val="20"/>
              </w:rPr>
            </w:pPr>
            <w:r>
              <w:rPr>
                <w:rFonts w:hint="eastAsia" w:ascii="宋体" w:hAnsi="宋体" w:cs="宋体"/>
                <w:color w:val="000000"/>
                <w:kern w:val="0"/>
                <w:sz w:val="20"/>
                <w:szCs w:val="20"/>
              </w:rPr>
              <w:t>2022年投入10.5万元，保障2个社区日常办公运转支出，维护辖区内社会稳定。</w:t>
            </w:r>
          </w:p>
        </w:tc>
      </w:tr>
      <w:tr>
        <w:tblPrEx>
          <w:tblCellMar>
            <w:top w:w="0" w:type="dxa"/>
            <w:left w:w="108" w:type="dxa"/>
            <w:bottom w:w="0" w:type="dxa"/>
            <w:right w:w="108" w:type="dxa"/>
          </w:tblCellMar>
        </w:tblPrEx>
        <w:trPr>
          <w:gridAfter w:val="7"/>
          <w:wAfter w:w="719" w:type="dxa"/>
          <w:trHeight w:val="529" w:hRule="atLeast"/>
        </w:trPr>
        <w:tc>
          <w:tcPr>
            <w:tcW w:w="2233"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646"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67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869" w:type="dxa"/>
            <w:gridSpan w:val="1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687" w:type="dxa"/>
            <w:gridSpan w:val="1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463" w:type="dxa"/>
            <w:gridSpan w:val="1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分值/权重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（百分制）</w:t>
            </w:r>
          </w:p>
        </w:tc>
        <w:tc>
          <w:tcPr>
            <w:tcW w:w="703" w:type="dxa"/>
            <w:gridSpan w:val="1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16" w:type="dxa"/>
            <w:gridSpan w:val="1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扣分原因分析</w:t>
            </w:r>
          </w:p>
        </w:tc>
      </w:tr>
      <w:tr>
        <w:tblPrEx>
          <w:tblCellMar>
            <w:top w:w="0" w:type="dxa"/>
            <w:left w:w="108" w:type="dxa"/>
            <w:bottom w:w="0" w:type="dxa"/>
            <w:right w:w="108" w:type="dxa"/>
          </w:tblCellMar>
        </w:tblPrEx>
        <w:trPr>
          <w:gridAfter w:val="7"/>
          <w:wAfter w:w="719" w:type="dxa"/>
          <w:trHeight w:val="409" w:hRule="atLeast"/>
        </w:trPr>
        <w:tc>
          <w:tcPr>
            <w:tcW w:w="10105" w:type="dxa"/>
            <w:gridSpan w:val="7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    分</w:t>
            </w:r>
          </w:p>
        </w:tc>
        <w:tc>
          <w:tcPr>
            <w:tcW w:w="1463"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3"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916" w:type="dxa"/>
            <w:gridSpan w:val="1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7"/>
          <w:wAfter w:w="719" w:type="dxa"/>
          <w:trHeight w:val="409" w:hRule="atLeast"/>
        </w:trPr>
        <w:tc>
          <w:tcPr>
            <w:tcW w:w="6549" w:type="dxa"/>
            <w:gridSpan w:val="45"/>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预算执行率（10分）</w:t>
            </w:r>
          </w:p>
        </w:tc>
        <w:tc>
          <w:tcPr>
            <w:tcW w:w="1869" w:type="dxa"/>
            <w:gridSpan w:val="16"/>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1687" w:type="dxa"/>
            <w:gridSpan w:val="1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　</w:t>
            </w:r>
          </w:p>
        </w:tc>
        <w:tc>
          <w:tcPr>
            <w:tcW w:w="1463"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3"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1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7"/>
          <w:wAfter w:w="719" w:type="dxa"/>
          <w:trHeight w:val="409" w:hRule="atLeast"/>
        </w:trPr>
        <w:tc>
          <w:tcPr>
            <w:tcW w:w="2233" w:type="dxa"/>
            <w:gridSpan w:val="10"/>
            <w:vMerge w:val="restart"/>
            <w:tcBorders>
              <w:top w:val="nil"/>
              <w:left w:val="single" w:color="auto" w:sz="4" w:space="0"/>
              <w:bottom w:val="nil"/>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产出指标</w:t>
            </w:r>
          </w:p>
        </w:tc>
        <w:tc>
          <w:tcPr>
            <w:tcW w:w="1646" w:type="dxa"/>
            <w:gridSpan w:val="30"/>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67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2个社区</w:t>
            </w:r>
          </w:p>
        </w:tc>
        <w:tc>
          <w:tcPr>
            <w:tcW w:w="1869"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68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463"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3"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91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7"/>
          <w:wAfter w:w="719" w:type="dxa"/>
          <w:trHeight w:val="409" w:hRule="atLeast"/>
        </w:trPr>
        <w:tc>
          <w:tcPr>
            <w:tcW w:w="2233" w:type="dxa"/>
            <w:gridSpan w:val="10"/>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0"/>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时效指标</w:t>
            </w:r>
          </w:p>
        </w:tc>
        <w:tc>
          <w:tcPr>
            <w:tcW w:w="267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资金拨付率</w:t>
            </w:r>
          </w:p>
        </w:tc>
        <w:tc>
          <w:tcPr>
            <w:tcW w:w="1869"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68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63"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3"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1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7"/>
          <w:wAfter w:w="719" w:type="dxa"/>
          <w:trHeight w:val="409" w:hRule="atLeast"/>
        </w:trPr>
        <w:tc>
          <w:tcPr>
            <w:tcW w:w="2233" w:type="dxa"/>
            <w:gridSpan w:val="10"/>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0"/>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成本指标</w:t>
            </w:r>
          </w:p>
        </w:tc>
        <w:tc>
          <w:tcPr>
            <w:tcW w:w="267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投入资金额度</w:t>
            </w:r>
          </w:p>
        </w:tc>
        <w:tc>
          <w:tcPr>
            <w:tcW w:w="1869"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10.5</w:t>
            </w:r>
          </w:p>
        </w:tc>
        <w:tc>
          <w:tcPr>
            <w:tcW w:w="168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10.5</w:t>
            </w:r>
          </w:p>
        </w:tc>
        <w:tc>
          <w:tcPr>
            <w:tcW w:w="1463"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3"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1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7"/>
          <w:wAfter w:w="719" w:type="dxa"/>
          <w:trHeight w:val="409" w:hRule="atLeast"/>
        </w:trPr>
        <w:tc>
          <w:tcPr>
            <w:tcW w:w="2233" w:type="dxa"/>
            <w:gridSpan w:val="10"/>
            <w:vMerge w:val="continue"/>
            <w:tcBorders>
              <w:top w:val="nil"/>
              <w:left w:val="single" w:color="auto" w:sz="4" w:space="0"/>
              <w:bottom w:val="nil"/>
              <w:right w:val="single" w:color="auto" w:sz="4" w:space="0"/>
            </w:tcBorders>
            <w:vAlign w:val="center"/>
          </w:tcPr>
          <w:p>
            <w:pPr>
              <w:widowControl/>
              <w:jc w:val="left"/>
              <w:rPr>
                <w:rFonts w:ascii="宋体" w:hAnsi="宋体" w:cs="宋体"/>
                <w:color w:val="333333"/>
                <w:kern w:val="0"/>
                <w:sz w:val="18"/>
                <w:szCs w:val="18"/>
              </w:rPr>
            </w:pPr>
          </w:p>
        </w:tc>
        <w:tc>
          <w:tcPr>
            <w:tcW w:w="1646" w:type="dxa"/>
            <w:gridSpan w:val="30"/>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质量指标</w:t>
            </w:r>
          </w:p>
        </w:tc>
        <w:tc>
          <w:tcPr>
            <w:tcW w:w="267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资金使用规范率</w:t>
            </w:r>
          </w:p>
        </w:tc>
        <w:tc>
          <w:tcPr>
            <w:tcW w:w="1869"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68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463"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3"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1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7"/>
          <w:wAfter w:w="719" w:type="dxa"/>
          <w:trHeight w:val="409" w:hRule="atLeast"/>
        </w:trPr>
        <w:tc>
          <w:tcPr>
            <w:tcW w:w="2233" w:type="dxa"/>
            <w:gridSpan w:val="10"/>
            <w:tcBorders>
              <w:top w:val="single" w:color="auto" w:sz="4" w:space="0"/>
              <w:left w:val="single" w:color="auto" w:sz="4" w:space="0"/>
              <w:bottom w:val="nil"/>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效益指标</w:t>
            </w:r>
          </w:p>
        </w:tc>
        <w:tc>
          <w:tcPr>
            <w:tcW w:w="1646" w:type="dxa"/>
            <w:gridSpan w:val="30"/>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社会效益指标</w:t>
            </w:r>
          </w:p>
        </w:tc>
        <w:tc>
          <w:tcPr>
            <w:tcW w:w="2670"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维护社会稳定情况</w:t>
            </w:r>
          </w:p>
        </w:tc>
        <w:tc>
          <w:tcPr>
            <w:tcW w:w="1869"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68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463"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3"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91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7"/>
          <w:wAfter w:w="719" w:type="dxa"/>
          <w:trHeight w:val="409" w:hRule="atLeast"/>
        </w:trPr>
        <w:tc>
          <w:tcPr>
            <w:tcW w:w="2233" w:type="dxa"/>
            <w:gridSpan w:val="10"/>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满意度指标</w:t>
            </w:r>
          </w:p>
        </w:tc>
        <w:tc>
          <w:tcPr>
            <w:tcW w:w="1646" w:type="dxa"/>
            <w:gridSpan w:val="30"/>
            <w:tcBorders>
              <w:top w:val="single" w:color="auto" w:sz="4" w:space="0"/>
              <w:left w:val="nil"/>
              <w:bottom w:val="single" w:color="auto" w:sz="4" w:space="0"/>
              <w:right w:val="nil"/>
            </w:tcBorders>
            <w:shd w:val="clear" w:color="000000" w:fill="FFFFFF"/>
            <w:noWrap/>
            <w:vAlign w:val="center"/>
          </w:tcPr>
          <w:p>
            <w:pPr>
              <w:widowControl/>
              <w:jc w:val="center"/>
              <w:rPr>
                <w:rFonts w:ascii="宋体" w:hAnsi="宋体" w:cs="宋体"/>
                <w:color w:val="333333"/>
                <w:kern w:val="0"/>
                <w:sz w:val="18"/>
                <w:szCs w:val="18"/>
              </w:rPr>
            </w:pPr>
            <w:r>
              <w:rPr>
                <w:rFonts w:hint="eastAsia" w:ascii="宋体" w:hAnsi="宋体" w:cs="宋体"/>
                <w:color w:val="333333"/>
                <w:kern w:val="0"/>
                <w:sz w:val="18"/>
                <w:szCs w:val="18"/>
              </w:rPr>
              <w:t>服务对象满意度指标</w:t>
            </w:r>
          </w:p>
        </w:tc>
        <w:tc>
          <w:tcPr>
            <w:tcW w:w="2670" w:type="dxa"/>
            <w:gridSpan w:val="5"/>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群众满意度</w:t>
            </w:r>
          </w:p>
        </w:tc>
        <w:tc>
          <w:tcPr>
            <w:tcW w:w="1869" w:type="dxa"/>
            <w:gridSpan w:val="1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687" w:type="dxa"/>
            <w:gridSpan w:val="1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463" w:type="dxa"/>
            <w:gridSpan w:val="1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3" w:type="dxa"/>
            <w:gridSpan w:val="1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916" w:type="dxa"/>
            <w:gridSpan w:val="1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7"/>
          <w:wAfter w:w="719" w:type="dxa"/>
          <w:trHeight w:val="758" w:hRule="atLeast"/>
        </w:trPr>
        <w:tc>
          <w:tcPr>
            <w:tcW w:w="13187" w:type="dxa"/>
            <w:gridSpan w:val="118"/>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说明：1.预算执行率得分=全年执行数/全年预算数*10分；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      2.“产出指标、效益指标、满意度指标”一共90分，对应的是一体化系统中单位编制的项目绩效目标。</w:t>
            </w:r>
          </w:p>
        </w:tc>
      </w:tr>
    </w:tbl>
    <w:p>
      <w:pPr>
        <w:pStyle w:val="2"/>
        <w:spacing w:before="93"/>
        <w:sectPr>
          <w:pgSz w:w="16838" w:h="11906" w:orient="landscape"/>
          <w:pgMar w:top="1800" w:right="1440" w:bottom="1800" w:left="1440" w:header="851" w:footer="992" w:gutter="0"/>
          <w:pgNumType w:start="1"/>
          <w:cols w:space="425" w:num="1"/>
          <w:titlePg/>
          <w:docGrid w:type="lines" w:linePitch="312" w:charSpace="0"/>
        </w:sectPr>
      </w:pPr>
    </w:p>
    <w:p>
      <w:pPr>
        <w:spacing w:line="600" w:lineRule="exact"/>
        <w:ind w:firstLine="2640" w:firstLineChars="600"/>
        <w:outlineLvl w:val="0"/>
        <w:rPr>
          <w:rStyle w:val="28"/>
          <w:rFonts w:ascii="黑体" w:hAnsi="黑体" w:eastAsia="黑体"/>
          <w:b w:val="0"/>
        </w:rPr>
      </w:pPr>
      <w:bookmarkStart w:id="55" w:name="_Toc15396618"/>
      <w:r>
        <w:rPr>
          <w:rFonts w:hint="eastAsia" w:ascii="黑体" w:hAnsi="黑体" w:eastAsia="黑体"/>
          <w:sz w:val="44"/>
          <w:szCs w:val="44"/>
        </w:rPr>
        <w:t>第</w:t>
      </w:r>
      <w:r>
        <w:rPr>
          <w:rStyle w:val="28"/>
          <w:rFonts w:hint="eastAsia" w:ascii="黑体" w:hAnsi="黑体" w:eastAsia="黑体"/>
          <w:b w:val="0"/>
        </w:rPr>
        <w:t>五部分 附表</w:t>
      </w:r>
      <w:bookmarkEnd w:id="52"/>
      <w:bookmarkEnd w:id="55"/>
      <w:bookmarkStart w:id="56" w:name="_Toc15396619"/>
    </w:p>
    <w:p>
      <w:pPr>
        <w:spacing w:line="600" w:lineRule="exact"/>
        <w:outlineLvl w:val="0"/>
        <w:rPr>
          <w:rFonts w:ascii="仿宋" w:hAnsi="仿宋" w:eastAsia="仿宋" w:cstheme="majorBidi"/>
          <w:bCs/>
          <w:sz w:val="32"/>
          <w:szCs w:val="32"/>
        </w:rPr>
      </w:pPr>
      <w:r>
        <w:rPr>
          <w:rFonts w:hint="eastAsia" w:ascii="仿宋" w:hAnsi="仿宋" w:eastAsia="仿宋" w:cstheme="majorBidi"/>
          <w:bCs/>
          <w:sz w:val="32"/>
          <w:szCs w:val="32"/>
        </w:rPr>
        <w:t>一、收入支出决算总表</w:t>
      </w:r>
      <w:bookmarkEnd w:id="56"/>
      <w:bookmarkStart w:id="57" w:name="_Toc15396620"/>
    </w:p>
    <w:p>
      <w:pPr>
        <w:spacing w:line="600" w:lineRule="exact"/>
        <w:outlineLvl w:val="0"/>
        <w:rPr>
          <w:rFonts w:ascii="仿宋" w:hAnsi="仿宋" w:eastAsia="仿宋" w:cstheme="majorBidi"/>
          <w:bCs/>
          <w:sz w:val="32"/>
          <w:szCs w:val="32"/>
        </w:rPr>
      </w:pPr>
      <w:r>
        <w:rPr>
          <w:rFonts w:hint="eastAsia" w:ascii="仿宋" w:hAnsi="仿宋" w:eastAsia="仿宋" w:cstheme="majorBidi"/>
          <w:bCs/>
          <w:sz w:val="32"/>
          <w:szCs w:val="32"/>
        </w:rPr>
        <w:t>二、收入决算表</w:t>
      </w:r>
      <w:bookmarkEnd w:id="57"/>
    </w:p>
    <w:p>
      <w:pPr>
        <w:pStyle w:val="4"/>
        <w:rPr>
          <w:rFonts w:ascii="仿宋" w:hAnsi="仿宋" w:eastAsia="仿宋"/>
          <w:b w:val="0"/>
        </w:rPr>
      </w:pPr>
      <w:bookmarkStart w:id="58" w:name="_Toc15396621"/>
      <w:r>
        <w:rPr>
          <w:rFonts w:hint="eastAsia" w:ascii="仿宋" w:hAnsi="仿宋" w:eastAsia="仿宋"/>
          <w:b w:val="0"/>
        </w:rPr>
        <w:t>三、支出决算表</w:t>
      </w:r>
      <w:bookmarkEnd w:id="58"/>
    </w:p>
    <w:p>
      <w:pPr>
        <w:pStyle w:val="4"/>
        <w:rPr>
          <w:rFonts w:ascii="仿宋" w:hAnsi="仿宋" w:eastAsia="仿宋"/>
          <w:b w:val="0"/>
        </w:rPr>
      </w:pPr>
      <w:bookmarkStart w:id="59"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9"/>
    </w:p>
    <w:p>
      <w:pPr>
        <w:pStyle w:val="4"/>
        <w:rPr>
          <w:rStyle w:val="29"/>
          <w:rFonts w:ascii="仿宋" w:hAnsi="仿宋" w:eastAsia="仿宋"/>
          <w:b w:val="0"/>
          <w:bCs w:val="0"/>
        </w:rPr>
      </w:pPr>
      <w:bookmarkStart w:id="60"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60"/>
      <w:bookmarkStart w:id="61" w:name="_Toc15396624"/>
    </w:p>
    <w:p>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61"/>
    </w:p>
    <w:p>
      <w:pPr>
        <w:pStyle w:val="4"/>
        <w:rPr>
          <w:rFonts w:ascii="仿宋" w:hAnsi="仿宋" w:eastAsia="仿宋"/>
        </w:rPr>
      </w:pPr>
      <w:bookmarkStart w:id="62"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2"/>
    </w:p>
    <w:p>
      <w:pPr>
        <w:pStyle w:val="4"/>
        <w:rPr>
          <w:rFonts w:ascii="仿宋" w:hAnsi="仿宋" w:eastAsia="仿宋"/>
        </w:rPr>
      </w:pPr>
      <w:bookmarkStart w:id="63"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3"/>
    </w:p>
    <w:p>
      <w:pPr>
        <w:pStyle w:val="4"/>
        <w:rPr>
          <w:rFonts w:ascii="仿宋" w:hAnsi="仿宋" w:eastAsia="仿宋"/>
        </w:rPr>
      </w:pPr>
      <w:bookmarkStart w:id="64"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4"/>
    </w:p>
    <w:p>
      <w:pPr>
        <w:pStyle w:val="4"/>
        <w:rPr>
          <w:rFonts w:ascii="仿宋" w:hAnsi="仿宋" w:eastAsia="仿宋"/>
        </w:rPr>
      </w:pPr>
      <w:bookmarkStart w:id="65" w:name="_Toc15396628"/>
      <w:r>
        <w:rPr>
          <w:rStyle w:val="29"/>
          <w:rFonts w:hint="eastAsia" w:ascii="仿宋" w:hAnsi="仿宋" w:eastAsia="仿宋"/>
          <w:b w:val="0"/>
          <w:bCs w:val="0"/>
        </w:rPr>
        <w:t>十、</w:t>
      </w:r>
      <w:bookmarkEnd w:id="65"/>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4"/>
        <w:rPr>
          <w:rFonts w:ascii="仿宋" w:hAnsi="仿宋" w:eastAsia="仿宋"/>
        </w:rPr>
      </w:pPr>
      <w:bookmarkStart w:id="66" w:name="_Toc15396629"/>
      <w:r>
        <w:rPr>
          <w:rStyle w:val="29"/>
          <w:rFonts w:hint="eastAsia" w:ascii="仿宋" w:hAnsi="仿宋" w:eastAsia="仿宋"/>
          <w:b w:val="0"/>
          <w:bCs w:val="0"/>
        </w:rPr>
        <w:t>十一、</w:t>
      </w:r>
      <w:bookmarkEnd w:id="66"/>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4"/>
        <w:rPr>
          <w:rFonts w:ascii="仿宋" w:hAnsi="仿宋" w:eastAsia="仿宋"/>
        </w:rPr>
      </w:pPr>
      <w:bookmarkStart w:id="67" w:name="_Toc15396630"/>
      <w:r>
        <w:rPr>
          <w:rStyle w:val="29"/>
          <w:rFonts w:hint="eastAsia" w:ascii="仿宋" w:hAnsi="仿宋" w:eastAsia="仿宋"/>
          <w:b w:val="0"/>
          <w:bCs w:val="0"/>
        </w:rPr>
        <w:t>十二、</w:t>
      </w:r>
      <w:bookmarkEnd w:id="67"/>
      <w:r>
        <w:rPr>
          <w:rStyle w:val="29"/>
          <w:rFonts w:hint="eastAsia" w:ascii="仿宋" w:hAnsi="仿宋" w:eastAsia="仿宋"/>
          <w:b w:val="0"/>
          <w:bCs w:val="0"/>
        </w:rPr>
        <w:t>国有资本经营预算财政拨款支出决算表</w:t>
      </w:r>
    </w:p>
    <w:p>
      <w:pPr>
        <w:pStyle w:val="4"/>
        <w:rPr>
          <w:rFonts w:eastAsia="仿宋"/>
        </w:rPr>
      </w:pPr>
      <w:bookmarkStart w:id="68" w:name="_Toc15396631"/>
      <w:r>
        <w:rPr>
          <w:rStyle w:val="29"/>
          <w:rFonts w:hint="eastAsia" w:ascii="仿宋" w:hAnsi="仿宋" w:eastAsia="仿宋"/>
          <w:b w:val="0"/>
          <w:bCs w:val="0"/>
        </w:rPr>
        <w:t>十三、</w:t>
      </w:r>
      <w:bookmarkEnd w:id="68"/>
      <w:r>
        <w:rPr>
          <w:rStyle w:val="29"/>
          <w:rFonts w:hint="eastAsia" w:ascii="仿宋" w:hAnsi="仿宋" w:eastAsia="仿宋"/>
          <w:b w:val="0"/>
          <w:bCs w:val="0"/>
        </w:rPr>
        <w:t>财政拨款“三公”经费支出决算表</w:t>
      </w:r>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23499"/>
    </w:sdtPr>
    <w:sdtContent>
      <w:p>
        <w:pPr>
          <w:pStyle w:val="9"/>
          <w:jc w:val="center"/>
        </w:pPr>
        <w:r>
          <w:fldChar w:fldCharType="begin"/>
        </w:r>
        <w:r>
          <w:instrText xml:space="preserve">PAGE   \* MERGEFORMAT</w:instrText>
        </w:r>
        <w:r>
          <w:fldChar w:fldCharType="separate"/>
        </w:r>
        <w:r>
          <w:rPr>
            <w:lang w:val="zh-CN"/>
          </w:rPr>
          <w:t>17</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DD2634"/>
    <w:multiLevelType w:val="singleLevel"/>
    <w:tmpl w:val="9ADD2634"/>
    <w:lvl w:ilvl="0" w:tentative="0">
      <w:start w:val="7"/>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EBEF323"/>
    <w:multiLevelType w:val="singleLevel"/>
    <w:tmpl w:val="DEBEF323"/>
    <w:lvl w:ilvl="0" w:tentative="0">
      <w:start w:val="4"/>
      <w:numFmt w:val="chineseCounting"/>
      <w:suff w:val="nothing"/>
      <w:lvlText w:val="（%1）"/>
      <w:lvlJc w:val="left"/>
      <w:rPr>
        <w:rFonts w:hint="eastAsia"/>
      </w:rPr>
    </w:lvl>
  </w:abstractNum>
  <w:abstractNum w:abstractNumId="3">
    <w:nsid w:val="FFF674BC"/>
    <w:multiLevelType w:val="singleLevel"/>
    <w:tmpl w:val="FFF674BC"/>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5D8501B"/>
    <w:multiLevelType w:val="multilevel"/>
    <w:tmpl w:val="35D8501B"/>
    <w:lvl w:ilvl="0" w:tentative="0">
      <w:start w:val="2"/>
      <w:numFmt w:val="japaneseCounting"/>
      <w:lvlText w:val="（%1）"/>
      <w:lvlJc w:val="left"/>
      <w:pPr>
        <w:ind w:left="1500" w:hanging="10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8650CF3"/>
    <w:multiLevelType w:val="multilevel"/>
    <w:tmpl w:val="78650CF3"/>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4"/>
  </w:num>
  <w:num w:numId="3">
    <w:abstractNumId w:val="0"/>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E2ZDZhM2JjMDI1ZTBlNWRlNzNmNTU2OGQxNzE2ZTQifQ=="/>
  </w:docVars>
  <w:rsids>
    <w:rsidRoot w:val="00F1361C"/>
    <w:rsid w:val="000222C6"/>
    <w:rsid w:val="0002549F"/>
    <w:rsid w:val="000468DB"/>
    <w:rsid w:val="0006487A"/>
    <w:rsid w:val="00065F8F"/>
    <w:rsid w:val="00070A43"/>
    <w:rsid w:val="000763A9"/>
    <w:rsid w:val="000768F2"/>
    <w:rsid w:val="000826C0"/>
    <w:rsid w:val="0009184B"/>
    <w:rsid w:val="00092F9C"/>
    <w:rsid w:val="00094236"/>
    <w:rsid w:val="00094985"/>
    <w:rsid w:val="0009593C"/>
    <w:rsid w:val="00097322"/>
    <w:rsid w:val="000A6A92"/>
    <w:rsid w:val="000B047F"/>
    <w:rsid w:val="000B5923"/>
    <w:rsid w:val="000B5A48"/>
    <w:rsid w:val="000B6FF3"/>
    <w:rsid w:val="000B7945"/>
    <w:rsid w:val="000C3467"/>
    <w:rsid w:val="000C3CA6"/>
    <w:rsid w:val="000D1267"/>
    <w:rsid w:val="000D1D50"/>
    <w:rsid w:val="000D5782"/>
    <w:rsid w:val="000E6613"/>
    <w:rsid w:val="000E7119"/>
    <w:rsid w:val="000F27A4"/>
    <w:rsid w:val="00101880"/>
    <w:rsid w:val="00111FA1"/>
    <w:rsid w:val="00114E9B"/>
    <w:rsid w:val="0013107E"/>
    <w:rsid w:val="00135265"/>
    <w:rsid w:val="00136C63"/>
    <w:rsid w:val="00142216"/>
    <w:rsid w:val="00144D6A"/>
    <w:rsid w:val="0014729F"/>
    <w:rsid w:val="00157851"/>
    <w:rsid w:val="00157BAB"/>
    <w:rsid w:val="001654D1"/>
    <w:rsid w:val="00174352"/>
    <w:rsid w:val="00174518"/>
    <w:rsid w:val="0018106D"/>
    <w:rsid w:val="001877A7"/>
    <w:rsid w:val="00191536"/>
    <w:rsid w:val="00193714"/>
    <w:rsid w:val="0019572A"/>
    <w:rsid w:val="00196687"/>
    <w:rsid w:val="001A1715"/>
    <w:rsid w:val="001A5AE0"/>
    <w:rsid w:val="001A60D5"/>
    <w:rsid w:val="001C0962"/>
    <w:rsid w:val="001D1F00"/>
    <w:rsid w:val="001D7531"/>
    <w:rsid w:val="001E737D"/>
    <w:rsid w:val="001F0592"/>
    <w:rsid w:val="001F7506"/>
    <w:rsid w:val="002006CD"/>
    <w:rsid w:val="00202B36"/>
    <w:rsid w:val="00204B7A"/>
    <w:rsid w:val="00204CDE"/>
    <w:rsid w:val="0021101A"/>
    <w:rsid w:val="002163F4"/>
    <w:rsid w:val="00220536"/>
    <w:rsid w:val="0022755A"/>
    <w:rsid w:val="002304B5"/>
    <w:rsid w:val="00233172"/>
    <w:rsid w:val="00233279"/>
    <w:rsid w:val="00235629"/>
    <w:rsid w:val="002372EB"/>
    <w:rsid w:val="00237843"/>
    <w:rsid w:val="00245902"/>
    <w:rsid w:val="00260C38"/>
    <w:rsid w:val="002616C0"/>
    <w:rsid w:val="00265372"/>
    <w:rsid w:val="002662AA"/>
    <w:rsid w:val="00280496"/>
    <w:rsid w:val="00280B0B"/>
    <w:rsid w:val="0028587A"/>
    <w:rsid w:val="00294DC9"/>
    <w:rsid w:val="00295495"/>
    <w:rsid w:val="00297CCF"/>
    <w:rsid w:val="002A31DE"/>
    <w:rsid w:val="002B2613"/>
    <w:rsid w:val="002D6D05"/>
    <w:rsid w:val="002E0340"/>
    <w:rsid w:val="002E4A3E"/>
    <w:rsid w:val="002F1818"/>
    <w:rsid w:val="002F567B"/>
    <w:rsid w:val="003216A9"/>
    <w:rsid w:val="00322249"/>
    <w:rsid w:val="00335A74"/>
    <w:rsid w:val="00342F39"/>
    <w:rsid w:val="00363BA8"/>
    <w:rsid w:val="0036561B"/>
    <w:rsid w:val="0037013F"/>
    <w:rsid w:val="00372F04"/>
    <w:rsid w:val="00380C92"/>
    <w:rsid w:val="003872F9"/>
    <w:rsid w:val="00397EB3"/>
    <w:rsid w:val="003A484F"/>
    <w:rsid w:val="003A4883"/>
    <w:rsid w:val="003A5E64"/>
    <w:rsid w:val="003A7F10"/>
    <w:rsid w:val="003B0BE0"/>
    <w:rsid w:val="003B0C1B"/>
    <w:rsid w:val="003B688C"/>
    <w:rsid w:val="003C0291"/>
    <w:rsid w:val="003C39AE"/>
    <w:rsid w:val="003C7B60"/>
    <w:rsid w:val="003D0C0F"/>
    <w:rsid w:val="003D1FB2"/>
    <w:rsid w:val="003D66DA"/>
    <w:rsid w:val="003D7119"/>
    <w:rsid w:val="003E00AD"/>
    <w:rsid w:val="003E1310"/>
    <w:rsid w:val="003E5026"/>
    <w:rsid w:val="003E6F55"/>
    <w:rsid w:val="003F6A88"/>
    <w:rsid w:val="00406254"/>
    <w:rsid w:val="004223DE"/>
    <w:rsid w:val="00423115"/>
    <w:rsid w:val="00434489"/>
    <w:rsid w:val="00437085"/>
    <w:rsid w:val="00443880"/>
    <w:rsid w:val="00443884"/>
    <w:rsid w:val="004464F4"/>
    <w:rsid w:val="00454F92"/>
    <w:rsid w:val="00460171"/>
    <w:rsid w:val="00461B52"/>
    <w:rsid w:val="00467B9B"/>
    <w:rsid w:val="00470706"/>
    <w:rsid w:val="00471401"/>
    <w:rsid w:val="00473F31"/>
    <w:rsid w:val="0048263A"/>
    <w:rsid w:val="00485C1E"/>
    <w:rsid w:val="00487E5D"/>
    <w:rsid w:val="004965F6"/>
    <w:rsid w:val="004A4154"/>
    <w:rsid w:val="004A711F"/>
    <w:rsid w:val="004B016F"/>
    <w:rsid w:val="004B199D"/>
    <w:rsid w:val="004B4690"/>
    <w:rsid w:val="004C051E"/>
    <w:rsid w:val="004D187A"/>
    <w:rsid w:val="004E0A2D"/>
    <w:rsid w:val="004E0DAB"/>
    <w:rsid w:val="004E206B"/>
    <w:rsid w:val="004E24B6"/>
    <w:rsid w:val="004E6DF7"/>
    <w:rsid w:val="004F0FBD"/>
    <w:rsid w:val="004F1455"/>
    <w:rsid w:val="005038BB"/>
    <w:rsid w:val="00505A47"/>
    <w:rsid w:val="00512FDA"/>
    <w:rsid w:val="005155F2"/>
    <w:rsid w:val="00520DA0"/>
    <w:rsid w:val="00521EF7"/>
    <w:rsid w:val="0053092C"/>
    <w:rsid w:val="00544B75"/>
    <w:rsid w:val="00546596"/>
    <w:rsid w:val="00547F89"/>
    <w:rsid w:val="00551B63"/>
    <w:rsid w:val="00563D23"/>
    <w:rsid w:val="005664BB"/>
    <w:rsid w:val="00566FFA"/>
    <w:rsid w:val="0057481D"/>
    <w:rsid w:val="0058486E"/>
    <w:rsid w:val="00585B33"/>
    <w:rsid w:val="0059014D"/>
    <w:rsid w:val="005A3EE2"/>
    <w:rsid w:val="005A795B"/>
    <w:rsid w:val="005B248B"/>
    <w:rsid w:val="005B5C64"/>
    <w:rsid w:val="005C2BB5"/>
    <w:rsid w:val="005C5337"/>
    <w:rsid w:val="005C6BD0"/>
    <w:rsid w:val="005D1C8B"/>
    <w:rsid w:val="005D468D"/>
    <w:rsid w:val="005D5CED"/>
    <w:rsid w:val="005D79D4"/>
    <w:rsid w:val="005E0143"/>
    <w:rsid w:val="005F1A4C"/>
    <w:rsid w:val="005F2BF7"/>
    <w:rsid w:val="005F3376"/>
    <w:rsid w:val="005F7D55"/>
    <w:rsid w:val="00601C4F"/>
    <w:rsid w:val="006043ED"/>
    <w:rsid w:val="00605688"/>
    <w:rsid w:val="006070AF"/>
    <w:rsid w:val="00607E6C"/>
    <w:rsid w:val="006101B1"/>
    <w:rsid w:val="00612141"/>
    <w:rsid w:val="00614E44"/>
    <w:rsid w:val="0062270A"/>
    <w:rsid w:val="00622830"/>
    <w:rsid w:val="00623DA0"/>
    <w:rsid w:val="0062446D"/>
    <w:rsid w:val="00625AD2"/>
    <w:rsid w:val="00630AEF"/>
    <w:rsid w:val="006325F8"/>
    <w:rsid w:val="0063341A"/>
    <w:rsid w:val="00633463"/>
    <w:rsid w:val="00634C9A"/>
    <w:rsid w:val="0063674A"/>
    <w:rsid w:val="006417E8"/>
    <w:rsid w:val="006440E4"/>
    <w:rsid w:val="00646655"/>
    <w:rsid w:val="00662DCE"/>
    <w:rsid w:val="0066343B"/>
    <w:rsid w:val="00664777"/>
    <w:rsid w:val="006715F3"/>
    <w:rsid w:val="0067324E"/>
    <w:rsid w:val="006748A4"/>
    <w:rsid w:val="00681A31"/>
    <w:rsid w:val="006829EB"/>
    <w:rsid w:val="00683E73"/>
    <w:rsid w:val="006966A0"/>
    <w:rsid w:val="006A3141"/>
    <w:rsid w:val="006A5E34"/>
    <w:rsid w:val="006B0E39"/>
    <w:rsid w:val="006B2422"/>
    <w:rsid w:val="006B26A9"/>
    <w:rsid w:val="006B2B9A"/>
    <w:rsid w:val="006C1937"/>
    <w:rsid w:val="006D0BE1"/>
    <w:rsid w:val="006F020C"/>
    <w:rsid w:val="007127B7"/>
    <w:rsid w:val="0071798E"/>
    <w:rsid w:val="007416B6"/>
    <w:rsid w:val="007449E6"/>
    <w:rsid w:val="00746956"/>
    <w:rsid w:val="00746F48"/>
    <w:rsid w:val="0075404D"/>
    <w:rsid w:val="0076182A"/>
    <w:rsid w:val="00767B7E"/>
    <w:rsid w:val="00774D75"/>
    <w:rsid w:val="007770C3"/>
    <w:rsid w:val="00784D24"/>
    <w:rsid w:val="00785FBA"/>
    <w:rsid w:val="00786E4A"/>
    <w:rsid w:val="007875EB"/>
    <w:rsid w:val="00791D48"/>
    <w:rsid w:val="00793510"/>
    <w:rsid w:val="0079426B"/>
    <w:rsid w:val="007D1682"/>
    <w:rsid w:val="007D312A"/>
    <w:rsid w:val="007D3F19"/>
    <w:rsid w:val="007D42E7"/>
    <w:rsid w:val="007D7B02"/>
    <w:rsid w:val="007E23B0"/>
    <w:rsid w:val="007E23E5"/>
    <w:rsid w:val="007E3B4D"/>
    <w:rsid w:val="007F1991"/>
    <w:rsid w:val="007F2C2F"/>
    <w:rsid w:val="007F55FC"/>
    <w:rsid w:val="007F5665"/>
    <w:rsid w:val="00800112"/>
    <w:rsid w:val="0080066E"/>
    <w:rsid w:val="00813348"/>
    <w:rsid w:val="008253BB"/>
    <w:rsid w:val="0083706E"/>
    <w:rsid w:val="008408F6"/>
    <w:rsid w:val="008423A5"/>
    <w:rsid w:val="00850625"/>
    <w:rsid w:val="00853718"/>
    <w:rsid w:val="00855221"/>
    <w:rsid w:val="00860645"/>
    <w:rsid w:val="00863982"/>
    <w:rsid w:val="00871F71"/>
    <w:rsid w:val="00872FD8"/>
    <w:rsid w:val="00885AF4"/>
    <w:rsid w:val="008939CD"/>
    <w:rsid w:val="008A4914"/>
    <w:rsid w:val="008B768C"/>
    <w:rsid w:val="008C112E"/>
    <w:rsid w:val="008C4DB1"/>
    <w:rsid w:val="008C4EAF"/>
    <w:rsid w:val="008C5176"/>
    <w:rsid w:val="008C7FD0"/>
    <w:rsid w:val="008E1DE7"/>
    <w:rsid w:val="008E241C"/>
    <w:rsid w:val="008E707C"/>
    <w:rsid w:val="008E7622"/>
    <w:rsid w:val="00900B08"/>
    <w:rsid w:val="00902155"/>
    <w:rsid w:val="00902FA3"/>
    <w:rsid w:val="00923564"/>
    <w:rsid w:val="0092392E"/>
    <w:rsid w:val="00923D16"/>
    <w:rsid w:val="009304EE"/>
    <w:rsid w:val="009315F9"/>
    <w:rsid w:val="00933499"/>
    <w:rsid w:val="00935C98"/>
    <w:rsid w:val="009408DC"/>
    <w:rsid w:val="00946945"/>
    <w:rsid w:val="00950A0D"/>
    <w:rsid w:val="00951248"/>
    <w:rsid w:val="0095152F"/>
    <w:rsid w:val="0095192C"/>
    <w:rsid w:val="00952F40"/>
    <w:rsid w:val="00954C49"/>
    <w:rsid w:val="00955E37"/>
    <w:rsid w:val="00960BBA"/>
    <w:rsid w:val="009702E9"/>
    <w:rsid w:val="0097099F"/>
    <w:rsid w:val="00971997"/>
    <w:rsid w:val="00971FFC"/>
    <w:rsid w:val="00973449"/>
    <w:rsid w:val="0098660A"/>
    <w:rsid w:val="00990DE9"/>
    <w:rsid w:val="009917C8"/>
    <w:rsid w:val="009931C3"/>
    <w:rsid w:val="009A5D5B"/>
    <w:rsid w:val="009B2C43"/>
    <w:rsid w:val="009B4EAE"/>
    <w:rsid w:val="009B7573"/>
    <w:rsid w:val="009C22F4"/>
    <w:rsid w:val="009C2A4B"/>
    <w:rsid w:val="009C2E98"/>
    <w:rsid w:val="009C4E1B"/>
    <w:rsid w:val="009C6925"/>
    <w:rsid w:val="009C7A36"/>
    <w:rsid w:val="009D3447"/>
    <w:rsid w:val="009D4711"/>
    <w:rsid w:val="009D5F73"/>
    <w:rsid w:val="009F1185"/>
    <w:rsid w:val="009F18CD"/>
    <w:rsid w:val="009F2A13"/>
    <w:rsid w:val="009F7527"/>
    <w:rsid w:val="00A00673"/>
    <w:rsid w:val="00A02A08"/>
    <w:rsid w:val="00A04EB0"/>
    <w:rsid w:val="00A10734"/>
    <w:rsid w:val="00A13CC1"/>
    <w:rsid w:val="00A16847"/>
    <w:rsid w:val="00A21F8E"/>
    <w:rsid w:val="00A22881"/>
    <w:rsid w:val="00A237D8"/>
    <w:rsid w:val="00A268C4"/>
    <w:rsid w:val="00A307CD"/>
    <w:rsid w:val="00A331C8"/>
    <w:rsid w:val="00A40A00"/>
    <w:rsid w:val="00A4142F"/>
    <w:rsid w:val="00A422EB"/>
    <w:rsid w:val="00A45BB7"/>
    <w:rsid w:val="00A538C0"/>
    <w:rsid w:val="00A546B5"/>
    <w:rsid w:val="00A55D84"/>
    <w:rsid w:val="00A56DF2"/>
    <w:rsid w:val="00A56E6E"/>
    <w:rsid w:val="00A57573"/>
    <w:rsid w:val="00A6418D"/>
    <w:rsid w:val="00A659DA"/>
    <w:rsid w:val="00A67AB5"/>
    <w:rsid w:val="00A733B2"/>
    <w:rsid w:val="00A741C2"/>
    <w:rsid w:val="00A80D95"/>
    <w:rsid w:val="00A91760"/>
    <w:rsid w:val="00A93B00"/>
    <w:rsid w:val="00A93C21"/>
    <w:rsid w:val="00AA0985"/>
    <w:rsid w:val="00AB097E"/>
    <w:rsid w:val="00AB64C9"/>
    <w:rsid w:val="00AC0115"/>
    <w:rsid w:val="00AC3C6A"/>
    <w:rsid w:val="00AD21B1"/>
    <w:rsid w:val="00AD45B2"/>
    <w:rsid w:val="00AD5620"/>
    <w:rsid w:val="00AD656B"/>
    <w:rsid w:val="00AD7C1B"/>
    <w:rsid w:val="00AE16BA"/>
    <w:rsid w:val="00AE1EBE"/>
    <w:rsid w:val="00B0155E"/>
    <w:rsid w:val="00B03C9D"/>
    <w:rsid w:val="00B060AE"/>
    <w:rsid w:val="00B10517"/>
    <w:rsid w:val="00B14E76"/>
    <w:rsid w:val="00B161B8"/>
    <w:rsid w:val="00B2048C"/>
    <w:rsid w:val="00B21B5B"/>
    <w:rsid w:val="00B310B9"/>
    <w:rsid w:val="00B32DA3"/>
    <w:rsid w:val="00B35040"/>
    <w:rsid w:val="00B35F3F"/>
    <w:rsid w:val="00B36CBB"/>
    <w:rsid w:val="00B425E0"/>
    <w:rsid w:val="00B440AA"/>
    <w:rsid w:val="00B44B70"/>
    <w:rsid w:val="00B4704F"/>
    <w:rsid w:val="00B53C56"/>
    <w:rsid w:val="00B56F59"/>
    <w:rsid w:val="00B57DAF"/>
    <w:rsid w:val="00B64ADB"/>
    <w:rsid w:val="00B64EC1"/>
    <w:rsid w:val="00B761EA"/>
    <w:rsid w:val="00B77EA6"/>
    <w:rsid w:val="00B81598"/>
    <w:rsid w:val="00B841F1"/>
    <w:rsid w:val="00B930A5"/>
    <w:rsid w:val="00B944D6"/>
    <w:rsid w:val="00B94D03"/>
    <w:rsid w:val="00BA05DA"/>
    <w:rsid w:val="00BA2138"/>
    <w:rsid w:val="00BB4DF0"/>
    <w:rsid w:val="00BB64C5"/>
    <w:rsid w:val="00BC289F"/>
    <w:rsid w:val="00BC2D50"/>
    <w:rsid w:val="00BC5361"/>
    <w:rsid w:val="00BC5460"/>
    <w:rsid w:val="00BC6B50"/>
    <w:rsid w:val="00BD0E25"/>
    <w:rsid w:val="00BF5BD6"/>
    <w:rsid w:val="00C03E31"/>
    <w:rsid w:val="00C119F6"/>
    <w:rsid w:val="00C33E72"/>
    <w:rsid w:val="00C354B2"/>
    <w:rsid w:val="00C35554"/>
    <w:rsid w:val="00C40E15"/>
    <w:rsid w:val="00C42709"/>
    <w:rsid w:val="00C533CC"/>
    <w:rsid w:val="00C547C8"/>
    <w:rsid w:val="00C54EF1"/>
    <w:rsid w:val="00C5751C"/>
    <w:rsid w:val="00C60313"/>
    <w:rsid w:val="00C60CB2"/>
    <w:rsid w:val="00C61BFC"/>
    <w:rsid w:val="00C62B85"/>
    <w:rsid w:val="00C65438"/>
    <w:rsid w:val="00C87FD8"/>
    <w:rsid w:val="00C91381"/>
    <w:rsid w:val="00C91CBB"/>
    <w:rsid w:val="00C91F40"/>
    <w:rsid w:val="00C956AA"/>
    <w:rsid w:val="00CA1823"/>
    <w:rsid w:val="00CB4E70"/>
    <w:rsid w:val="00CC09B6"/>
    <w:rsid w:val="00CC2B55"/>
    <w:rsid w:val="00CC618A"/>
    <w:rsid w:val="00CC666F"/>
    <w:rsid w:val="00CD0235"/>
    <w:rsid w:val="00CD0DA6"/>
    <w:rsid w:val="00CD1E3F"/>
    <w:rsid w:val="00CE44F6"/>
    <w:rsid w:val="00CE49DA"/>
    <w:rsid w:val="00CE7B61"/>
    <w:rsid w:val="00CF212E"/>
    <w:rsid w:val="00D00095"/>
    <w:rsid w:val="00D00F26"/>
    <w:rsid w:val="00D02098"/>
    <w:rsid w:val="00D0609B"/>
    <w:rsid w:val="00D114F0"/>
    <w:rsid w:val="00D16691"/>
    <w:rsid w:val="00D16AF9"/>
    <w:rsid w:val="00D20620"/>
    <w:rsid w:val="00D254B2"/>
    <w:rsid w:val="00D254F7"/>
    <w:rsid w:val="00D26091"/>
    <w:rsid w:val="00D2685C"/>
    <w:rsid w:val="00D27CC5"/>
    <w:rsid w:val="00D343E1"/>
    <w:rsid w:val="00D34E7C"/>
    <w:rsid w:val="00D35489"/>
    <w:rsid w:val="00D36AFE"/>
    <w:rsid w:val="00D44582"/>
    <w:rsid w:val="00D50657"/>
    <w:rsid w:val="00D51276"/>
    <w:rsid w:val="00D53770"/>
    <w:rsid w:val="00D6760B"/>
    <w:rsid w:val="00D7035F"/>
    <w:rsid w:val="00D76248"/>
    <w:rsid w:val="00D77BA7"/>
    <w:rsid w:val="00DA634F"/>
    <w:rsid w:val="00DA65AC"/>
    <w:rsid w:val="00DB1913"/>
    <w:rsid w:val="00DB5B1B"/>
    <w:rsid w:val="00DC2D6A"/>
    <w:rsid w:val="00DC410D"/>
    <w:rsid w:val="00DC5A81"/>
    <w:rsid w:val="00DC68CA"/>
    <w:rsid w:val="00DC7CBA"/>
    <w:rsid w:val="00DD0519"/>
    <w:rsid w:val="00DD34AF"/>
    <w:rsid w:val="00DD63C6"/>
    <w:rsid w:val="00DD73B7"/>
    <w:rsid w:val="00DF28BC"/>
    <w:rsid w:val="00DF34B9"/>
    <w:rsid w:val="00E01053"/>
    <w:rsid w:val="00E02AAD"/>
    <w:rsid w:val="00E03C7F"/>
    <w:rsid w:val="00E07ACF"/>
    <w:rsid w:val="00E17776"/>
    <w:rsid w:val="00E21D8C"/>
    <w:rsid w:val="00E22585"/>
    <w:rsid w:val="00E2326B"/>
    <w:rsid w:val="00E331A1"/>
    <w:rsid w:val="00E33202"/>
    <w:rsid w:val="00E336A9"/>
    <w:rsid w:val="00E449E5"/>
    <w:rsid w:val="00E472B1"/>
    <w:rsid w:val="00E5040D"/>
    <w:rsid w:val="00E50624"/>
    <w:rsid w:val="00E568DF"/>
    <w:rsid w:val="00E60032"/>
    <w:rsid w:val="00E64269"/>
    <w:rsid w:val="00E72001"/>
    <w:rsid w:val="00E7778F"/>
    <w:rsid w:val="00E82267"/>
    <w:rsid w:val="00E83BB0"/>
    <w:rsid w:val="00E853CE"/>
    <w:rsid w:val="00E85BB7"/>
    <w:rsid w:val="00E867B6"/>
    <w:rsid w:val="00E93796"/>
    <w:rsid w:val="00EA010F"/>
    <w:rsid w:val="00ED1B63"/>
    <w:rsid w:val="00ED3C1F"/>
    <w:rsid w:val="00ED4085"/>
    <w:rsid w:val="00ED420E"/>
    <w:rsid w:val="00ED6FBE"/>
    <w:rsid w:val="00EE2F57"/>
    <w:rsid w:val="00EF1206"/>
    <w:rsid w:val="00EF4C34"/>
    <w:rsid w:val="00EF6239"/>
    <w:rsid w:val="00EF77C6"/>
    <w:rsid w:val="00F05438"/>
    <w:rsid w:val="00F06A16"/>
    <w:rsid w:val="00F1361C"/>
    <w:rsid w:val="00F13969"/>
    <w:rsid w:val="00F156F0"/>
    <w:rsid w:val="00F160C7"/>
    <w:rsid w:val="00F2408F"/>
    <w:rsid w:val="00F240E9"/>
    <w:rsid w:val="00F306E7"/>
    <w:rsid w:val="00F36D8F"/>
    <w:rsid w:val="00F417B1"/>
    <w:rsid w:val="00F432B9"/>
    <w:rsid w:val="00F45853"/>
    <w:rsid w:val="00F569BB"/>
    <w:rsid w:val="00F602DF"/>
    <w:rsid w:val="00F647CD"/>
    <w:rsid w:val="00F705E3"/>
    <w:rsid w:val="00F754A1"/>
    <w:rsid w:val="00F81FD9"/>
    <w:rsid w:val="00F841AA"/>
    <w:rsid w:val="00F84A94"/>
    <w:rsid w:val="00F87E96"/>
    <w:rsid w:val="00FA23E8"/>
    <w:rsid w:val="00FA3744"/>
    <w:rsid w:val="00FD3CC1"/>
    <w:rsid w:val="00FF1E02"/>
    <w:rsid w:val="00FF30B4"/>
    <w:rsid w:val="015975B8"/>
    <w:rsid w:val="02143E91"/>
    <w:rsid w:val="066E0107"/>
    <w:rsid w:val="07996F6E"/>
    <w:rsid w:val="0A2032A3"/>
    <w:rsid w:val="0F98263C"/>
    <w:rsid w:val="101860EC"/>
    <w:rsid w:val="10C055FF"/>
    <w:rsid w:val="118107EC"/>
    <w:rsid w:val="13D50BC4"/>
    <w:rsid w:val="16BB723D"/>
    <w:rsid w:val="1BE8440E"/>
    <w:rsid w:val="1D155CEE"/>
    <w:rsid w:val="1FF35744"/>
    <w:rsid w:val="23860B96"/>
    <w:rsid w:val="240371BF"/>
    <w:rsid w:val="29FD04D3"/>
    <w:rsid w:val="2BF6247C"/>
    <w:rsid w:val="2C8A61B5"/>
    <w:rsid w:val="2DF04E50"/>
    <w:rsid w:val="2F040D46"/>
    <w:rsid w:val="319F7F4E"/>
    <w:rsid w:val="3304709D"/>
    <w:rsid w:val="36AA5135"/>
    <w:rsid w:val="376D39B2"/>
    <w:rsid w:val="37E16F03"/>
    <w:rsid w:val="38D469F0"/>
    <w:rsid w:val="3D98207C"/>
    <w:rsid w:val="3E78745D"/>
    <w:rsid w:val="44E268DA"/>
    <w:rsid w:val="4A627F82"/>
    <w:rsid w:val="4B0E749A"/>
    <w:rsid w:val="4B4F25DA"/>
    <w:rsid w:val="4BE068DB"/>
    <w:rsid w:val="4D577224"/>
    <w:rsid w:val="4EAB630A"/>
    <w:rsid w:val="4ECE2238"/>
    <w:rsid w:val="537E6D0A"/>
    <w:rsid w:val="5AF92295"/>
    <w:rsid w:val="5CD71FC4"/>
    <w:rsid w:val="6C4A05C8"/>
    <w:rsid w:val="6E7E3605"/>
    <w:rsid w:val="6FF5CC65"/>
    <w:rsid w:val="715C0E4B"/>
    <w:rsid w:val="72734D90"/>
    <w:rsid w:val="73AD73D5"/>
    <w:rsid w:val="73B6EB34"/>
    <w:rsid w:val="744731E5"/>
    <w:rsid w:val="76E3355F"/>
    <w:rsid w:val="778769C8"/>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标题 1 Char1"/>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图</a:t>
            </a:r>
            <a:r>
              <a:rPr lang="en-US" altLang="zh-CN"/>
              <a:t>1</a:t>
            </a:r>
            <a:r>
              <a:rPr altLang="en-US"/>
              <a:t>：</a:t>
            </a:r>
            <a:r>
              <a:t>收、支决算总计</a:t>
            </a:r>
          </a:p>
        </c:rich>
      </c:tx>
      <c:layout/>
      <c:overlay val="0"/>
      <c:spPr>
        <a:noFill/>
        <a:ln>
          <a:noFill/>
        </a:ln>
        <a:effectLst/>
      </c:spPr>
    </c:title>
    <c:autoTitleDeleted val="0"/>
    <c:plotArea>
      <c:layout>
        <c:manualLayout>
          <c:layoutTarget val="inner"/>
          <c:xMode val="edge"/>
          <c:yMode val="edge"/>
          <c:x val="0.02925"/>
          <c:y val="0.143500000000001"/>
          <c:w val="0.945000000000001"/>
          <c:h val="0.704733333333334"/>
        </c:manualLayout>
      </c:layout>
      <c:barChart>
        <c:barDir val="col"/>
        <c:grouping val="clustered"/>
        <c:varyColors val="0"/>
        <c:ser>
          <c:idx val="0"/>
          <c:order val="0"/>
          <c:tx>
            <c:strRef>
              <c:f>Sheet1!$B$1</c:f>
              <c:strCache>
                <c:ptCount val="1"/>
                <c:pt idx="0">
                  <c:v>收、支总计</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layout>
                <c:manualLayout>
                  <c:x val="0.02225"/>
                  <c:y val="-0.14083333333333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85000"/>
                            <a:lumOff val="15000"/>
                          </a:schemeClr>
                        </a:solidFill>
                        <a:latin typeface="+mn-lt"/>
                        <a:ea typeface="+mn-ea"/>
                        <a:cs typeface="+mn-cs"/>
                      </a:defRPr>
                    </a:pPr>
                    <a:r>
                      <a:rPr lang="en-US" altLang="zh-CN" b="0">
                        <a:solidFill>
                          <a:schemeClr val="tx1">
                            <a:lumMod val="85000"/>
                            <a:lumOff val="15000"/>
                          </a:schemeClr>
                        </a:solidFill>
                      </a:rPr>
                      <a:t>2021</a:t>
                    </a:r>
                    <a:r>
                      <a:rPr altLang="en-US" b="0">
                        <a:solidFill>
                          <a:schemeClr val="tx1">
                            <a:lumMod val="85000"/>
                            <a:lumOff val="15000"/>
                          </a:schemeClr>
                        </a:solidFill>
                      </a:rPr>
                      <a:t>年度收、支</a:t>
                    </a:r>
                    <a:r>
                      <a:rPr b="0">
                        <a:solidFill>
                          <a:schemeClr val="tx1">
                            <a:lumMod val="85000"/>
                            <a:lumOff val="15000"/>
                          </a:schemeClr>
                        </a:solidFill>
                      </a:rPr>
                      <a:t>1422.02万元</a:t>
                    </a:r>
                    <a:endParaRPr b="0">
                      <a:solidFill>
                        <a:schemeClr val="tx1">
                          <a:lumMod val="85000"/>
                          <a:lumOff val="15000"/>
                        </a:schemeClr>
                      </a:solidFill>
                    </a:endParaRPr>
                  </a:p>
                </c:rich>
              </c:tx>
              <c:dLblPos val="inEnd"/>
              <c:showLegendKey val="0"/>
              <c:showVal val="1"/>
              <c:showCatName val="0"/>
              <c:showSerName val="0"/>
              <c:showPercent val="0"/>
              <c:showBubbleSize val="0"/>
              <c:extLst>
                <c:ext xmlns:c15="http://schemas.microsoft.com/office/drawing/2012/chart" uri="{CE6537A1-D6FC-4f65-9D91-7224C49458BB}">
                  <c15:layout>
                    <c:manualLayout>
                      <c:w val="0.3405"/>
                      <c:h val="0.0605"/>
                    </c:manualLayout>
                  </c15:layout>
                </c:ext>
              </c:extLst>
            </c:dLbl>
            <c:dLbl>
              <c:idx val="1"/>
              <c:layout>
                <c:manualLayout>
                  <c:x val="0.0988750000000002"/>
                  <c:y val="-0.106666666666667"/>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85000"/>
                            <a:lumOff val="15000"/>
                          </a:schemeClr>
                        </a:solidFill>
                        <a:latin typeface="+mn-lt"/>
                        <a:ea typeface="+mn-ea"/>
                        <a:cs typeface="+mn-cs"/>
                      </a:defRPr>
                    </a:pPr>
                    <a:r>
                      <a:rPr lang="en-US" altLang="zh-CN" b="0">
                        <a:solidFill>
                          <a:schemeClr val="tx1">
                            <a:lumMod val="85000"/>
                            <a:lumOff val="15000"/>
                          </a:schemeClr>
                        </a:solidFill>
                      </a:rPr>
                      <a:t>2022</a:t>
                    </a:r>
                    <a:r>
                      <a:rPr altLang="en-US" b="0">
                        <a:solidFill>
                          <a:schemeClr val="tx1">
                            <a:lumMod val="85000"/>
                            <a:lumOff val="15000"/>
                          </a:schemeClr>
                        </a:solidFill>
                      </a:rPr>
                      <a:t>年度收、支</a:t>
                    </a:r>
                    <a:r>
                      <a:rPr b="0">
                        <a:solidFill>
                          <a:schemeClr val="tx1">
                            <a:lumMod val="85000"/>
                            <a:lumOff val="15000"/>
                          </a:schemeClr>
                        </a:solidFill>
                      </a:rPr>
                      <a:t>1560.21万元</a:t>
                    </a:r>
                    <a:endParaRPr b="0">
                      <a:solidFill>
                        <a:schemeClr val="tx1">
                          <a:lumMod val="85000"/>
                          <a:lumOff val="15000"/>
                        </a:schemeClr>
                      </a:solidFill>
                    </a:endParaRPr>
                  </a:p>
                </c:rich>
              </c:tx>
              <c:dLblPos val="inEnd"/>
              <c:showLegendKey val="0"/>
              <c:showVal val="1"/>
              <c:showCatName val="0"/>
              <c:showSerName val="0"/>
              <c:showPercent val="0"/>
              <c:showBubbleSize val="0"/>
              <c:extLst>
                <c:ext xmlns:c15="http://schemas.microsoft.com/office/drawing/2012/chart" uri="{CE6537A1-D6FC-4f65-9D91-7224C49458BB}">
                  <c15:layout>
                    <c:manualLayout>
                      <c:w val="0.372375"/>
                      <c:h val="0.076"/>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85000"/>
                        <a:lumOff val="1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2021年度</c:v>
                </c:pt>
                <c:pt idx="1">
                  <c:v>2022年度</c:v>
                </c:pt>
              </c:strCache>
            </c:strRef>
          </c:cat>
          <c:val>
            <c:numRef>
              <c:f>Sheet1!$B$2:$B$3</c:f>
              <c:numCache>
                <c:formatCode>General</c:formatCode>
                <c:ptCount val="2"/>
                <c:pt idx="0">
                  <c:v>1422.02</c:v>
                </c:pt>
                <c:pt idx="1">
                  <c:v>1560.21</c:v>
                </c:pt>
              </c:numCache>
            </c:numRef>
          </c:val>
        </c:ser>
        <c:ser>
          <c:idx val="1"/>
          <c:order val="1"/>
          <c:tx>
            <c:strRef>
              <c:f>Sheet1!$C$1</c:f>
              <c:strCache>
                <c:ptCount val="1"/>
                <c:pt idx="0">
                  <c:v/>
                </c:pt>
              </c:strCache>
            </c:strRef>
          </c:tx>
          <c:spPr>
            <a:solidFill>
              <a:schemeClr val="accent2">
                <a:alpha val="85000"/>
              </a:schemeClr>
            </a:solidFill>
            <a:ln w="9525" cap="flat" cmpd="sng" algn="ctr">
              <a:solidFill>
                <a:schemeClr val="lt1">
                  <a:alpha val="50000"/>
                </a:schemeClr>
              </a:solidFill>
              <a:round/>
            </a:ln>
            <a:effectLst/>
          </c:spPr>
          <c:invertIfNegative val="0"/>
          <c:dLbls>
            <c:dLbl>
              <c:idx val="0"/>
              <c:layout>
                <c:manualLayout>
                  <c:x val="0.012"/>
                  <c:y val="-0.1"/>
                </c:manualLayout>
              </c:layout>
              <c:tx>
                <c:rich>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r>
                      <a:rPr>
                        <a:solidFill>
                          <a:schemeClr val="tx1">
                            <a:lumMod val="85000"/>
                            <a:lumOff val="15000"/>
                          </a:schemeClr>
                        </a:solidFill>
                      </a:rPr>
                      <a:t>增加支出</a:t>
                    </a:r>
                    <a:endParaRPr>
                      <a:solidFill>
                        <a:schemeClr val="tx1">
                          <a:lumMod val="85000"/>
                          <a:lumOff val="15000"/>
                        </a:schemeClr>
                      </a:solidFill>
                    </a:endParaRPr>
                  </a:p>
                </c:rich>
              </c:tx>
              <c:dLblPos val="inEnd"/>
              <c:showLegendKey val="0"/>
              <c:showVal val="1"/>
              <c:showCatName val="0"/>
              <c:showSerName val="0"/>
              <c:showPercent val="0"/>
              <c:showBubbleSize val="0"/>
              <c:extLst>
                <c:ext xmlns:c15="http://schemas.microsoft.com/office/drawing/2012/chart" uri="{CE6537A1-D6FC-4f65-9D91-7224C49458BB}">
                  <c15:layout>
                    <c:manualLayout>
                      <c:w val="0.132125"/>
                      <c:h val="0.0358333333333333"/>
                    </c:manualLayout>
                  </c15:layout>
                </c:ext>
              </c:extLst>
            </c:dLbl>
            <c:dLbl>
              <c:idx val="1"/>
              <c:layout>
                <c:manualLayout>
                  <c:x val="0.0540625000000001"/>
                  <c:y val="-0.257"/>
                </c:manualLayout>
              </c:layout>
              <c:tx>
                <c:rich>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r>
                      <a:rPr>
                        <a:solidFill>
                          <a:schemeClr val="tx1">
                            <a:lumMod val="85000"/>
                            <a:lumOff val="15000"/>
                          </a:schemeClr>
                        </a:solidFill>
                      </a:rPr>
                      <a:t>巩固脱贫衔接乡村振兴</a:t>
                    </a:r>
                    <a:endParaRPr>
                      <a:solidFill>
                        <a:schemeClr val="tx1">
                          <a:lumMod val="85000"/>
                          <a:lumOff val="15000"/>
                        </a:schemeClr>
                      </a:solidFill>
                    </a:endParaRPr>
                  </a:p>
                  <a:p>
                    <a:pPr>
                      <a:defRPr lang="zh-CN" sz="900" b="1" i="0" u="none" strike="noStrike" kern="1200" baseline="0">
                        <a:solidFill>
                          <a:schemeClr val="tx1">
                            <a:lumMod val="85000"/>
                            <a:lumOff val="15000"/>
                          </a:schemeClr>
                        </a:solidFill>
                        <a:latin typeface="+mn-lt"/>
                        <a:ea typeface="+mn-ea"/>
                        <a:cs typeface="+mn-cs"/>
                      </a:defRPr>
                    </a:pPr>
                    <a:r>
                      <a:rPr>
                        <a:solidFill>
                          <a:schemeClr val="tx1">
                            <a:lumMod val="85000"/>
                            <a:lumOff val="15000"/>
                          </a:schemeClr>
                        </a:solidFill>
                      </a:rPr>
                      <a:t>项目支出151.26万元</a:t>
                    </a:r>
                    <a:endParaRPr>
                      <a:solidFill>
                        <a:schemeClr val="tx1">
                          <a:lumMod val="85000"/>
                          <a:lumOff val="15000"/>
                        </a:schemeClr>
                      </a:solidFill>
                    </a:endParaRPr>
                  </a:p>
                </c:rich>
              </c:tx>
              <c:dLblPos val="inEnd"/>
              <c:showLegendKey val="0"/>
              <c:showVal val="1"/>
              <c:showCatName val="0"/>
              <c:showSerName val="0"/>
              <c:showPercent val="0"/>
              <c:showBubbleSize val="0"/>
              <c:extLst>
                <c:ext xmlns:c15="http://schemas.microsoft.com/office/drawing/2012/chart" uri="{CE6537A1-D6FC-4f65-9D91-7224C49458BB}">
                  <c15:layout>
                    <c:manualLayout>
                      <c:w val="0.388125"/>
                      <c:h val="0.127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2021年度</c:v>
                </c:pt>
                <c:pt idx="1">
                  <c:v>2022年度</c:v>
                </c:pt>
              </c:strCache>
            </c:strRef>
          </c:cat>
          <c:val>
            <c:numRef>
              <c:f>Sheet1!$C$2:$C$3</c:f>
              <c:numCache>
                <c:formatCode>General</c:formatCode>
                <c:ptCount val="2"/>
              </c:numCache>
            </c:numRef>
          </c:val>
        </c:ser>
        <c:ser>
          <c:idx val="2"/>
          <c:order val="2"/>
          <c:tx>
            <c:strRef>
              <c:f>Sheet1!$D$1</c:f>
              <c:strCache>
                <c:ptCount val="1"/>
                <c:pt idx="0">
                  <c:v/>
                </c:pt>
              </c:strCache>
            </c:strRef>
          </c:tx>
          <c:spPr>
            <a:solidFill>
              <a:schemeClr val="accent3">
                <a:alpha val="85000"/>
              </a:schemeClr>
            </a:solidFill>
            <a:ln w="9525" cap="flat" cmpd="sng" algn="ctr">
              <a:solidFill>
                <a:schemeClr val="lt1">
                  <a:alpha val="50000"/>
                </a:schemeClr>
              </a:solidFill>
              <a:round/>
            </a:ln>
            <a:effectLst/>
          </c:spPr>
          <c:invertIfNegative val="0"/>
          <c:dLbls>
            <c:dLbl>
              <c:idx val="0"/>
              <c:layout>
                <c:manualLayout>
                  <c:x val="0.022125"/>
                  <c:y val="-0.0476666666666667"/>
                </c:manualLayout>
              </c:layout>
              <c:tx>
                <c:rich>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r>
                      <a:rPr>
                        <a:solidFill>
                          <a:schemeClr val="tx1">
                            <a:lumMod val="85000"/>
                            <a:lumOff val="15000"/>
                          </a:schemeClr>
                        </a:solidFill>
                      </a:rPr>
                      <a:t>增长0</a:t>
                    </a:r>
                    <a:r>
                      <a:rPr lang="en-US" altLang="zh-CN">
                        <a:solidFill>
                          <a:schemeClr val="tx1">
                            <a:lumMod val="85000"/>
                            <a:lumOff val="15000"/>
                          </a:schemeClr>
                        </a:solidFill>
                      </a:rPr>
                      <a:t>%</a:t>
                    </a:r>
                    <a:endParaRPr lang="en-US" altLang="zh-CN">
                      <a:solidFill>
                        <a:schemeClr val="tx1">
                          <a:lumMod val="85000"/>
                          <a:lumOff val="15000"/>
                        </a:schemeClr>
                      </a:solidFill>
                    </a:endParaRPr>
                  </a:p>
                </c:rich>
              </c:tx>
              <c:dLblPos val="inEnd"/>
              <c:showLegendKey val="0"/>
              <c:showVal val="1"/>
              <c:showCatName val="0"/>
              <c:showSerName val="0"/>
              <c:showPercent val="0"/>
              <c:showBubbleSize val="0"/>
              <c:extLst>
                <c:ext xmlns:c15="http://schemas.microsoft.com/office/drawing/2012/chart" uri="{CE6537A1-D6FC-4f65-9D91-7224C49458BB}">
                  <c15:layout>
                    <c:manualLayout>
                      <c:w val="0.122"/>
                      <c:h val="0.0563333333333333"/>
                    </c:manualLayout>
                  </c15:layout>
                </c:ext>
              </c:extLst>
            </c:dLbl>
            <c:dLbl>
              <c:idx val="1"/>
              <c:layout>
                <c:manualLayout>
                  <c:x val="0.0325"/>
                  <c:y val="-0.0636666666666667"/>
                </c:manualLayout>
              </c:layout>
              <c:tx>
                <c:rich>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r>
                      <a:rPr>
                        <a:solidFill>
                          <a:schemeClr val="tx1">
                            <a:lumMod val="85000"/>
                            <a:lumOff val="15000"/>
                          </a:schemeClr>
                        </a:solidFill>
                      </a:rPr>
                      <a:t>增长9.72%</a:t>
                    </a:r>
                    <a:endParaRPr>
                      <a:solidFill>
                        <a:schemeClr val="tx1">
                          <a:lumMod val="85000"/>
                          <a:lumOff val="15000"/>
                        </a:schemeClr>
                      </a:solidFill>
                    </a:endParaRPr>
                  </a:p>
                </c:rich>
              </c:tx>
              <c:dLblPos val="inEnd"/>
              <c:showLegendKey val="0"/>
              <c:showVal val="1"/>
              <c:showCatName val="0"/>
              <c:showSerName val="0"/>
              <c:showPercent val="0"/>
              <c:showBubbleSize val="0"/>
              <c:extLst>
                <c:ext xmlns:c15="http://schemas.microsoft.com/office/drawing/2012/chart" uri="{CE6537A1-D6FC-4f65-9D91-7224C49458BB}">
                  <c15:layout>
                    <c:manualLayout>
                      <c:w val="0.161125"/>
                      <c:h val="0.0518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2021年度</c:v>
                </c:pt>
                <c:pt idx="1">
                  <c:v>2022年度</c:v>
                </c:pt>
              </c:strCache>
            </c:strRef>
          </c:cat>
          <c:val>
            <c:numRef>
              <c:f>Sheet1!$D$2:$D$3</c:f>
              <c:numCache>
                <c:formatCode>General</c:formatCode>
                <c:ptCount val="2"/>
              </c:numCache>
            </c:numRef>
          </c:val>
        </c:ser>
        <c:dLbls>
          <c:showLegendKey val="0"/>
          <c:showVal val="1"/>
          <c:showCatName val="0"/>
          <c:showSerName val="0"/>
          <c:showPercent val="0"/>
          <c:showBubbleSize val="0"/>
        </c:dLbls>
        <c:gapWidth val="65"/>
        <c:axId val="41937536"/>
        <c:axId val="48259456"/>
      </c:barChart>
      <c:catAx>
        <c:axId val="41937536"/>
        <c:scaling>
          <c:orientation val="minMax"/>
        </c:scaling>
        <c:delete val="0"/>
        <c:axPos val="b"/>
        <c:majorTickMark val="none"/>
        <c:minorTickMark val="none"/>
        <c:tickLblPos val="nextTo"/>
        <c:spPr>
          <a:noFill/>
          <a:ln w="19050" cap="flat" cmpd="sng" algn="ctr">
            <a:solidFill>
              <a:schemeClr val="dk1">
                <a:lumMod val="75000"/>
                <a:lumOff val="25000"/>
              </a:schemeClr>
            </a:solidFill>
            <a:prstDash val="solid"/>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48259456"/>
        <c:crosses val="autoZero"/>
        <c:auto val="1"/>
        <c:lblAlgn val="ctr"/>
        <c:lblOffset val="100"/>
        <c:noMultiLvlLbl val="0"/>
      </c:catAx>
      <c:valAx>
        <c:axId val="4825945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prstDash val="solid"/>
              <a:round/>
            </a:ln>
            <a:effectLst/>
          </c:spPr>
        </c:majorGridlines>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937536"/>
        <c:crosses val="autoZero"/>
        <c:crossBetween val="between"/>
      </c:valAx>
      <c:spPr>
        <a:noFill/>
        <a:ln>
          <a:noFill/>
        </a:ln>
        <a:effectLst/>
      </c:spPr>
    </c:plotArea>
    <c:legend>
      <c:legendPos val="b"/>
      <c:legendEntry>
        <c:idx val="1"/>
        <c:delete val="1"/>
      </c:legendEntry>
      <c:legendEntry>
        <c:idx val="2"/>
        <c:delete val="1"/>
      </c:legendEntry>
      <c:layout>
        <c:manualLayout>
          <c:xMode val="edge"/>
          <c:yMode val="edge"/>
          <c:x val="0.120125"/>
          <c:y val="0.924166666666667"/>
          <c:w val="0.739750000000001"/>
          <c:h val="0.0413333333333335"/>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图2：财政拨款收入</a:t>
            </a:r>
          </a:p>
        </c:rich>
      </c:tx>
      <c:layout>
        <c:manualLayout>
          <c:xMode val="edge"/>
          <c:yMode val="edge"/>
          <c:x val="0.312563159920445"/>
          <c:y val="0"/>
        </c:manualLayout>
      </c:layout>
      <c:overlay val="0"/>
      <c:spPr>
        <a:noFill/>
        <a:ln>
          <a:noFill/>
        </a:ln>
        <a:effectLst/>
      </c:sp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2039421214538"/>
          <c:y val="0.124317966500179"/>
          <c:w val="0.943488663552467"/>
          <c:h val="0.747896084888402"/>
        </c:manualLayout>
      </c:layout>
      <c:pie3DChart>
        <c:varyColors val="1"/>
        <c:ser>
          <c:idx val="0"/>
          <c:order val="0"/>
          <c:tx>
            <c:strRef>
              <c:f>Sheet1!$B$1</c:f>
              <c:strCache>
                <c:ptCount val="1"/>
                <c:pt idx="0">
                  <c:v>财政拨款收入</c:v>
                </c:pt>
              </c:strCache>
            </c:strRef>
          </c:tx>
          <c:spPr>
            <a:scene3d>
              <a:camera prst="orthographicFront"/>
              <a:lightRig rig="threePt" dir="t"/>
            </a:scene3d>
            <a:sp3d contourW="9525"/>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一般公共预算收入</a:t>
                    </a:r>
                  </a:p>
                  <a:p>
                    <a:pPr>
                      <a:defRPr lang="zh-CN" sz="1000" b="1" i="0" u="none" strike="noStrike" kern="1200" baseline="0">
                        <a:solidFill>
                          <a:schemeClr val="lt1"/>
                        </a:solidFill>
                        <a:latin typeface="+mn-lt"/>
                        <a:ea typeface="+mn-ea"/>
                        <a:cs typeface="+mn-cs"/>
                      </a:defRPr>
                    </a:pPr>
                    <a:r>
                      <a:t>98.47%</a:t>
                    </a:r>
                  </a:p>
                </c:rich>
              </c:tx>
              <c:dLblPos val="ctr"/>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0383756358651653"/>
                  <c:y val="0.0931764316356492"/>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其他收入1.53%</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504282407407407"/>
                      <c:h val="0.104523227383863"/>
                    </c:manualLayout>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一般公共预算收入1418.71万元</c:v>
                </c:pt>
                <c:pt idx="1">
                  <c:v>其他收入22.01万元</c:v>
                </c:pt>
              </c:strCache>
            </c:strRef>
          </c:cat>
          <c:val>
            <c:numRef>
              <c:f>Sheet1!$B$2:$B$3</c:f>
              <c:numCache>
                <c:formatCode>General</c:formatCode>
                <c:ptCount val="2"/>
                <c:pt idx="0">
                  <c:v>1418.71</c:v>
                </c:pt>
                <c:pt idx="1">
                  <c:v>22.01</c:v>
                </c:pt>
              </c:numCache>
            </c:numRef>
          </c:val>
        </c:ser>
        <c:dLbls>
          <c:showLegendKey val="0"/>
          <c:showVal val="0"/>
          <c:showCatName val="1"/>
          <c:showSerName val="0"/>
          <c:showPercent val="0"/>
          <c:showBubbleSize val="0"/>
        </c:dLbls>
      </c:pie3DChart>
      <c:spPr>
        <a:noFill/>
        <a:ln>
          <a:noFill/>
        </a:ln>
        <a:effectLst/>
      </c:spPr>
    </c:plotArea>
    <c:legend>
      <c:legendPos val="r"/>
      <c:layout>
        <c:manualLayout>
          <c:xMode val="edge"/>
          <c:yMode val="edge"/>
          <c:x val="0.68576388888889"/>
          <c:y val="0.248777506112469"/>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图3：2022年本年支出</a:t>
            </a:r>
          </a:p>
        </c:rich>
      </c:tx>
      <c:layout/>
      <c:overlay val="0"/>
      <c:spPr>
        <a:noFill/>
        <a:ln>
          <a:noFill/>
        </a:ln>
        <a:effectLst/>
      </c:spPr>
    </c:title>
    <c:autoTitleDeleted val="0"/>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155331010342689"/>
          <c:y val="0.115760509287465"/>
          <c:w val="0.943488663552467"/>
          <c:h val="0.747896084888402"/>
        </c:manualLayout>
      </c:layout>
      <c:pie3DChart>
        <c:varyColors val="1"/>
        <c:ser>
          <c:idx val="0"/>
          <c:order val="0"/>
          <c:tx>
            <c:strRef>
              <c:f>Sheet1!$B$1</c:f>
              <c:strCache>
                <c:ptCount val="1"/>
                <c:pt idx="0">
                  <c:v>2022年本年支出</c:v>
                </c:pt>
              </c:strCache>
            </c:strRef>
          </c:tx>
          <c:spPr>
            <a:scene3d>
              <a:camera prst="orthographicFront"/>
              <a:lightRig rig="threePt" dir="t"/>
            </a:scene3d>
            <a:sp3d contourW="9525"/>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基本支出</a:t>
                    </a:r>
                  </a:p>
                  <a:p>
                    <a:pPr>
                      <a:defRPr lang="zh-CN" sz="1000" b="1" i="0" u="none" strike="noStrike" kern="1200" baseline="0">
                        <a:solidFill>
                          <a:schemeClr val="lt1"/>
                        </a:solidFill>
                        <a:latin typeface="+mn-lt"/>
                        <a:ea typeface="+mn-ea"/>
                        <a:cs typeface="+mn-cs"/>
                      </a:defRPr>
                    </a:pPr>
                    <a:r>
                      <a:t>52.45%</a:t>
                    </a:r>
                  </a:p>
                </c:rich>
              </c:tx>
              <c:dLblPos val="ctr"/>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项目支出</a:t>
                    </a:r>
                  </a:p>
                  <a:p>
                    <a:pPr>
                      <a:defRPr lang="zh-CN" sz="1000" b="1" i="0" u="none" strike="noStrike" kern="1200" baseline="0">
                        <a:solidFill>
                          <a:schemeClr val="lt1"/>
                        </a:solidFill>
                        <a:latin typeface="+mn-lt"/>
                        <a:ea typeface="+mn-ea"/>
                        <a:cs typeface="+mn-cs"/>
                      </a:defRPr>
                    </a:pPr>
                    <a:r>
                      <a:t>47.55%</a:t>
                    </a:r>
                  </a:p>
                </c:rich>
              </c:tx>
              <c:dLblPos val="ctr"/>
              <c:showLegendKey val="0"/>
              <c:showVal val="0"/>
              <c:showCatName val="1"/>
              <c:showSerName val="0"/>
              <c:showPercent val="1"/>
              <c:showBubbleSize val="0"/>
              <c:separator>
</c:separator>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基本支出814.62万元</c:v>
                </c:pt>
                <c:pt idx="1">
                  <c:v>项目支出738.39万元</c:v>
                </c:pt>
              </c:strCache>
            </c:strRef>
          </c:cat>
          <c:val>
            <c:numRef>
              <c:f>Sheet1!$B$2:$B$3</c:f>
              <c:numCache>
                <c:formatCode>0.00%</c:formatCode>
                <c:ptCount val="2"/>
                <c:pt idx="0">
                  <c:v>0.5245</c:v>
                </c:pt>
                <c:pt idx="1">
                  <c:v>0.4755</c:v>
                </c:pt>
              </c:numCache>
            </c:numRef>
          </c:val>
        </c:ser>
        <c:dLbls>
          <c:showLegendKey val="0"/>
          <c:showVal val="0"/>
          <c:showCatName val="1"/>
          <c:showSerName val="0"/>
          <c:showPercent val="0"/>
          <c:showBubbleSize val="0"/>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图4：2022年财政拨款收、支决算总计</a:t>
            </a:r>
          </a:p>
        </c:rich>
      </c:tx>
      <c:layout/>
      <c:overlay val="0"/>
      <c:spPr>
        <a:noFill/>
        <a:ln>
          <a:noFill/>
        </a:ln>
        <a:effectLst/>
      </c:spPr>
    </c:title>
    <c:autoTitleDeleted val="0"/>
    <c:plotArea>
      <c:layout>
        <c:manualLayout>
          <c:layoutTarget val="inner"/>
          <c:xMode val="edge"/>
          <c:yMode val="edge"/>
          <c:x val="0.068325"/>
          <c:y val="0.153646659643578"/>
          <c:w val="0.927925000000001"/>
          <c:h val="0.716566666666667"/>
        </c:manualLayout>
      </c:layout>
      <c:barChart>
        <c:barDir val="col"/>
        <c:grouping val="clustered"/>
        <c:varyColors val="0"/>
        <c:ser>
          <c:idx val="0"/>
          <c:order val="0"/>
          <c:tx>
            <c:strRef>
              <c:f>Sheet1!$B$1</c:f>
              <c:strCache>
                <c:ptCount val="1"/>
                <c:pt idx="0">
                  <c:v>财政拨款收、支总计</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layout>
                <c:manualLayout>
                  <c:x val="0.013625"/>
                  <c:y val="-0.104161179878852"/>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lumMod val="85000"/>
                            <a:lumOff val="15000"/>
                          </a:schemeClr>
                        </a:solidFill>
                        <a:latin typeface="+mn-lt"/>
                        <a:ea typeface="+mn-ea"/>
                        <a:cs typeface="+mn-cs"/>
                      </a:defRPr>
                    </a:pPr>
                    <a:r>
                      <a:rPr>
                        <a:solidFill>
                          <a:schemeClr val="tx1">
                            <a:lumMod val="85000"/>
                            <a:lumOff val="15000"/>
                          </a:schemeClr>
                        </a:solidFill>
                      </a:rPr>
                      <a:t>2021年财政拨款收、支1179.52万元</a:t>
                    </a:r>
                    <a:endParaRPr>
                      <a:solidFill>
                        <a:schemeClr val="tx1">
                          <a:lumMod val="85000"/>
                          <a:lumOff val="15000"/>
                        </a:schemeClr>
                      </a:solidFill>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5"/>
                  <c:y val="-0.0862523044508826"/>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lumMod val="85000"/>
                            <a:lumOff val="15000"/>
                          </a:schemeClr>
                        </a:solidFill>
                        <a:latin typeface="+mn-lt"/>
                        <a:ea typeface="+mn-ea"/>
                        <a:cs typeface="+mn-cs"/>
                      </a:defRPr>
                    </a:pPr>
                    <a:r>
                      <a:rPr>
                        <a:solidFill>
                          <a:schemeClr val="tx1">
                            <a:lumMod val="85000"/>
                            <a:lumOff val="15000"/>
                          </a:schemeClr>
                        </a:solidFill>
                      </a:rPr>
                      <a:t>2022年财政拨款收、支1441.42万元</a:t>
                    </a:r>
                    <a:endParaRPr>
                      <a:solidFill>
                        <a:schemeClr val="tx1">
                          <a:lumMod val="85000"/>
                          <a:lumOff val="15000"/>
                        </a:schemeClr>
                      </a:solidFill>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1179.52</c:v>
                </c:pt>
                <c:pt idx="1">
                  <c:v>1441.42</c:v>
                </c:pt>
              </c:numCache>
            </c:numRef>
          </c:val>
        </c:ser>
        <c:ser>
          <c:idx val="1"/>
          <c:order val="1"/>
          <c:tx>
            <c:strRef>
              <c:f>Sheet1!$C$1</c:f>
              <c:strCache>
                <c:ptCount val="1"/>
                <c:pt idx="0">
                  <c:v/>
                </c:pt>
              </c:strCache>
            </c:strRef>
          </c:tx>
          <c:spPr>
            <a:solidFill>
              <a:schemeClr val="accent2">
                <a:alpha val="85000"/>
              </a:schemeClr>
            </a:solidFill>
            <a:ln w="9525" cap="flat" cmpd="sng" algn="ctr">
              <a:solidFill>
                <a:schemeClr val="lt1">
                  <a:alpha val="50000"/>
                </a:schemeClr>
              </a:solidFill>
              <a:round/>
            </a:ln>
            <a:effectLst/>
          </c:spPr>
          <c:invertIfNegative val="0"/>
          <c:dLbls>
            <c:dLbl>
              <c:idx val="1"/>
              <c:layout/>
              <c:tx>
                <c:rich>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r>
                      <a:t>增加收、支261.9万元</a:t>
                    </a:r>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2021年</c:v>
                </c:pt>
                <c:pt idx="1">
                  <c:v>2022年</c:v>
                </c:pt>
              </c:strCache>
            </c:strRef>
          </c:cat>
          <c:val>
            <c:numRef>
              <c:f>Sheet1!$C$2:$C$3</c:f>
              <c:numCache>
                <c:formatCode>General</c:formatCode>
                <c:ptCount val="2"/>
              </c:numCache>
            </c:numRef>
          </c:val>
        </c:ser>
        <c:ser>
          <c:idx val="2"/>
          <c:order val="2"/>
          <c:tx>
            <c:strRef>
              <c:f>Sheet1!$D$1</c:f>
              <c:strCache>
                <c:ptCount val="1"/>
                <c:pt idx="0">
                  <c:v/>
                </c:pt>
              </c:strCache>
            </c:strRef>
          </c:tx>
          <c:spPr>
            <a:solidFill>
              <a:schemeClr val="accent3">
                <a:alpha val="85000"/>
              </a:schemeClr>
            </a:solidFill>
            <a:ln w="9525" cap="flat" cmpd="sng" algn="ctr">
              <a:solidFill>
                <a:schemeClr val="lt1">
                  <a:alpha val="50000"/>
                </a:schemeClr>
              </a:solidFill>
              <a:round/>
            </a:ln>
            <a:effectLst/>
          </c:spPr>
          <c:invertIfNegative val="0"/>
          <c:dLbls>
            <c:dLbl>
              <c:idx val="1"/>
              <c:layout/>
              <c:tx>
                <c:rich>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r>
                      <a:t>增长22.20%</a:t>
                    </a:r>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2021年</c:v>
                </c:pt>
                <c:pt idx="1">
                  <c:v>2022年</c:v>
                </c:pt>
              </c:strCache>
            </c:strRef>
          </c:cat>
          <c:val>
            <c:numRef>
              <c:f>Sheet1!$D$2:$D$3</c:f>
              <c:numCache>
                <c:formatCode>General</c:formatCode>
                <c:ptCount val="2"/>
              </c:numCache>
            </c:numRef>
          </c:val>
        </c:ser>
        <c:dLbls>
          <c:showLegendKey val="0"/>
          <c:showVal val="1"/>
          <c:showCatName val="0"/>
          <c:showSerName val="0"/>
          <c:showPercent val="0"/>
          <c:showBubbleSize val="0"/>
        </c:dLbls>
        <c:gapWidth val="65"/>
        <c:axId val="114055808"/>
        <c:axId val="114065792"/>
      </c:barChart>
      <c:catAx>
        <c:axId val="114055808"/>
        <c:scaling>
          <c:orientation val="minMax"/>
        </c:scaling>
        <c:delete val="0"/>
        <c:axPos val="b"/>
        <c:majorTickMark val="none"/>
        <c:minorTickMark val="none"/>
        <c:tickLblPos val="nextTo"/>
        <c:spPr>
          <a:noFill/>
          <a:ln w="19050" cap="flat" cmpd="sng" algn="ctr">
            <a:solidFill>
              <a:schemeClr val="dk1">
                <a:lumMod val="75000"/>
                <a:lumOff val="25000"/>
              </a:schemeClr>
            </a:solidFill>
            <a:prstDash val="solid"/>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114065792"/>
        <c:crosses val="autoZero"/>
        <c:auto val="1"/>
        <c:lblAlgn val="ctr"/>
        <c:lblOffset val="100"/>
        <c:noMultiLvlLbl val="0"/>
      </c:catAx>
      <c:valAx>
        <c:axId val="11406579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prstDash val="solid"/>
              <a:round/>
            </a:ln>
            <a:effectLst/>
          </c:spPr>
        </c:majorGridlines>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4055808"/>
        <c:crosses val="autoZero"/>
        <c:crossBetween val="between"/>
      </c:valAx>
      <c:spPr>
        <a:noFill/>
        <a:ln>
          <a:noFill/>
        </a:ln>
        <a:effectLst/>
      </c:spPr>
    </c:plotArea>
    <c:legend>
      <c:legendPos val="b"/>
      <c:legendEntry>
        <c:idx val="1"/>
        <c:delete val="1"/>
      </c:legendEntry>
      <c:legendEntry>
        <c:idx val="2"/>
        <c:delete val="1"/>
      </c:legendEntry>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图</a:t>
            </a:r>
            <a:r>
              <a:rPr lang="en-US" altLang="zh-CN"/>
              <a:t>5</a:t>
            </a:r>
            <a:r>
              <a:t>：一般公共预算财政拨款支出决算</a:t>
            </a:r>
          </a:p>
        </c:rich>
      </c:tx>
      <c:layout/>
      <c:overlay val="0"/>
      <c:spPr>
        <a:noFill/>
        <a:ln>
          <a:noFill/>
        </a:ln>
        <a:effectLst/>
      </c:spPr>
    </c:title>
    <c:autoTitleDeleted val="0"/>
    <c:plotArea>
      <c:layout>
        <c:manualLayout>
          <c:layoutTarget val="inner"/>
          <c:xMode val="edge"/>
          <c:yMode val="edge"/>
          <c:x val="0.068325"/>
          <c:y val="0.149959538231937"/>
          <c:w val="0.927925000000001"/>
          <c:h val="0.716566666666667"/>
        </c:manualLayout>
      </c:layout>
      <c:barChart>
        <c:barDir val="col"/>
        <c:grouping val="clustered"/>
        <c:varyColors val="0"/>
        <c:ser>
          <c:idx val="0"/>
          <c:order val="0"/>
          <c:tx>
            <c:strRef>
              <c:f>Sheet1!$B$1</c:f>
              <c:strCache>
                <c:ptCount val="1"/>
                <c:pt idx="0">
                  <c:v>一般公共预算财政拨款支出</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layout>
                <c:manualLayout>
                  <c:x val="-0.000125"/>
                  <c:y val="-0.150963051953734"/>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lumMod val="85000"/>
                            <a:lumOff val="15000"/>
                          </a:schemeClr>
                        </a:solidFill>
                        <a:latin typeface="+mn-lt"/>
                        <a:ea typeface="+mn-ea"/>
                        <a:cs typeface="+mn-cs"/>
                      </a:defRPr>
                    </a:pPr>
                    <a:r>
                      <a:rPr lang="en-US" altLang="zh-CN">
                        <a:solidFill>
                          <a:schemeClr val="tx1">
                            <a:lumMod val="85000"/>
                            <a:lumOff val="15000"/>
                          </a:schemeClr>
                        </a:solidFill>
                      </a:rPr>
                      <a:t>2021</a:t>
                    </a:r>
                    <a:r>
                      <a:rPr altLang="en-US">
                        <a:solidFill>
                          <a:schemeClr val="tx1">
                            <a:lumMod val="85000"/>
                            <a:lumOff val="15000"/>
                          </a:schemeClr>
                        </a:solidFill>
                      </a:rPr>
                      <a:t>年一般公共预算财政拨款支出</a:t>
                    </a:r>
                    <a:r>
                      <a:rPr>
                        <a:solidFill>
                          <a:schemeClr val="tx1">
                            <a:lumMod val="85000"/>
                            <a:lumOff val="15000"/>
                          </a:schemeClr>
                        </a:solidFill>
                      </a:rPr>
                      <a:t>1179.52万元</a:t>
                    </a:r>
                    <a:endParaRPr>
                      <a:solidFill>
                        <a:schemeClr val="tx1">
                          <a:lumMod val="85000"/>
                          <a:lumOff val="15000"/>
                        </a:schemeClr>
                      </a:solidFill>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5"/>
                  <c:y val="-0.13145808107805"/>
                </c:manualLayout>
              </c:layout>
              <c:tx>
                <c:rich>
                  <a:bodyPr rot="0" spcFirstLastPara="0" vertOverflow="ellipsis" vert="horz" wrap="square" lIns="38100" tIns="19050" rIns="38100" bIns="19050" anchor="ctr" anchorCtr="1"/>
                  <a:lstStyle/>
                  <a:p>
                    <a:pPr defTabSz="914400">
                      <a:defRPr lang="zh-CN" sz="900" b="1" i="0" u="none" strike="noStrike" kern="1200" baseline="0">
                        <a:solidFill>
                          <a:schemeClr val="tx1">
                            <a:lumMod val="85000"/>
                            <a:lumOff val="15000"/>
                          </a:schemeClr>
                        </a:solidFill>
                        <a:latin typeface="+mn-lt"/>
                        <a:ea typeface="+mn-ea"/>
                        <a:cs typeface="+mn-cs"/>
                      </a:defRPr>
                    </a:pPr>
                    <a:r>
                      <a:rPr lang="en-US" altLang="zh-CN">
                        <a:solidFill>
                          <a:schemeClr val="tx1">
                            <a:lumMod val="85000"/>
                            <a:lumOff val="15000"/>
                          </a:schemeClr>
                        </a:solidFill>
                      </a:rPr>
                      <a:t>2022</a:t>
                    </a:r>
                    <a:r>
                      <a:rPr altLang="en-US">
                        <a:solidFill>
                          <a:schemeClr val="tx1">
                            <a:lumMod val="85000"/>
                            <a:lumOff val="15000"/>
                          </a:schemeClr>
                        </a:solidFill>
                      </a:rPr>
                      <a:t>年一般公共预算财政拨款支出</a:t>
                    </a:r>
                    <a:r>
                      <a:rPr>
                        <a:solidFill>
                          <a:schemeClr val="tx1">
                            <a:lumMod val="85000"/>
                            <a:lumOff val="15000"/>
                          </a:schemeClr>
                        </a:solidFill>
                      </a:rPr>
                      <a:t>1441.42万元</a:t>
                    </a:r>
                    <a:endParaRPr>
                      <a:solidFill>
                        <a:schemeClr val="tx1">
                          <a:lumMod val="85000"/>
                          <a:lumOff val="15000"/>
                        </a:schemeClr>
                      </a:solidFill>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1179.52</c:v>
                </c:pt>
                <c:pt idx="1">
                  <c:v>1441.42</c:v>
                </c:pt>
              </c:numCache>
            </c:numRef>
          </c:val>
        </c:ser>
        <c:ser>
          <c:idx val="1"/>
          <c:order val="1"/>
          <c:tx>
            <c:strRef>
              <c:f>Sheet1!$C$1</c:f>
              <c:strCache>
                <c:ptCount val="1"/>
                <c:pt idx="0">
                  <c:v/>
                </c:pt>
              </c:strCache>
            </c:strRef>
          </c:tx>
          <c:spPr>
            <a:solidFill>
              <a:schemeClr val="accent2">
                <a:alpha val="85000"/>
              </a:schemeClr>
            </a:solidFill>
            <a:ln w="9525" cap="flat" cmpd="sng" algn="ctr">
              <a:solidFill>
                <a:schemeClr val="lt1">
                  <a:alpha val="50000"/>
                </a:schemeClr>
              </a:solidFill>
              <a:round/>
            </a:ln>
            <a:effectLst/>
          </c:spPr>
          <c:invertIfNegative val="0"/>
          <c:dLbls>
            <c:dLbl>
              <c:idx val="1"/>
              <c:layout>
                <c:manualLayout>
                  <c:x val="0.013625"/>
                  <c:y val="-0.112983934685278"/>
                </c:manualLayout>
              </c:layout>
              <c:tx>
                <c:rich>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r>
                      <a:rPr>
                        <a:solidFill>
                          <a:schemeClr val="tx1">
                            <a:lumMod val="85000"/>
                            <a:lumOff val="15000"/>
                          </a:schemeClr>
                        </a:solidFill>
                      </a:rPr>
                      <a:t>一般公共预算财政拨款支出261.9万元</a:t>
                    </a:r>
                    <a:endParaRPr>
                      <a:solidFill>
                        <a:schemeClr val="tx1">
                          <a:lumMod val="85000"/>
                          <a:lumOff val="15000"/>
                        </a:schemeClr>
                      </a:solidFill>
                    </a:endParaRPr>
                  </a:p>
                </c:rich>
              </c:tx>
              <c:dLblPos val="inEnd"/>
              <c:showLegendKey val="0"/>
              <c:showVal val="1"/>
              <c:showCatName val="0"/>
              <c:showSerName val="0"/>
              <c:showPercent val="0"/>
              <c:showBubbleSize val="0"/>
              <c:extLst>
                <c:ext xmlns:c15="http://schemas.microsoft.com/office/drawing/2012/chart" uri="{CE6537A1-D6FC-4f65-9D91-7224C49458BB}">
                  <c15:layout>
                    <c:manualLayout>
                      <c:w val="0.289625"/>
                      <c:h val="0.0894126942322886"/>
                    </c:manualLayout>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2021年</c:v>
                </c:pt>
                <c:pt idx="1">
                  <c:v>2022年</c:v>
                </c:pt>
              </c:strCache>
            </c:strRef>
          </c:cat>
          <c:val>
            <c:numRef>
              <c:f>Sheet1!$C$2:$C$3</c:f>
              <c:numCache>
                <c:formatCode>General</c:formatCode>
                <c:ptCount val="2"/>
              </c:numCache>
            </c:numRef>
          </c:val>
        </c:ser>
        <c:ser>
          <c:idx val="2"/>
          <c:order val="2"/>
          <c:tx>
            <c:strRef>
              <c:f>Sheet1!$D$1</c:f>
              <c:strCache>
                <c:ptCount val="1"/>
                <c:pt idx="0">
                  <c:v/>
                </c:pt>
              </c:strCache>
            </c:strRef>
          </c:tx>
          <c:spPr>
            <a:gradFill>
              <a:gsLst>
                <a:gs pos="0">
                  <a:srgbClr val="FBFB11"/>
                </a:gs>
                <a:gs pos="100000">
                  <a:srgbClr val="838309"/>
                </a:gs>
              </a:gsLst>
              <a:path path="circle"/>
            </a:gradFill>
            <a:ln w="9525" cap="flat" cmpd="sng" algn="ctr">
              <a:solidFill>
                <a:schemeClr val="lt1">
                  <a:alpha val="50000"/>
                </a:schemeClr>
              </a:solidFill>
              <a:round/>
            </a:ln>
            <a:effectLst/>
          </c:spPr>
          <c:invertIfNegative val="0"/>
          <c:dLbls>
            <c:dLbl>
              <c:idx val="1"/>
              <c:layout>
                <c:manualLayout>
                  <c:x val="0.010375"/>
                  <c:y val="-0.0177771925204109"/>
                </c:manualLayout>
              </c:layout>
              <c:tx>
                <c:rich>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r>
                      <a:rPr>
                        <a:solidFill>
                          <a:schemeClr val="tx1">
                            <a:lumMod val="85000"/>
                            <a:lumOff val="15000"/>
                          </a:schemeClr>
                        </a:solidFill>
                      </a:rPr>
                      <a:t>增长22.20%</a:t>
                    </a:r>
                    <a:endParaRPr>
                      <a:solidFill>
                        <a:schemeClr val="tx1">
                          <a:lumMod val="85000"/>
                          <a:lumOff val="15000"/>
                        </a:schemeClr>
                      </a:solidFill>
                    </a:endParaRPr>
                  </a:p>
                </c:rich>
              </c:tx>
              <c:dLblPos val="in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85000"/>
                        <a:lumOff val="1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2021年</c:v>
                </c:pt>
                <c:pt idx="1">
                  <c:v>2022年</c:v>
                </c:pt>
              </c:strCache>
            </c:strRef>
          </c:cat>
          <c:val>
            <c:numRef>
              <c:f>Sheet1!$D$2:$D$3</c:f>
              <c:numCache>
                <c:formatCode>General</c:formatCode>
                <c:ptCount val="2"/>
              </c:numCache>
            </c:numRef>
          </c:val>
        </c:ser>
        <c:dLbls>
          <c:showLegendKey val="0"/>
          <c:showVal val="1"/>
          <c:showCatName val="0"/>
          <c:showSerName val="0"/>
          <c:showPercent val="0"/>
          <c:showBubbleSize val="0"/>
        </c:dLbls>
        <c:gapWidth val="65"/>
        <c:axId val="114139520"/>
        <c:axId val="114141056"/>
      </c:barChart>
      <c:catAx>
        <c:axId val="114139520"/>
        <c:scaling>
          <c:orientation val="minMax"/>
        </c:scaling>
        <c:delete val="0"/>
        <c:axPos val="b"/>
        <c:majorTickMark val="none"/>
        <c:minorTickMark val="none"/>
        <c:tickLblPos val="nextTo"/>
        <c:spPr>
          <a:noFill/>
          <a:ln w="19050" cap="flat" cmpd="sng" algn="ctr">
            <a:solidFill>
              <a:schemeClr val="dk1">
                <a:lumMod val="75000"/>
                <a:lumOff val="25000"/>
              </a:schemeClr>
            </a:solidFill>
            <a:prstDash val="solid"/>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114141056"/>
        <c:crosses val="autoZero"/>
        <c:auto val="1"/>
        <c:lblAlgn val="ctr"/>
        <c:lblOffset val="100"/>
        <c:noMultiLvlLbl val="0"/>
      </c:catAx>
      <c:valAx>
        <c:axId val="11414105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prstDash val="solid"/>
              <a:round/>
            </a:ln>
            <a:effectLst/>
          </c:spPr>
        </c:majorGridlines>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4139520"/>
        <c:crosses val="autoZero"/>
        <c:crossBetween val="between"/>
      </c:valAx>
      <c:spPr>
        <a:noFill/>
        <a:ln>
          <a:noFill/>
        </a:ln>
        <a:effectLst/>
      </c:spPr>
    </c:plotArea>
    <c:legend>
      <c:legendPos val="b"/>
      <c:legendEntry>
        <c:idx val="1"/>
        <c:delete val="1"/>
      </c:legendEntry>
      <c:legendEntry>
        <c:idx val="2"/>
        <c:delete val="1"/>
      </c:legendEntry>
      <c:layout>
        <c:manualLayout>
          <c:xMode val="edge"/>
          <c:yMode val="edge"/>
          <c:x val="0.09125"/>
          <c:y val="0.938372399262576"/>
          <c:w val="0.8335"/>
          <c:h val="0.0368712141164078"/>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图</a:t>
            </a:r>
            <a:r>
              <a:rPr lang="en-US" altLang="zh-CN"/>
              <a:t>6</a:t>
            </a:r>
            <a:r>
              <a:rPr altLang="en-US"/>
              <a:t>：</a:t>
            </a:r>
            <a:r>
              <a:t>2022年一般公共预算材质拨款支出1441.42万元</a:t>
            </a:r>
          </a:p>
        </c:rich>
      </c:tx>
      <c:layout>
        <c:manualLayout>
          <c:xMode val="edge"/>
          <c:yMode val="edge"/>
          <c:x val="0.087578846094433"/>
          <c:y val="0.00109943045430499"/>
        </c:manualLayout>
      </c:layout>
      <c:overlay val="0"/>
      <c:spPr>
        <a:noFill/>
        <a:ln>
          <a:noFill/>
        </a:ln>
        <a:effectLst/>
      </c:spPr>
    </c:title>
    <c:autoTitleDeleted val="0"/>
    <c:plotArea>
      <c:layout>
        <c:manualLayout>
          <c:layoutTarget val="inner"/>
          <c:xMode val="edge"/>
          <c:yMode val="edge"/>
          <c:x val="0.00315264285545903"/>
          <c:y val="0.100836998830037"/>
          <c:w val="0.640311470500151"/>
          <c:h val="0.843059936908519"/>
        </c:manualLayout>
      </c:layout>
      <c:pieChart>
        <c:varyColors val="1"/>
        <c:ser>
          <c:idx val="0"/>
          <c:order val="0"/>
          <c:tx>
            <c:strRef>
              <c:f>Sheet1!$B$1</c:f>
              <c:strCache>
                <c:ptCount val="1"/>
                <c:pt idx="0">
                  <c:v>2022年一般公共预算材质拨款支出1441.42万元</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gradFill>
                <a:gsLst>
                  <a:gs pos="28000">
                    <a:srgbClr val="E30000"/>
                  </a:gs>
                  <a:gs pos="100000">
                    <a:srgbClr val="760303"/>
                  </a:gs>
                </a:gsLst>
                <a:path path="circle"/>
              </a:gradFill>
              <a:ln>
                <a:noFill/>
              </a:ln>
              <a:effectLst>
                <a:outerShdw blurRad="254000" sx="102000" sy="102000" algn="ctr" rotWithShape="0">
                  <a:prstClr val="black">
                    <a:alpha val="20000"/>
                  </a:prstClr>
                </a:outerShdw>
              </a:effectLst>
            </c:spPr>
          </c:dPt>
          <c:dPt>
            <c:idx val="7"/>
            <c:bubble3D val="0"/>
            <c:spPr>
              <a:solidFill>
                <a:schemeClr val="accent2">
                  <a:lumMod val="60000"/>
                </a:schemeClr>
              </a:solidFill>
              <a:ln>
                <a:noFill/>
              </a:ln>
              <a:effectLst>
                <a:outerShdw blurRad="254000" sx="102000" sy="102000" algn="ctr" rotWithShape="0">
                  <a:prstClr val="black">
                    <a:alpha val="20000"/>
                  </a:prstClr>
                </a:outerShdw>
              </a:effectLst>
            </c:spPr>
          </c:dPt>
          <c:dPt>
            <c:idx val="8"/>
            <c:bubble3D val="0"/>
            <c:spPr>
              <a:solidFill>
                <a:schemeClr val="accent3">
                  <a:lumMod val="60000"/>
                </a:schemeClr>
              </a:solidFill>
              <a:ln>
                <a:noFill/>
              </a:ln>
              <a:effectLst>
                <a:outerShdw blurRad="254000" sx="102000" sy="102000" algn="ctr" rotWithShape="0">
                  <a:prstClr val="black">
                    <a:alpha val="20000"/>
                  </a:prstClr>
                </a:outerShdw>
              </a:effectLst>
            </c:spPr>
          </c:dPt>
          <c:dPt>
            <c:idx val="9"/>
            <c:bubble3D val="0"/>
            <c:spPr>
              <a:solidFill>
                <a:schemeClr val="accent4">
                  <a:lumMod val="60000"/>
                </a:schemeClr>
              </a:solidFill>
              <a:ln>
                <a:noFill/>
              </a:ln>
              <a:effectLst>
                <a:outerShdw blurRad="254000" sx="102000" sy="102000" algn="ctr" rotWithShape="0">
                  <a:prstClr val="black">
                    <a:alpha val="20000"/>
                  </a:prstClr>
                </a:outerShdw>
              </a:effectLst>
            </c:spPr>
          </c:dPt>
          <c:dLbls>
            <c:dLbl>
              <c:idx val="0"/>
              <c:layout>
                <c:manualLayout>
                  <c:x val="-0.0936154106347818"/>
                  <c:y val="-0.161693358650126"/>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一般公共服务支出38.15%</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965353492257215"/>
                  <c:y val="-0.112651309116274"/>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公共安全支出 0.23%</a:t>
                    </a:r>
                  </a:p>
                </c:rich>
              </c:tx>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bestFit"/>
              <c:showLegendKey val="1"/>
              <c:showVal val="1"/>
              <c:showCatName val="1"/>
              <c:showSerName val="1"/>
              <c:showPercent val="1"/>
              <c:showBubbleSize val="1"/>
              <c:extLst>
                <c:ext xmlns:c15="http://schemas.microsoft.com/office/drawing/2012/chart" uri="{CE6537A1-D6FC-4f65-9D91-7224C49458BB}">
                  <c15:layout>
                    <c:manualLayout>
                      <c:w val="0.28615788941676"/>
                      <c:h val="0.0500599121288776"/>
                    </c:manualLayout>
                  </c15:layout>
                </c:ext>
              </c:extLst>
            </c:dLbl>
            <c:dLbl>
              <c:idx val="2"/>
              <c:layout>
                <c:manualLayout>
                  <c:x val="0.140483725822067"/>
                  <c:y val="-0.028558402423111"/>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文化旅游与传媒支出1.02%</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248458506014354"/>
                      <c:h val="0.0463320463320463"/>
                    </c:manualLayout>
                  </c15:layout>
                </c:ext>
              </c:extLst>
            </c:dLbl>
            <c:dLbl>
              <c:idx val="3"/>
              <c:layout>
                <c:manualLayout>
                  <c:x val="0.1919943031985"/>
                  <c:y val="0.0316752021832247"/>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卫生健康支出3.00%</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322955625189528"/>
                      <c:h val="0.048195979230462"/>
                    </c:manualLayout>
                  </c15:layout>
                </c:ext>
              </c:extLst>
            </c:dLbl>
            <c:dLbl>
              <c:idx val="4"/>
              <c:layout>
                <c:manualLayout>
                  <c:x val="0.00214937879351616"/>
                  <c:y val="0.0472563713012818"/>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城乡社区支出 0.73%</a:t>
                    </a:r>
                  </a:p>
                </c:rich>
              </c:tx>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bestFit"/>
              <c:showLegendKey val="1"/>
              <c:showVal val="1"/>
              <c:showCatName val="1"/>
              <c:showSerName val="1"/>
              <c:showPercent val="1"/>
              <c:showBubbleSize val="1"/>
              <c:extLst>
                <c:ext xmlns:c15="http://schemas.microsoft.com/office/drawing/2012/chart" uri="{CE6537A1-D6FC-4f65-9D91-7224C49458BB}">
                  <c15:layout>
                    <c:manualLayout>
                      <c:w val="0.244815526129587"/>
                      <c:h val="0.0402076953801092"/>
                    </c:manualLayout>
                  </c15:layout>
                </c:ext>
              </c:extLst>
            </c:dLbl>
            <c:dLbl>
              <c:idx val="5"/>
              <c:layout>
                <c:manualLayout>
                  <c:x val="0.118794122987418"/>
                  <c:y val="0.103020955891176"/>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农林水支出37.31%</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6"/>
              <c:layout>
                <c:manualLayout>
                  <c:x val="0.218225443299899"/>
                  <c:y val="-0.140757230689421"/>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交通运输支出 0.03%</a:t>
                    </a:r>
                  </a:p>
                </c:rich>
              </c:tx>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bestFit"/>
              <c:showLegendKey val="1"/>
              <c:showVal val="1"/>
              <c:showCatName val="1"/>
              <c:showSerName val="1"/>
              <c:showPercent val="1"/>
              <c:showBubbleSize val="1"/>
              <c:extLst>
                <c:ext xmlns:c15="http://schemas.microsoft.com/office/drawing/2012/chart" uri="{CE6537A1-D6FC-4f65-9D91-7224C49458BB}">
                  <c15:layout>
                    <c:manualLayout>
                      <c:w val="0.263377053054472"/>
                      <c:h val="0.059732573432705"/>
                    </c:manualLayout>
                  </c15:layout>
                </c:ext>
              </c:extLst>
            </c:dLbl>
            <c:dLbl>
              <c:idx val="7"/>
              <c:layout>
                <c:manualLayout>
                  <c:x val="0"/>
                  <c:y val="-0.0436268256144493"/>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支出房保障支出4.96%</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235418983119377"/>
                      <c:h val="0.045676828633857"/>
                    </c:manualLayout>
                  </c15:layout>
                </c:ext>
              </c:extLst>
            </c:dLbl>
            <c:dLbl>
              <c:idx val="8"/>
              <c:layout>
                <c:manualLayout>
                  <c:x val="0.0484692499520939"/>
                  <c:y val="-0.119539648108959"/>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灾害防治及应急管理支出 0.23%</a:t>
                    </a:r>
                  </a:p>
                </c:rich>
              </c:tx>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bestFit"/>
              <c:showLegendKey val="1"/>
              <c:showVal val="1"/>
              <c:showCatName val="1"/>
              <c:showSerName val="1"/>
              <c:showPercent val="1"/>
              <c:showBubbleSize val="1"/>
              <c:extLst>
                <c:ext xmlns:c15="http://schemas.microsoft.com/office/drawing/2012/chart" uri="{CE6537A1-D6FC-4f65-9D91-7224C49458BB}">
                  <c15:layout>
                    <c:manualLayout>
                      <c:w val="0.368539371272617"/>
                      <c:h val="0.0364166059723234"/>
                    </c:manualLayout>
                  </c15:layout>
                </c:ext>
              </c:extLst>
            </c:dLbl>
            <c:dLbl>
              <c:idx val="9"/>
              <c:layout>
                <c:manualLayout>
                  <c:x val="0.296810067887391"/>
                  <c:y val="0.00448934102174552"/>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社会保障和就业支出14.3</a:t>
                    </a:r>
                    <a:r>
                      <a:rPr lang="en-US" altLang="zh-CN"/>
                      <a:t>4</a:t>
                    </a:r>
                    <a:r>
                      <a:t>%</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382488479262673"/>
                      <c:h val="0.0525733939319494"/>
                    </c:manualLayout>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Sheet1!$A$2:$A$11</c:f>
              <c:strCache>
                <c:ptCount val="10"/>
                <c:pt idx="0">
                  <c:v>一般公共服务支出549.85万元</c:v>
                </c:pt>
                <c:pt idx="1">
                  <c:v>公共安全支出3.27万元</c:v>
                </c:pt>
                <c:pt idx="2">
                  <c:v>文化旅游体育与传媒支出14.76万元</c:v>
                </c:pt>
                <c:pt idx="3">
                  <c:v>卫生健康支出43.34万元</c:v>
                </c:pt>
                <c:pt idx="4">
                  <c:v>城乡社区支出10.49万元</c:v>
                </c:pt>
                <c:pt idx="5">
                  <c:v>农林水支出537.77万元</c:v>
                </c:pt>
                <c:pt idx="6">
                  <c:v>交通运输支出0.4万元</c:v>
                </c:pt>
                <c:pt idx="7">
                  <c:v>支出房保障支出71.47万元</c:v>
                </c:pt>
                <c:pt idx="8">
                  <c:v>灾害防治及应急管理支出3.36万元</c:v>
                </c:pt>
                <c:pt idx="9">
                  <c:v>社会保障和就业支出206.72万元</c:v>
                </c:pt>
              </c:strCache>
            </c:strRef>
          </c:cat>
          <c:val>
            <c:numRef>
              <c:f>Sheet1!$B$2:$B$11</c:f>
              <c:numCache>
                <c:formatCode>0.00%</c:formatCode>
                <c:ptCount val="10"/>
                <c:pt idx="0">
                  <c:v>0.381500000000001</c:v>
                </c:pt>
                <c:pt idx="1">
                  <c:v>0.0023</c:v>
                </c:pt>
                <c:pt idx="2">
                  <c:v>0.0102</c:v>
                </c:pt>
                <c:pt idx="3">
                  <c:v>0.03</c:v>
                </c:pt>
                <c:pt idx="4">
                  <c:v>0.00730000000000001</c:v>
                </c:pt>
                <c:pt idx="5">
                  <c:v>0.3731</c:v>
                </c:pt>
                <c:pt idx="6">
                  <c:v>0.000300000000000001</c:v>
                </c:pt>
                <c:pt idx="7">
                  <c:v>0.0496</c:v>
                </c:pt>
                <c:pt idx="8">
                  <c:v>0.0023</c:v>
                </c:pt>
                <c:pt idx="9">
                  <c:v>0.1434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egendEntry>
        <c:idx val="3"/>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egendEntry>
        <c:idx val="4"/>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egendEntry>
        <c:idx val="5"/>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egendEntry>
        <c:idx val="6"/>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egendEntry>
        <c:idx val="7"/>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egendEntry>
        <c:idx val="8"/>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egendEntry>
        <c:idx val="9"/>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ayout>
        <c:manualLayout>
          <c:xMode val="edge"/>
          <c:yMode val="edge"/>
          <c:x val="0.665318912362277"/>
          <c:y val="0.254812194360629"/>
          <c:w val="0.318204791266553"/>
          <c:h val="0.425658100093644"/>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952206778834431"/>
          <c:y val="0.0197417248033249"/>
        </c:manualLayout>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manualLayout>
          <c:layoutTarget val="inner"/>
          <c:xMode val="edge"/>
          <c:yMode val="edge"/>
          <c:x val="0.00536454523287003"/>
          <c:y val="0.206461341391603"/>
          <c:w val="0.605705925384054"/>
          <c:h val="0.737420216713673"/>
        </c:manualLayout>
      </c:layout>
      <c:pieChart>
        <c:varyColors val="1"/>
        <c:ser>
          <c:idx val="0"/>
          <c:order val="0"/>
          <c:tx>
            <c:strRef>
              <c:f>Sheet1!$B$1</c:f>
              <c:strCache>
                <c:ptCount val="1"/>
                <c:pt idx="0">
                  <c:v>图7：2022年“三公”经费财政拨款支出</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0"/>
              <c:layout>
                <c:manualLayout>
                  <c:x val="-0.0853247498203463"/>
                  <c:y val="-0.163694458386219"/>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rPr altLang="en-US"/>
                      <a:t>公务用车购置及运行维护费支出 </a:t>
                    </a:r>
                    <a:r>
                      <a:rPr lang="en-US" altLang="zh-CN"/>
                      <a:t>94.1</a:t>
                    </a:r>
                    <a:r>
                      <a:t>%</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632650573030968"/>
                      <c:h val="0.0565533620305774"/>
                    </c:manualLayout>
                  </c15:layout>
                </c:ext>
              </c:extLst>
            </c:dLbl>
            <c:dLbl>
              <c:idx val="1"/>
              <c:layout>
                <c:manualLayout>
                  <c:x val="-0.048432557676408"/>
                  <c:y val="-0.0262058534323867"/>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t>公务接待费支出 </a:t>
                    </a:r>
                    <a:r>
                      <a:rPr lang="en-US" altLang="zh-CN"/>
                      <a:t>5.9</a:t>
                    </a:r>
                    <a:r>
                      <a:t>%</a:t>
                    </a:r>
                  </a:p>
                </c:rich>
              </c:tx>
              <c:numFmt formatCode="General" sourceLinked="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bestFit"/>
              <c:showLegendKey val="1"/>
              <c:showVal val="1"/>
              <c:showCatName val="1"/>
              <c:showSerName val="1"/>
              <c:showPercent val="1"/>
              <c:showBubbleSize val="1"/>
              <c:extLst>
                <c:ext xmlns:c15="http://schemas.microsoft.com/office/drawing/2012/chart" uri="{CE6537A1-D6FC-4f65-9D91-7224C49458BB}">
                  <c15:layout>
                    <c:manualLayout>
                      <c:w val="0.375160571689376"/>
                      <c:h val="0.0473880997494803"/>
                    </c:manualLayout>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公务用车购置及运行维护费支出3.51万元</c:v>
                </c:pt>
                <c:pt idx="1">
                  <c:v>公务接待费支出0.22万元</c:v>
                </c:pt>
              </c:strCache>
            </c:strRef>
          </c:cat>
          <c:val>
            <c:numRef>
              <c:f>Sheet1!$B$2:$B$3</c:f>
              <c:numCache>
                <c:formatCode>0.00%</c:formatCode>
                <c:ptCount val="2"/>
                <c:pt idx="0">
                  <c:v>0.941000000000001</c:v>
                </c:pt>
                <c:pt idx="1">
                  <c:v>0.0590000000000001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Entry>
      <c:layout>
        <c:manualLayout>
          <c:xMode val="edge"/>
          <c:yMode val="edge"/>
          <c:x val="0.665318912362277"/>
          <c:y val="0.254812194360629"/>
          <c:w val="0.318204791266553"/>
          <c:h val="0.425658100093644"/>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1"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98D0D9-C009-4FB7-918D-96537C2788F5}">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61</Pages>
  <Words>4486</Words>
  <Characters>25576</Characters>
  <Lines>213</Lines>
  <Paragraphs>60</Paragraphs>
  <TotalTime>1454</TotalTime>
  <ScaleCrop>false</ScaleCrop>
  <LinksUpToDate>false</LinksUpToDate>
  <CharactersWithSpaces>30002</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2023-10-16T06:38:16Z</dcterms:modified>
  <dc:title>四川省***</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F6869313CCCD4D1AA632A60208B26F51_12</vt:lpwstr>
  </property>
</Properties>
</file>