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600" w:lineRule="exact"/>
        <w:jc w:val="center"/>
        <w:outlineLvl w:val="0"/>
        <w:rPr>
          <w:rFonts w:hint="eastAsia" w:ascii="方正小标宋简体" w:hAnsi="宋体" w:eastAsia="方正小标宋简体"/>
          <w:sz w:val="72"/>
          <w:szCs w:val="72"/>
        </w:rPr>
      </w:pPr>
      <w:bookmarkStart w:id="0" w:name="_Toc15306267"/>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spacing w:line="600" w:lineRule="exact"/>
        <w:jc w:val="center"/>
        <w:outlineLvl w:val="0"/>
        <w:rPr>
          <w:rFonts w:ascii="方正小标宋简体" w:hAnsi="宋体" w:eastAsia="方正小标宋简体"/>
          <w:sz w:val="72"/>
          <w:szCs w:val="72"/>
        </w:rPr>
      </w:pPr>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1" w:name="_Toc15378441"/>
      <w:bookmarkStart w:id="2" w:name="_Toc15377193"/>
      <w:bookmarkStart w:id="3" w:name="_Toc15396597"/>
      <w:bookmarkStart w:id="4" w:name="_Toc15377425"/>
      <w:bookmarkStart w:id="5" w:name="_Toc15396475"/>
      <w:r>
        <w:rPr>
          <w:rFonts w:hint="eastAsia" w:ascii="方正小标宋简体" w:hAnsi="方正小标宋简体" w:eastAsia="方正小标宋简体" w:cs="方正小标宋简体"/>
          <w:sz w:val="72"/>
          <w:szCs w:val="72"/>
        </w:rPr>
        <w:t>2021年度</w:t>
      </w:r>
      <w:bookmarkEnd w:id="1"/>
      <w:bookmarkEnd w:id="2"/>
      <w:bookmarkEnd w:id="3"/>
      <w:bookmarkEnd w:id="4"/>
      <w:bookmarkEnd w:id="5"/>
    </w:p>
    <w:p>
      <w:pPr>
        <w:adjustRightInd w:val="0"/>
        <w:snapToGrid w:val="0"/>
        <w:spacing w:line="360" w:lineRule="auto"/>
        <w:jc w:val="center"/>
        <w:outlineLvl w:val="0"/>
        <w:rPr>
          <w:rFonts w:ascii="方正小标宋简体" w:hAnsi="方正小标宋简体" w:eastAsia="方正小标宋简体" w:cs="方正小标宋简体"/>
          <w:sz w:val="72"/>
          <w:szCs w:val="72"/>
        </w:rPr>
      </w:pPr>
      <w:bookmarkStart w:id="6" w:name="_Toc15377194"/>
      <w:bookmarkStart w:id="7" w:name="_Toc15377426"/>
      <w:bookmarkStart w:id="8" w:name="_Toc15396476"/>
      <w:bookmarkStart w:id="9" w:name="_Toc15378442"/>
      <w:bookmarkStart w:id="10" w:name="_Toc15396598"/>
      <w:r>
        <w:rPr>
          <w:rFonts w:hint="eastAsia" w:ascii="方正小标宋简体" w:hAnsi="方正小标宋简体" w:eastAsia="方正小标宋简体" w:cs="方正小标宋简体"/>
          <w:sz w:val="72"/>
          <w:szCs w:val="72"/>
        </w:rPr>
        <w:t>乐山市市中区</w:t>
      </w:r>
      <w:bookmarkEnd w:id="0"/>
      <w:bookmarkStart w:id="11" w:name="_Toc15306268"/>
      <w:r>
        <w:rPr>
          <w:rFonts w:hint="eastAsia" w:ascii="方正小标宋简体" w:hAnsi="方正小标宋简体" w:eastAsia="方正小标宋简体" w:cs="方正小标宋简体"/>
          <w:sz w:val="72"/>
          <w:szCs w:val="72"/>
        </w:rPr>
        <w:t>土主镇初级中学决算</w:t>
      </w:r>
      <w:bookmarkEnd w:id="6"/>
      <w:bookmarkEnd w:id="7"/>
      <w:bookmarkEnd w:id="8"/>
      <w:bookmarkEnd w:id="9"/>
      <w:bookmarkEnd w:id="10"/>
      <w:bookmarkEnd w:id="11"/>
    </w:p>
    <w:p>
      <w:pPr>
        <w:widowControl/>
        <w:jc w:val="center"/>
        <w:rPr>
          <w:rFonts w:ascii="黑体" w:hAnsi="黑体" w:eastAsia="黑体"/>
          <w:sz w:val="48"/>
          <w:szCs w:val="48"/>
        </w:rPr>
      </w:pPr>
      <w:r>
        <w:rPr>
          <w:rFonts w:ascii="方正小标宋简体" w:hAnsi="宋体" w:eastAsia="方正小标宋简体"/>
          <w:sz w:val="36"/>
          <w:szCs w:val="36"/>
        </w:rPr>
        <w:br w:type="page"/>
      </w:r>
      <w:r>
        <w:rPr>
          <w:rFonts w:hint="eastAsia" w:ascii="黑体" w:hAnsi="黑体" w:eastAsia="黑体"/>
          <w:sz w:val="48"/>
          <w:szCs w:val="48"/>
        </w:rPr>
        <w:t>目录</w:t>
      </w:r>
    </w:p>
    <w:p>
      <w:pPr>
        <w:widowControl/>
        <w:jc w:val="center"/>
        <w:rPr>
          <w:rFonts w:ascii="黑体" w:hAnsi="黑体" w:eastAsia="黑体" w:cstheme="minorBidi"/>
          <w:sz w:val="28"/>
          <w:szCs w:val="28"/>
        </w:rPr>
      </w:pPr>
    </w:p>
    <w:p>
      <w:pPr>
        <w:pStyle w:val="10"/>
      </w:pPr>
      <w:r>
        <w:rPr>
          <w:rFonts w:hint="eastAsia"/>
        </w:rPr>
        <w:t>公开时间：2022年</w:t>
      </w:r>
      <w:r>
        <w:t>10</w:t>
      </w:r>
      <w:r>
        <w:rPr>
          <w:rFonts w:hint="eastAsia"/>
        </w:rPr>
        <w:t>月1</w:t>
      </w:r>
      <w:r>
        <w:t>8</w:t>
      </w:r>
      <w:r>
        <w:rPr>
          <w:rFonts w:hint="eastAsia"/>
        </w:rPr>
        <w:t xml:space="preserve"> 日</w:t>
      </w:r>
    </w:p>
    <w:p/>
    <w:p>
      <w:pPr>
        <w:pStyle w:val="10"/>
        <w:adjustRightInd w:val="0"/>
        <w:snapToGrid w:val="0"/>
        <w:spacing w:before="0" w:line="440" w:lineRule="exact"/>
        <w:jc w:val="left"/>
        <w:rPr>
          <w:rFonts w:cstheme="minorBidi"/>
          <w:sz w:val="24"/>
          <w:szCs w:val="24"/>
        </w:rPr>
      </w:pPr>
      <w:r>
        <w:rPr>
          <w:rFonts w:hint="eastAsia"/>
          <w:sz w:val="24"/>
        </w:rPr>
        <w:t>第一部分</w:t>
      </w:r>
      <w:r>
        <w:rPr>
          <w:sz w:val="24"/>
        </w:rPr>
        <w:t xml:space="preserve"> </w:t>
      </w:r>
      <w:r>
        <w:rPr>
          <w:rFonts w:hint="eastAsia"/>
          <w:sz w:val="24"/>
        </w:rPr>
        <w:t>单位概况</w:t>
      </w:r>
    </w:p>
    <w:p>
      <w:pPr>
        <w:pStyle w:val="11"/>
        <w:adjustRightInd w:val="0"/>
        <w:snapToGrid w:val="0"/>
        <w:spacing w:line="440" w:lineRule="exact"/>
        <w:jc w:val="left"/>
        <w:rPr>
          <w:sz w:val="24"/>
        </w:rPr>
      </w:pPr>
      <w:r>
        <w:rPr>
          <w:rFonts w:hint="eastAsia"/>
          <w:sz w:val="24"/>
        </w:rPr>
        <w:t xml:space="preserve">一、职能简介 </w:t>
      </w:r>
      <w:r>
        <w:rPr>
          <w:rFonts w:hint="eastAsia" w:ascii="宋体" w:hAnsi="宋体" w:cs="宋体"/>
          <w:sz w:val="24"/>
        </w:rPr>
        <w:t>…………………………………………………………… ……</w:t>
      </w:r>
      <w:r>
        <w:rPr>
          <w:rFonts w:ascii="宋体" w:hAnsi="宋体" w:cs="宋体"/>
          <w:sz w:val="24"/>
        </w:rPr>
        <w:t>4</w:t>
      </w:r>
    </w:p>
    <w:p>
      <w:pPr>
        <w:pStyle w:val="11"/>
        <w:adjustRightInd w:val="0"/>
        <w:snapToGrid w:val="0"/>
        <w:spacing w:line="440" w:lineRule="exact"/>
        <w:jc w:val="left"/>
        <w:rPr>
          <w:rFonts w:asciiTheme="minorEastAsia" w:hAnsiTheme="minorEastAsia" w:eastAsiaTheme="minorEastAsia" w:cstheme="minorEastAsia"/>
          <w:sz w:val="24"/>
        </w:rPr>
      </w:pPr>
      <w:r>
        <w:rPr>
          <w:rFonts w:hint="eastAsia" w:asciiTheme="minorEastAsia" w:hAnsiTheme="minorEastAsia" w:eastAsiaTheme="minorEastAsia" w:cstheme="minorEastAsia"/>
          <w:sz w:val="24"/>
        </w:rPr>
        <w:t>二、2021年重点工作完成情况</w:t>
      </w:r>
      <w:r>
        <w:rPr>
          <w:rFonts w:hint="eastAsia" w:ascii="宋体" w:hAnsi="宋体" w:cs="宋体"/>
          <w:sz w:val="24"/>
        </w:rPr>
        <w:t xml:space="preserve">………………………………………… </w:t>
      </w:r>
      <w:r>
        <w:rPr>
          <w:rFonts w:ascii="宋体" w:hAnsi="宋体" w:cs="宋体"/>
          <w:sz w:val="24"/>
        </w:rPr>
        <w:t xml:space="preserve"> </w:t>
      </w:r>
      <w:r>
        <w:rPr>
          <w:rFonts w:hint="eastAsia" w:ascii="宋体" w:hAnsi="宋体" w:cs="宋体"/>
          <w:sz w:val="24"/>
        </w:rPr>
        <w:t>……</w:t>
      </w:r>
      <w:r>
        <w:rPr>
          <w:rFonts w:ascii="宋体" w:hAnsi="宋体" w:cs="宋体"/>
          <w:sz w:val="24"/>
        </w:rPr>
        <w:t>4</w:t>
      </w:r>
    </w:p>
    <w:p>
      <w:pPr>
        <w:pStyle w:val="10"/>
        <w:adjustRightInd w:val="0"/>
        <w:snapToGrid w:val="0"/>
        <w:spacing w:before="0" w:line="440" w:lineRule="exact"/>
        <w:jc w:val="left"/>
        <w:rPr>
          <w:sz w:val="24"/>
          <w:szCs w:val="24"/>
        </w:rPr>
      </w:pPr>
      <w:r>
        <w:rPr>
          <w:rFonts w:hint="eastAsia"/>
          <w:sz w:val="24"/>
        </w:rPr>
        <w:t>第二部分 2021年度单位决算情况说明</w:t>
      </w:r>
      <w:r>
        <w:rPr>
          <w:rFonts w:hint="eastAsia" w:ascii="宋体" w:hAnsi="宋体" w:cs="宋体"/>
          <w:sz w:val="24"/>
        </w:rPr>
        <w:t>……………………………………………</w:t>
      </w:r>
      <w:r>
        <w:rPr>
          <w:rFonts w:ascii="宋体" w:hAnsi="宋体" w:cs="宋体"/>
          <w:sz w:val="24"/>
        </w:rPr>
        <w:t>5</w:t>
      </w:r>
    </w:p>
    <w:p>
      <w:pPr>
        <w:pStyle w:val="11"/>
        <w:adjustRightInd w:val="0"/>
        <w:snapToGrid w:val="0"/>
        <w:spacing w:line="440" w:lineRule="exact"/>
        <w:jc w:val="left"/>
        <w:rPr>
          <w:rFonts w:ascii="仿宋" w:hAnsi="仿宋" w:eastAsia="仿宋" w:cstheme="minorBidi"/>
          <w:sz w:val="24"/>
        </w:rPr>
      </w:pPr>
      <w:r>
        <w:rPr>
          <w:rFonts w:hint="eastAsia"/>
          <w:sz w:val="24"/>
        </w:rPr>
        <w:t>一、收入支出决算总体情况说明</w:t>
      </w:r>
      <w:r>
        <w:rPr>
          <w:rFonts w:hint="eastAsia" w:ascii="宋体" w:hAnsi="宋体" w:cs="宋体"/>
          <w:sz w:val="24"/>
        </w:rPr>
        <w:t>………………………………………………</w:t>
      </w:r>
      <w:r>
        <w:rPr>
          <w:rFonts w:ascii="宋体" w:hAnsi="宋体" w:cs="宋体"/>
          <w:sz w:val="24"/>
        </w:rPr>
        <w:t>5</w:t>
      </w:r>
    </w:p>
    <w:p>
      <w:pPr>
        <w:pStyle w:val="11"/>
        <w:adjustRightInd w:val="0"/>
        <w:snapToGrid w:val="0"/>
        <w:spacing w:line="440" w:lineRule="exact"/>
        <w:jc w:val="left"/>
        <w:rPr>
          <w:rFonts w:ascii="仿宋" w:hAnsi="仿宋" w:eastAsia="仿宋" w:cstheme="minorBidi"/>
          <w:sz w:val="24"/>
        </w:rPr>
      </w:pPr>
      <w:r>
        <w:rPr>
          <w:rFonts w:hint="eastAsia"/>
          <w:sz w:val="24"/>
        </w:rPr>
        <w:t>二、收入决算情况说明</w:t>
      </w:r>
      <w:r>
        <w:rPr>
          <w:rFonts w:hint="eastAsia" w:ascii="宋体" w:hAnsi="宋体" w:cs="宋体"/>
          <w:sz w:val="24"/>
        </w:rPr>
        <w:t>…………………………………………………………</w:t>
      </w:r>
      <w:r>
        <w:rPr>
          <w:rFonts w:ascii="宋体" w:hAnsi="宋体" w:cs="宋体"/>
          <w:sz w:val="24"/>
        </w:rPr>
        <w:t>5</w:t>
      </w:r>
    </w:p>
    <w:p>
      <w:pPr>
        <w:pStyle w:val="11"/>
        <w:adjustRightInd w:val="0"/>
        <w:snapToGrid w:val="0"/>
        <w:spacing w:line="440" w:lineRule="exact"/>
        <w:jc w:val="left"/>
        <w:rPr>
          <w:rFonts w:ascii="仿宋" w:hAnsi="仿宋" w:eastAsia="仿宋" w:cstheme="minorBidi"/>
          <w:sz w:val="24"/>
        </w:rPr>
      </w:pPr>
      <w:r>
        <w:rPr>
          <w:rFonts w:hint="eastAsia"/>
          <w:sz w:val="24"/>
        </w:rPr>
        <w:t>三、支出决算情况说明</w:t>
      </w:r>
      <w:r>
        <w:rPr>
          <w:rFonts w:hint="eastAsia" w:ascii="宋体" w:hAnsi="宋体" w:cs="宋体"/>
          <w:sz w:val="24"/>
        </w:rPr>
        <w:t>…………………………………………………………</w:t>
      </w:r>
      <w:r>
        <w:rPr>
          <w:rFonts w:ascii="宋体" w:hAnsi="宋体" w:cs="宋体"/>
          <w:sz w:val="24"/>
        </w:rPr>
        <w:t>6</w:t>
      </w:r>
    </w:p>
    <w:p>
      <w:pPr>
        <w:pStyle w:val="11"/>
        <w:adjustRightInd w:val="0"/>
        <w:snapToGrid w:val="0"/>
        <w:spacing w:line="440" w:lineRule="exact"/>
        <w:jc w:val="left"/>
        <w:rPr>
          <w:rFonts w:ascii="仿宋" w:hAnsi="仿宋" w:eastAsia="仿宋" w:cstheme="minorBidi"/>
          <w:sz w:val="24"/>
        </w:rPr>
      </w:pPr>
      <w:r>
        <w:rPr>
          <w:rFonts w:hint="eastAsia"/>
          <w:sz w:val="24"/>
        </w:rPr>
        <w:t>四、财政拨款收入支出决算总体情况说明</w:t>
      </w:r>
      <w:r>
        <w:rPr>
          <w:rFonts w:hint="eastAsia" w:ascii="宋体" w:hAnsi="宋体" w:cs="宋体"/>
          <w:sz w:val="24"/>
        </w:rPr>
        <w:t>……………………………………</w:t>
      </w:r>
      <w:r>
        <w:rPr>
          <w:rFonts w:ascii="宋体" w:hAnsi="宋体" w:cs="宋体"/>
          <w:sz w:val="24"/>
        </w:rPr>
        <w:t>7</w:t>
      </w:r>
    </w:p>
    <w:p>
      <w:pPr>
        <w:pStyle w:val="11"/>
        <w:adjustRightInd w:val="0"/>
        <w:snapToGrid w:val="0"/>
        <w:spacing w:line="440" w:lineRule="exact"/>
        <w:jc w:val="left"/>
        <w:rPr>
          <w:rFonts w:ascii="仿宋" w:hAnsi="仿宋" w:eastAsia="仿宋" w:cstheme="minorBidi"/>
          <w:sz w:val="24"/>
        </w:rPr>
      </w:pPr>
      <w:r>
        <w:rPr>
          <w:rFonts w:hint="eastAsia"/>
          <w:sz w:val="24"/>
        </w:rPr>
        <w:t>五、一般公共预算财政拨款支出决算情况说明</w:t>
      </w:r>
      <w:r>
        <w:rPr>
          <w:rFonts w:hint="eastAsia" w:ascii="宋体" w:hAnsi="宋体" w:cs="宋体"/>
          <w:sz w:val="24"/>
        </w:rPr>
        <w:t>………………………………</w:t>
      </w:r>
      <w:r>
        <w:rPr>
          <w:rFonts w:ascii="宋体" w:hAnsi="宋体" w:cs="宋体"/>
          <w:sz w:val="24"/>
        </w:rPr>
        <w:t>8</w:t>
      </w:r>
    </w:p>
    <w:p>
      <w:pPr>
        <w:pStyle w:val="11"/>
        <w:adjustRightInd w:val="0"/>
        <w:snapToGrid w:val="0"/>
        <w:spacing w:line="440" w:lineRule="exact"/>
        <w:jc w:val="left"/>
        <w:rPr>
          <w:rFonts w:ascii="仿宋" w:hAnsi="仿宋" w:eastAsia="仿宋" w:cstheme="minorBidi"/>
          <w:sz w:val="24"/>
        </w:rPr>
      </w:pPr>
      <w:r>
        <w:rPr>
          <w:rFonts w:hint="eastAsia"/>
          <w:sz w:val="24"/>
        </w:rPr>
        <w:t>六、一般公共预算财政拨款基本支出决算情况说明</w:t>
      </w:r>
      <w:r>
        <w:rPr>
          <w:rFonts w:hint="eastAsia" w:ascii="宋体" w:hAnsi="宋体" w:cs="宋体"/>
          <w:sz w:val="24"/>
        </w:rPr>
        <w:t>…………………………</w:t>
      </w:r>
      <w:r>
        <w:rPr>
          <w:rFonts w:ascii="宋体" w:hAnsi="宋体" w:cs="宋体"/>
          <w:sz w:val="24"/>
        </w:rPr>
        <w:t>11</w:t>
      </w:r>
    </w:p>
    <w:p>
      <w:pPr>
        <w:pStyle w:val="11"/>
        <w:adjustRightInd w:val="0"/>
        <w:snapToGrid w:val="0"/>
        <w:spacing w:line="440" w:lineRule="exact"/>
        <w:jc w:val="left"/>
        <w:rPr>
          <w:rFonts w:ascii="仿宋" w:hAnsi="仿宋" w:eastAsia="仿宋" w:cstheme="minorBidi"/>
          <w:sz w:val="24"/>
        </w:rPr>
      </w:pPr>
      <w:r>
        <w:rPr>
          <w:rFonts w:hint="eastAsia"/>
          <w:sz w:val="24"/>
        </w:rPr>
        <w:t xml:space="preserve">七、“三公”经费财政拨款支出决算情况说明 </w:t>
      </w:r>
      <w:r>
        <w:rPr>
          <w:rFonts w:hint="eastAsia" w:ascii="宋体" w:hAnsi="宋体" w:cs="宋体"/>
          <w:sz w:val="24"/>
        </w:rPr>
        <w:t>…………………………… 1</w:t>
      </w:r>
      <w:r>
        <w:rPr>
          <w:rFonts w:ascii="宋体" w:hAnsi="宋体" w:cs="宋体"/>
          <w:sz w:val="24"/>
        </w:rPr>
        <w:t>2</w:t>
      </w:r>
    </w:p>
    <w:p>
      <w:pPr>
        <w:pStyle w:val="11"/>
        <w:adjustRightInd w:val="0"/>
        <w:snapToGrid w:val="0"/>
        <w:spacing w:line="440" w:lineRule="exact"/>
        <w:jc w:val="left"/>
        <w:rPr>
          <w:rFonts w:ascii="仿宋" w:hAnsi="仿宋" w:eastAsia="仿宋" w:cstheme="minorBidi"/>
          <w:sz w:val="24"/>
        </w:rPr>
      </w:pPr>
      <w:r>
        <w:rPr>
          <w:rFonts w:hint="eastAsia"/>
          <w:sz w:val="24"/>
        </w:rPr>
        <w:t>八、政府性基金预算支出决算情况说明</w:t>
      </w:r>
      <w:r>
        <w:rPr>
          <w:rFonts w:hint="eastAsia" w:ascii="宋体" w:hAnsi="宋体" w:cs="宋体"/>
          <w:sz w:val="24"/>
        </w:rPr>
        <w:t>…………………………………… 1</w:t>
      </w:r>
      <w:r>
        <w:rPr>
          <w:rFonts w:ascii="宋体" w:hAnsi="宋体" w:cs="宋体"/>
          <w:sz w:val="24"/>
        </w:rPr>
        <w:t>3</w:t>
      </w:r>
    </w:p>
    <w:p>
      <w:pPr>
        <w:pStyle w:val="11"/>
        <w:adjustRightInd w:val="0"/>
        <w:snapToGrid w:val="0"/>
        <w:spacing w:line="440" w:lineRule="exact"/>
        <w:jc w:val="left"/>
        <w:rPr>
          <w:sz w:val="24"/>
        </w:rPr>
      </w:pPr>
      <w:r>
        <w:rPr>
          <w:rFonts w:hint="eastAsia"/>
          <w:sz w:val="24"/>
        </w:rPr>
        <w:t>九、国有资本经营预算支出决算情况说明</w:t>
      </w:r>
      <w:r>
        <w:rPr>
          <w:rFonts w:hint="eastAsia" w:ascii="宋体" w:hAnsi="宋体" w:cs="宋体"/>
          <w:sz w:val="24"/>
        </w:rPr>
        <w:t>………………………………… 1</w:t>
      </w:r>
      <w:r>
        <w:rPr>
          <w:rFonts w:ascii="宋体" w:hAnsi="宋体" w:cs="宋体"/>
          <w:sz w:val="24"/>
        </w:rPr>
        <w:t>3</w:t>
      </w:r>
    </w:p>
    <w:p>
      <w:pPr>
        <w:pStyle w:val="11"/>
        <w:adjustRightInd w:val="0"/>
        <w:snapToGrid w:val="0"/>
        <w:spacing w:line="440" w:lineRule="exact"/>
        <w:jc w:val="left"/>
        <w:rPr>
          <w:rFonts w:hint="eastAsia" w:eastAsia="宋体"/>
          <w:sz w:val="24"/>
          <w:lang w:eastAsia="zh-CN"/>
        </w:rPr>
      </w:pPr>
      <w:r>
        <w:rPr>
          <w:rFonts w:hint="eastAsia"/>
          <w:sz w:val="24"/>
        </w:rPr>
        <w:t>十、其他重要事项的情况说明</w:t>
      </w:r>
      <w:r>
        <w:rPr>
          <w:rFonts w:hint="eastAsia" w:ascii="宋体" w:hAnsi="宋体" w:cs="宋体"/>
          <w:sz w:val="24"/>
        </w:rPr>
        <w:t>……………………………………………… 1</w:t>
      </w:r>
      <w:r>
        <w:rPr>
          <w:rFonts w:hint="eastAsia" w:ascii="宋体" w:hAnsi="宋体" w:cs="宋体"/>
          <w:sz w:val="24"/>
          <w:lang w:val="en-US" w:eastAsia="zh-CN"/>
        </w:rPr>
        <w:t>3</w:t>
      </w:r>
    </w:p>
    <w:p>
      <w:pPr>
        <w:pStyle w:val="10"/>
        <w:adjustRightInd w:val="0"/>
        <w:snapToGrid w:val="0"/>
        <w:spacing w:before="0" w:line="440" w:lineRule="exact"/>
        <w:jc w:val="left"/>
        <w:rPr>
          <w:rFonts w:hint="eastAsia" w:eastAsia="仿宋" w:cstheme="minorBidi"/>
          <w:sz w:val="24"/>
          <w:szCs w:val="24"/>
          <w:lang w:eastAsia="zh-CN"/>
        </w:rPr>
      </w:pPr>
      <w:r>
        <w:rPr>
          <w:rFonts w:hint="eastAsia"/>
          <w:sz w:val="24"/>
        </w:rPr>
        <w:t>第三部分</w:t>
      </w:r>
      <w:r>
        <w:rPr>
          <w:sz w:val="24"/>
        </w:rPr>
        <w:t xml:space="preserve"> </w:t>
      </w:r>
      <w:r>
        <w:rPr>
          <w:rFonts w:hint="eastAsia"/>
          <w:sz w:val="24"/>
        </w:rPr>
        <w:t xml:space="preserve">名词解释 </w:t>
      </w:r>
      <w:r>
        <w:rPr>
          <w:rFonts w:hint="eastAsia" w:ascii="宋体" w:hAnsi="宋体" w:cs="宋体"/>
          <w:sz w:val="24"/>
        </w:rPr>
        <w:t>………………………………………………………………1</w:t>
      </w:r>
      <w:r>
        <w:rPr>
          <w:rFonts w:hint="eastAsia" w:ascii="宋体" w:hAnsi="宋体" w:cs="宋体"/>
          <w:sz w:val="24"/>
          <w:lang w:val="en-US" w:eastAsia="zh-CN"/>
        </w:rPr>
        <w:t>5</w:t>
      </w:r>
      <w:bookmarkStart w:id="69" w:name="_GoBack"/>
      <w:bookmarkEnd w:id="69"/>
    </w:p>
    <w:p>
      <w:pPr>
        <w:pStyle w:val="10"/>
        <w:adjustRightInd w:val="0"/>
        <w:snapToGrid w:val="0"/>
        <w:spacing w:before="0" w:line="440" w:lineRule="exact"/>
        <w:jc w:val="left"/>
        <w:rPr>
          <w:rFonts w:cstheme="minorBidi"/>
          <w:sz w:val="24"/>
          <w:szCs w:val="24"/>
        </w:rPr>
      </w:pPr>
      <w:r>
        <w:rPr>
          <w:rFonts w:hint="eastAsia"/>
          <w:sz w:val="24"/>
        </w:rPr>
        <w:t>第四部分</w:t>
      </w:r>
      <w:r>
        <w:rPr>
          <w:sz w:val="24"/>
        </w:rPr>
        <w:t xml:space="preserve"> </w:t>
      </w:r>
      <w:r>
        <w:rPr>
          <w:rFonts w:hint="eastAsia"/>
          <w:sz w:val="24"/>
        </w:rPr>
        <w:t xml:space="preserve">附件 </w:t>
      </w:r>
      <w:r>
        <w:rPr>
          <w:rFonts w:hint="eastAsia" w:ascii="宋体" w:hAnsi="宋体" w:cs="宋体"/>
          <w:sz w:val="24"/>
        </w:rPr>
        <w:t>……………………………………………………………………</w:t>
      </w:r>
      <w:r>
        <w:rPr>
          <w:rFonts w:ascii="宋体" w:hAnsi="宋体" w:cs="宋体"/>
          <w:sz w:val="24"/>
        </w:rPr>
        <w:t>19</w:t>
      </w:r>
    </w:p>
    <w:p>
      <w:pPr>
        <w:pStyle w:val="10"/>
        <w:adjustRightInd w:val="0"/>
        <w:snapToGrid w:val="0"/>
        <w:spacing w:before="0" w:line="440" w:lineRule="exact"/>
        <w:jc w:val="left"/>
        <w:rPr>
          <w:rFonts w:cstheme="minorBidi"/>
          <w:sz w:val="24"/>
          <w:szCs w:val="24"/>
        </w:rPr>
      </w:pPr>
      <w:r>
        <w:rPr>
          <w:rFonts w:hint="eastAsia"/>
          <w:sz w:val="24"/>
        </w:rPr>
        <w:t>第五部分</w:t>
      </w:r>
      <w:r>
        <w:rPr>
          <w:sz w:val="24"/>
        </w:rPr>
        <w:t xml:space="preserve"> </w:t>
      </w:r>
      <w:r>
        <w:rPr>
          <w:rFonts w:hint="eastAsia"/>
          <w:sz w:val="24"/>
        </w:rPr>
        <w:t xml:space="preserve">附表 </w:t>
      </w:r>
      <w:r>
        <w:rPr>
          <w:rFonts w:hint="eastAsia" w:ascii="宋体" w:hAnsi="宋体" w:cs="宋体"/>
          <w:sz w:val="24"/>
        </w:rPr>
        <w:t>…………………………………………………………………… 2</w:t>
      </w:r>
      <w:r>
        <w:rPr>
          <w:rFonts w:ascii="宋体" w:hAnsi="宋体" w:cs="宋体"/>
          <w:sz w:val="24"/>
        </w:rPr>
        <w:t>1</w:t>
      </w:r>
    </w:p>
    <w:p>
      <w:pPr>
        <w:pStyle w:val="11"/>
        <w:adjustRightInd w:val="0"/>
        <w:snapToGrid w:val="0"/>
        <w:spacing w:line="440" w:lineRule="exact"/>
        <w:jc w:val="left"/>
        <w:rPr>
          <w:sz w:val="24"/>
        </w:rPr>
      </w:pPr>
      <w:r>
        <w:rPr>
          <w:rFonts w:hint="eastAsia"/>
          <w:sz w:val="24"/>
        </w:rPr>
        <w:t>一、收入支出决算总表</w:t>
      </w:r>
      <w:r>
        <w:rPr>
          <w:rFonts w:hint="eastAsia" w:ascii="宋体" w:hAnsi="宋体" w:cs="宋体"/>
          <w:sz w:val="24"/>
        </w:rPr>
        <w:t>……………………………………………………… 2</w:t>
      </w:r>
      <w:r>
        <w:rPr>
          <w:rFonts w:ascii="宋体" w:hAnsi="宋体" w:cs="宋体"/>
          <w:sz w:val="24"/>
        </w:rPr>
        <w:t>1</w:t>
      </w:r>
    </w:p>
    <w:p>
      <w:pPr>
        <w:pStyle w:val="11"/>
        <w:adjustRightInd w:val="0"/>
        <w:snapToGrid w:val="0"/>
        <w:spacing w:line="440" w:lineRule="exact"/>
        <w:jc w:val="left"/>
        <w:rPr>
          <w:sz w:val="24"/>
        </w:rPr>
      </w:pPr>
      <w:r>
        <w:rPr>
          <w:rFonts w:hint="eastAsia"/>
          <w:sz w:val="24"/>
        </w:rPr>
        <w:t>二、收入决算表</w:t>
      </w:r>
      <w:r>
        <w:rPr>
          <w:rFonts w:hint="eastAsia" w:ascii="宋体" w:hAnsi="宋体" w:cs="宋体"/>
          <w:sz w:val="24"/>
        </w:rPr>
        <w:t>……………………………………………………………… 2</w:t>
      </w:r>
      <w:r>
        <w:rPr>
          <w:rFonts w:ascii="宋体" w:hAnsi="宋体" w:cs="宋体"/>
          <w:sz w:val="24"/>
        </w:rPr>
        <w:t>2</w:t>
      </w:r>
    </w:p>
    <w:p>
      <w:pPr>
        <w:pStyle w:val="11"/>
        <w:adjustRightInd w:val="0"/>
        <w:snapToGrid w:val="0"/>
        <w:spacing w:line="440" w:lineRule="exact"/>
        <w:jc w:val="left"/>
        <w:rPr>
          <w:sz w:val="24"/>
        </w:rPr>
      </w:pPr>
      <w:r>
        <w:rPr>
          <w:rFonts w:hint="eastAsia"/>
          <w:sz w:val="24"/>
        </w:rPr>
        <w:t>三、支出决算表</w:t>
      </w:r>
      <w:r>
        <w:rPr>
          <w:rFonts w:hint="eastAsia" w:ascii="宋体" w:hAnsi="宋体" w:cs="宋体"/>
          <w:sz w:val="24"/>
        </w:rPr>
        <w:t>……………………………………………………………… 2</w:t>
      </w:r>
      <w:r>
        <w:rPr>
          <w:rFonts w:ascii="宋体" w:hAnsi="宋体" w:cs="宋体"/>
          <w:sz w:val="24"/>
        </w:rPr>
        <w:t>3</w:t>
      </w:r>
    </w:p>
    <w:p>
      <w:pPr>
        <w:pStyle w:val="11"/>
        <w:adjustRightInd w:val="0"/>
        <w:snapToGrid w:val="0"/>
        <w:spacing w:line="440" w:lineRule="exact"/>
        <w:jc w:val="left"/>
        <w:rPr>
          <w:sz w:val="24"/>
        </w:rPr>
      </w:pPr>
      <w:r>
        <w:rPr>
          <w:rFonts w:hint="eastAsia"/>
          <w:sz w:val="24"/>
        </w:rPr>
        <w:t>四、财政拨款收入支出决算总表</w:t>
      </w:r>
      <w:r>
        <w:rPr>
          <w:rFonts w:hint="eastAsia" w:ascii="宋体" w:hAnsi="宋体" w:cs="宋体"/>
          <w:sz w:val="24"/>
        </w:rPr>
        <w:t>…………………………………………… 2</w:t>
      </w:r>
      <w:r>
        <w:rPr>
          <w:rFonts w:ascii="宋体" w:hAnsi="宋体" w:cs="宋体"/>
          <w:sz w:val="24"/>
        </w:rPr>
        <w:t>4</w:t>
      </w:r>
    </w:p>
    <w:p>
      <w:pPr>
        <w:pStyle w:val="11"/>
        <w:adjustRightInd w:val="0"/>
        <w:snapToGrid w:val="0"/>
        <w:spacing w:line="440" w:lineRule="exact"/>
        <w:jc w:val="left"/>
        <w:rPr>
          <w:sz w:val="24"/>
        </w:rPr>
      </w:pPr>
      <w:r>
        <w:rPr>
          <w:rFonts w:hint="eastAsia"/>
          <w:sz w:val="24"/>
        </w:rPr>
        <w:t>五、财政拨款支出决算明细表</w:t>
      </w:r>
      <w:r>
        <w:rPr>
          <w:rFonts w:hint="eastAsia" w:ascii="宋体" w:hAnsi="宋体" w:cs="宋体"/>
          <w:sz w:val="24"/>
        </w:rPr>
        <w:t>……………………………………………… 2</w:t>
      </w:r>
      <w:r>
        <w:rPr>
          <w:rFonts w:ascii="宋体" w:hAnsi="宋体" w:cs="宋体"/>
          <w:sz w:val="24"/>
        </w:rPr>
        <w:t>5</w:t>
      </w:r>
    </w:p>
    <w:p>
      <w:pPr>
        <w:pStyle w:val="11"/>
        <w:adjustRightInd w:val="0"/>
        <w:snapToGrid w:val="0"/>
        <w:spacing w:line="440" w:lineRule="exact"/>
        <w:jc w:val="left"/>
        <w:rPr>
          <w:sz w:val="24"/>
        </w:rPr>
      </w:pPr>
      <w:r>
        <w:rPr>
          <w:rFonts w:hint="eastAsia"/>
          <w:sz w:val="24"/>
        </w:rPr>
        <w:t>六、一般公共预算财政拨款支出决算表</w:t>
      </w:r>
      <w:r>
        <w:rPr>
          <w:rFonts w:hint="eastAsia" w:ascii="宋体" w:hAnsi="宋体" w:cs="宋体"/>
          <w:sz w:val="24"/>
        </w:rPr>
        <w:t>…………………………………… 2</w:t>
      </w:r>
      <w:r>
        <w:rPr>
          <w:rFonts w:ascii="宋体" w:hAnsi="宋体" w:cs="宋体"/>
          <w:sz w:val="24"/>
        </w:rPr>
        <w:t>8</w:t>
      </w:r>
    </w:p>
    <w:p>
      <w:pPr>
        <w:pStyle w:val="11"/>
        <w:adjustRightInd w:val="0"/>
        <w:snapToGrid w:val="0"/>
        <w:spacing w:line="440" w:lineRule="exact"/>
        <w:jc w:val="left"/>
        <w:rPr>
          <w:sz w:val="24"/>
        </w:rPr>
      </w:pPr>
      <w:r>
        <w:rPr>
          <w:rFonts w:hint="eastAsia"/>
          <w:sz w:val="24"/>
        </w:rPr>
        <w:t>七、一般公共预算财政拨款支出决算明细表</w:t>
      </w:r>
      <w:r>
        <w:rPr>
          <w:rFonts w:hint="eastAsia" w:ascii="宋体" w:hAnsi="宋体" w:cs="宋体"/>
          <w:sz w:val="24"/>
        </w:rPr>
        <w:t>……………………………… 2</w:t>
      </w:r>
      <w:r>
        <w:rPr>
          <w:rFonts w:ascii="宋体" w:hAnsi="宋体" w:cs="宋体"/>
          <w:sz w:val="24"/>
        </w:rPr>
        <w:t>9</w:t>
      </w:r>
    </w:p>
    <w:p>
      <w:pPr>
        <w:pStyle w:val="11"/>
        <w:adjustRightInd w:val="0"/>
        <w:snapToGrid w:val="0"/>
        <w:spacing w:line="440" w:lineRule="exact"/>
        <w:jc w:val="left"/>
        <w:rPr>
          <w:sz w:val="24"/>
        </w:rPr>
      </w:pPr>
      <w:r>
        <w:rPr>
          <w:rFonts w:hint="eastAsia"/>
          <w:sz w:val="24"/>
        </w:rPr>
        <w:t>八、一般公共预算财政拨款基本支出决算表</w:t>
      </w:r>
      <w:r>
        <w:rPr>
          <w:rFonts w:hint="eastAsia" w:ascii="宋体" w:hAnsi="宋体" w:cs="宋体"/>
          <w:sz w:val="24"/>
        </w:rPr>
        <w:t>……………………………… 3</w:t>
      </w:r>
      <w:r>
        <w:rPr>
          <w:rFonts w:ascii="宋体" w:hAnsi="宋体" w:cs="宋体"/>
          <w:sz w:val="24"/>
        </w:rPr>
        <w:t>7</w:t>
      </w:r>
    </w:p>
    <w:p>
      <w:pPr>
        <w:pStyle w:val="11"/>
        <w:adjustRightInd w:val="0"/>
        <w:snapToGrid w:val="0"/>
        <w:spacing w:line="440" w:lineRule="exact"/>
        <w:jc w:val="left"/>
        <w:rPr>
          <w:sz w:val="24"/>
        </w:rPr>
      </w:pPr>
      <w:r>
        <w:rPr>
          <w:rFonts w:hint="eastAsia"/>
          <w:sz w:val="24"/>
        </w:rPr>
        <w:t>九、一般公共预算财政拨款项目支出决算表</w:t>
      </w:r>
      <w:r>
        <w:rPr>
          <w:rFonts w:hint="eastAsia" w:ascii="宋体" w:hAnsi="宋体" w:cs="宋体"/>
          <w:sz w:val="24"/>
        </w:rPr>
        <w:t>………………… ……………3</w:t>
      </w:r>
      <w:r>
        <w:rPr>
          <w:rFonts w:ascii="宋体" w:hAnsi="宋体" w:cs="宋体"/>
          <w:sz w:val="24"/>
        </w:rPr>
        <w:t>8</w:t>
      </w:r>
    </w:p>
    <w:p>
      <w:pPr>
        <w:pStyle w:val="11"/>
        <w:adjustRightInd w:val="0"/>
        <w:snapToGrid w:val="0"/>
        <w:spacing w:line="440" w:lineRule="exact"/>
        <w:jc w:val="left"/>
        <w:rPr>
          <w:sz w:val="24"/>
        </w:rPr>
      </w:pPr>
      <w:r>
        <w:rPr>
          <w:rFonts w:hint="eastAsia"/>
          <w:sz w:val="24"/>
        </w:rPr>
        <w:t>十、一般公共预算财政拨款“三公”经费支出决算表</w:t>
      </w:r>
      <w:r>
        <w:rPr>
          <w:rFonts w:hint="eastAsia" w:ascii="宋体" w:hAnsi="宋体" w:cs="宋体"/>
          <w:sz w:val="24"/>
        </w:rPr>
        <w:t>………………………</w:t>
      </w:r>
      <w:r>
        <w:rPr>
          <w:rFonts w:ascii="宋体" w:hAnsi="宋体" w:cs="宋体"/>
          <w:sz w:val="24"/>
        </w:rPr>
        <w:t>39</w:t>
      </w:r>
    </w:p>
    <w:p>
      <w:pPr>
        <w:pStyle w:val="11"/>
        <w:adjustRightInd w:val="0"/>
        <w:snapToGrid w:val="0"/>
        <w:spacing w:line="440" w:lineRule="exact"/>
        <w:jc w:val="left"/>
        <w:rPr>
          <w:sz w:val="24"/>
        </w:rPr>
      </w:pPr>
      <w:r>
        <w:rPr>
          <w:rFonts w:hint="eastAsia"/>
          <w:sz w:val="24"/>
        </w:rPr>
        <w:t>十一、政府性基金预算财政拨款收入支出决算表</w:t>
      </w:r>
      <w:r>
        <w:rPr>
          <w:rFonts w:hint="eastAsia" w:ascii="宋体" w:hAnsi="宋体" w:cs="宋体"/>
          <w:sz w:val="24"/>
        </w:rPr>
        <w:t>……………………………</w:t>
      </w:r>
      <w:r>
        <w:rPr>
          <w:rFonts w:ascii="宋体" w:hAnsi="宋体" w:cs="宋体"/>
          <w:sz w:val="24"/>
        </w:rPr>
        <w:t>40</w:t>
      </w:r>
    </w:p>
    <w:p>
      <w:pPr>
        <w:pStyle w:val="11"/>
        <w:adjustRightInd w:val="0"/>
        <w:snapToGrid w:val="0"/>
        <w:spacing w:line="440" w:lineRule="exact"/>
        <w:jc w:val="left"/>
        <w:rPr>
          <w:sz w:val="24"/>
        </w:rPr>
      </w:pPr>
      <w:r>
        <w:rPr>
          <w:rFonts w:hint="eastAsia"/>
          <w:sz w:val="24"/>
        </w:rPr>
        <w:t>十二、政府性基金预算财政拨款“三公”经费支出决算表</w:t>
      </w:r>
      <w:r>
        <w:rPr>
          <w:rFonts w:hint="eastAsia" w:ascii="宋体" w:hAnsi="宋体" w:cs="宋体"/>
          <w:sz w:val="24"/>
        </w:rPr>
        <w:t>…………………</w:t>
      </w:r>
      <w:r>
        <w:rPr>
          <w:rFonts w:ascii="宋体" w:hAnsi="宋体" w:cs="宋体"/>
          <w:sz w:val="24"/>
        </w:rPr>
        <w:t>41</w:t>
      </w:r>
    </w:p>
    <w:p>
      <w:pPr>
        <w:pStyle w:val="11"/>
        <w:adjustRightInd w:val="0"/>
        <w:snapToGrid w:val="0"/>
        <w:spacing w:line="440" w:lineRule="exact"/>
        <w:jc w:val="left"/>
        <w:rPr>
          <w:sz w:val="24"/>
        </w:rPr>
      </w:pPr>
      <w:r>
        <w:rPr>
          <w:rFonts w:hint="eastAsia"/>
          <w:sz w:val="24"/>
        </w:rPr>
        <w:t>十三、国有资本经营预算财政拨款收入支出决算表</w:t>
      </w:r>
      <w:r>
        <w:rPr>
          <w:rFonts w:hint="eastAsia" w:ascii="宋体" w:hAnsi="宋体" w:cs="宋体"/>
          <w:sz w:val="24"/>
        </w:rPr>
        <w:t>…………………………</w:t>
      </w:r>
      <w:r>
        <w:rPr>
          <w:rFonts w:ascii="宋体" w:hAnsi="宋体" w:cs="宋体"/>
          <w:sz w:val="24"/>
        </w:rPr>
        <w:t>42</w:t>
      </w:r>
    </w:p>
    <w:p>
      <w:pPr>
        <w:pStyle w:val="11"/>
        <w:adjustRightInd w:val="0"/>
        <w:snapToGrid w:val="0"/>
        <w:spacing w:line="440" w:lineRule="exact"/>
        <w:jc w:val="left"/>
        <w:rPr>
          <w:sz w:val="24"/>
        </w:rPr>
      </w:pPr>
      <w:r>
        <w:rPr>
          <w:rFonts w:hint="eastAsia"/>
          <w:sz w:val="24"/>
        </w:rPr>
        <w:t>十四、国有资本经营预算财政拨款支出决算表</w:t>
      </w:r>
      <w:r>
        <w:rPr>
          <w:rFonts w:hint="eastAsia" w:ascii="宋体" w:hAnsi="宋体" w:cs="宋体"/>
          <w:sz w:val="24"/>
        </w:rPr>
        <w:t>………………………………</w:t>
      </w:r>
      <w:r>
        <w:rPr>
          <w:rFonts w:ascii="宋体" w:hAnsi="宋体" w:cs="宋体"/>
          <w:sz w:val="24"/>
        </w:rPr>
        <w:t>43</w:t>
      </w:r>
    </w:p>
    <w:p>
      <w:pPr>
        <w:widowControl/>
        <w:adjustRightInd w:val="0"/>
        <w:snapToGrid w:val="0"/>
        <w:spacing w:line="440" w:lineRule="exact"/>
        <w:ind w:firstLine="1320" w:firstLineChars="550"/>
        <w:jc w:val="left"/>
        <w:rPr>
          <w:rFonts w:ascii="仿宋" w:hAnsi="仿宋" w:eastAsia="仿宋"/>
          <w:sz w:val="24"/>
        </w:rPr>
      </w:pPr>
      <w:r>
        <w:rPr>
          <w:rFonts w:ascii="仿宋" w:hAnsi="仿宋" w:eastAsia="仿宋"/>
          <w:sz w:val="24"/>
        </w:rPr>
        <w:t>(注：</w:t>
      </w:r>
      <w:r>
        <w:rPr>
          <w:rFonts w:hint="eastAsia" w:ascii="仿宋" w:hAnsi="仿宋" w:eastAsia="仿宋"/>
          <w:sz w:val="24"/>
        </w:rPr>
        <w:t>请单位根据实际注明页码</w:t>
      </w:r>
      <w:r>
        <w:rPr>
          <w:rFonts w:ascii="仿宋" w:hAnsi="仿宋" w:eastAsia="仿宋"/>
          <w:sz w:val="24"/>
        </w:rPr>
        <w:t>)</w:t>
      </w:r>
    </w:p>
    <w:p>
      <w:pPr>
        <w:widowControl/>
        <w:spacing w:line="440" w:lineRule="exact"/>
        <w:jc w:val="left"/>
        <w:rPr>
          <w:rFonts w:ascii="仿宋" w:hAnsi="仿宋" w:eastAsia="仿宋"/>
          <w:bCs/>
          <w:kern w:val="44"/>
          <w:sz w:val="24"/>
        </w:rPr>
      </w:pPr>
      <w:bookmarkStart w:id="12" w:name="_Toc15396599"/>
      <w:bookmarkStart w:id="13" w:name="_Toc15377196"/>
      <w:r>
        <w:rPr>
          <w:rFonts w:ascii="仿宋" w:hAnsi="仿宋" w:eastAsia="仿宋"/>
          <w:b/>
          <w:sz w:val="24"/>
        </w:rPr>
        <w:br w:type="page"/>
      </w:r>
    </w:p>
    <w:p>
      <w:pPr>
        <w:pStyle w:val="3"/>
        <w:jc w:val="center"/>
        <w:rPr>
          <w:rStyle w:val="24"/>
          <w:rFonts w:ascii="黑体" w:hAnsi="黑体" w:eastAsia="黑体"/>
          <w:b/>
          <w:bCs w:val="0"/>
        </w:rPr>
      </w:pPr>
      <w:r>
        <w:rPr>
          <w:rFonts w:hint="eastAsia" w:ascii="黑体" w:hAnsi="黑体" w:eastAsia="黑体"/>
          <w:b w:val="0"/>
        </w:rPr>
        <w:t>第一部分 单位</w:t>
      </w:r>
      <w:r>
        <w:rPr>
          <w:rStyle w:val="24"/>
          <w:rFonts w:hint="eastAsia" w:ascii="黑体" w:hAnsi="黑体" w:eastAsia="黑体"/>
          <w:b w:val="0"/>
          <w:bCs w:val="0"/>
        </w:rPr>
        <w:t>概况</w:t>
      </w:r>
      <w:bookmarkEnd w:id="12"/>
      <w:bookmarkEnd w:id="13"/>
    </w:p>
    <w:p>
      <w:pPr>
        <w:widowControl/>
        <w:jc w:val="left"/>
        <w:rPr>
          <w:rFonts w:ascii="黑体" w:eastAsia="黑体"/>
          <w:sz w:val="32"/>
          <w:szCs w:val="32"/>
        </w:rPr>
      </w:pPr>
    </w:p>
    <w:p>
      <w:pPr>
        <w:pStyle w:val="4"/>
        <w:numPr>
          <w:ilvl w:val="0"/>
          <w:numId w:val="1"/>
        </w:numPr>
        <w:rPr>
          <w:rStyle w:val="25"/>
          <w:rFonts w:ascii="黑体" w:hAnsi="黑体" w:eastAsia="黑体"/>
          <w:b w:val="0"/>
          <w:bCs w:val="0"/>
        </w:rPr>
      </w:pPr>
      <w:bookmarkStart w:id="14" w:name="_Toc15396600"/>
      <w:bookmarkStart w:id="15" w:name="_Toc15377197"/>
      <w:r>
        <w:rPr>
          <w:rStyle w:val="25"/>
          <w:rFonts w:hint="eastAsia" w:ascii="黑体" w:hAnsi="黑体" w:eastAsia="黑体"/>
          <w:b w:val="0"/>
          <w:bCs w:val="0"/>
        </w:rPr>
        <w:t>职能简介</w:t>
      </w:r>
    </w:p>
    <w:p>
      <w:pPr>
        <w:pStyle w:val="2"/>
        <w:adjustRightInd w:val="0"/>
        <w:snapToGrid w:val="0"/>
        <w:spacing w:before="93" w:line="600" w:lineRule="exact"/>
        <w:ind w:firstLine="672" w:firstLineChars="210"/>
        <w:outlineLvl w:val="2"/>
        <w:rPr>
          <w:rFonts w:ascii="仿宋" w:hAnsi="仿宋" w:eastAsia="仿宋"/>
          <w:bCs/>
          <w:color w:val="000000"/>
          <w:sz w:val="32"/>
          <w:szCs w:val="32"/>
        </w:rPr>
      </w:pPr>
      <w:bookmarkStart w:id="16" w:name="_Toc15377199"/>
      <w:bookmarkStart w:id="17" w:name="_Toc15378446"/>
      <w:r>
        <w:rPr>
          <w:rFonts w:hint="eastAsia" w:ascii="仿宋" w:hAnsi="仿宋" w:eastAsia="仿宋"/>
          <w:bCs/>
          <w:color w:val="000000"/>
          <w:sz w:val="32"/>
          <w:szCs w:val="32"/>
        </w:rPr>
        <w:t>乐山市市中区土主镇初级中学是一所义务教育农村初级中学，全额拨款的事业单位。其主要职责：实施义务教育，促进基础教育发展。</w:t>
      </w:r>
    </w:p>
    <w:bookmarkEnd w:id="16"/>
    <w:bookmarkEnd w:id="17"/>
    <w:p>
      <w:pPr>
        <w:pStyle w:val="4"/>
        <w:rPr>
          <w:rFonts w:ascii="黑体" w:hAnsi="黑体" w:eastAsia="黑体"/>
          <w:b w:val="0"/>
        </w:rPr>
      </w:pPr>
      <w:r>
        <w:rPr>
          <w:rFonts w:hint="eastAsia" w:ascii="黑体" w:hAnsi="黑体" w:eastAsia="黑体"/>
          <w:b w:val="0"/>
        </w:rPr>
        <w:t>二、2021年重点工作</w:t>
      </w:r>
      <w:bookmarkEnd w:id="14"/>
      <w:bookmarkEnd w:id="15"/>
      <w:r>
        <w:rPr>
          <w:rFonts w:hint="eastAsia" w:ascii="黑体" w:hAnsi="黑体" w:eastAsia="黑体"/>
          <w:b w:val="0"/>
        </w:rPr>
        <w:t>完成情况</w:t>
      </w:r>
    </w:p>
    <w:p>
      <w:pPr>
        <w:widowControl/>
        <w:ind w:firstLine="640" w:firstLineChars="200"/>
        <w:jc w:val="left"/>
        <w:rPr>
          <w:rFonts w:ascii="仿宋" w:hAnsi="仿宋" w:eastAsia="仿宋"/>
          <w:kern w:val="0"/>
          <w:sz w:val="32"/>
          <w:szCs w:val="32"/>
        </w:rPr>
      </w:pPr>
      <w:r>
        <w:rPr>
          <w:rFonts w:hint="eastAsia" w:ascii="仿宋" w:hAnsi="仿宋" w:eastAsia="仿宋"/>
          <w:bCs/>
          <w:color w:val="000000"/>
          <w:sz w:val="32"/>
          <w:szCs w:val="32"/>
        </w:rPr>
        <w:t>执行情况及完成情况：按照义务教育的相关法律政策依法执教，社会反响好。为高一级学校输送了大批优秀学子并且为社会培养了大量合格的中学毕业生，圆满完成了任务，社会评价高。</w:t>
      </w:r>
    </w:p>
    <w:p>
      <w:pPr>
        <w:pStyle w:val="3"/>
        <w:ind w:right="440"/>
        <w:jc w:val="center"/>
        <w:rPr>
          <w:rFonts w:ascii="黑体" w:hAnsi="黑体" w:eastAsia="黑体"/>
          <w:b w:val="0"/>
        </w:rPr>
      </w:pPr>
      <w:bookmarkStart w:id="18" w:name="_Toc15377204"/>
      <w:bookmarkStart w:id="19" w:name="_Toc15396602"/>
    </w:p>
    <w:p>
      <w:pPr>
        <w:rPr>
          <w:rFonts w:ascii="黑体" w:hAnsi="黑体" w:eastAsia="黑体"/>
        </w:rPr>
      </w:pPr>
    </w:p>
    <w:p>
      <w:pPr>
        <w:pStyle w:val="2"/>
        <w:spacing w:before="93"/>
      </w:pPr>
    </w:p>
    <w:p>
      <w:pPr>
        <w:pStyle w:val="3"/>
        <w:ind w:right="440"/>
        <w:rPr>
          <w:rFonts w:ascii="黑体" w:hAnsi="黑体" w:eastAsia="黑体"/>
          <w:b w:val="0"/>
        </w:rPr>
      </w:pPr>
    </w:p>
    <w:p/>
    <w:p>
      <w:pPr>
        <w:pStyle w:val="3"/>
        <w:ind w:right="440"/>
        <w:jc w:val="center"/>
        <w:rPr>
          <w:rStyle w:val="24"/>
          <w:rFonts w:ascii="黑体" w:hAnsi="黑体" w:eastAsia="黑体"/>
          <w:b w:val="0"/>
          <w:bCs/>
        </w:rPr>
      </w:pPr>
      <w:r>
        <w:rPr>
          <w:rFonts w:hint="eastAsia" w:ascii="黑体" w:hAnsi="黑体" w:eastAsia="黑体"/>
          <w:b w:val="0"/>
        </w:rPr>
        <w:t>第二部分 2021年度</w:t>
      </w:r>
      <w:r>
        <w:rPr>
          <w:rStyle w:val="24"/>
          <w:rFonts w:hint="eastAsia" w:ascii="黑体" w:hAnsi="黑体" w:eastAsia="黑体"/>
          <w:b w:val="0"/>
          <w:bCs/>
        </w:rPr>
        <w:t>单位决算情况说明</w:t>
      </w:r>
      <w:bookmarkEnd w:id="18"/>
      <w:bookmarkEnd w:id="19"/>
    </w:p>
    <w:p/>
    <w:p>
      <w:pPr>
        <w:pStyle w:val="23"/>
        <w:numPr>
          <w:ilvl w:val="0"/>
          <w:numId w:val="2"/>
        </w:numPr>
        <w:spacing w:line="600" w:lineRule="exact"/>
        <w:ind w:firstLineChars="0"/>
        <w:outlineLvl w:val="1"/>
        <w:rPr>
          <w:rStyle w:val="25"/>
          <w:rFonts w:ascii="黑体" w:hAnsi="黑体" w:eastAsia="黑体"/>
          <w:b w:val="0"/>
        </w:rPr>
      </w:pPr>
      <w:bookmarkStart w:id="20" w:name="_Toc15377205"/>
      <w:bookmarkStart w:id="21" w:name="_Toc15396603"/>
      <w:r>
        <w:rPr>
          <w:rFonts w:hint="eastAsia" w:ascii="黑体" w:hAnsi="黑体" w:eastAsia="黑体"/>
          <w:sz w:val="32"/>
          <w:szCs w:val="32"/>
        </w:rPr>
        <w:t>收</w:t>
      </w:r>
      <w:r>
        <w:rPr>
          <w:rStyle w:val="25"/>
          <w:rFonts w:hint="eastAsia" w:ascii="黑体" w:hAnsi="黑体" w:eastAsia="黑体"/>
          <w:b w:val="0"/>
        </w:rPr>
        <w:t>入支出决算总体情况说明</w:t>
      </w:r>
      <w:bookmarkEnd w:id="20"/>
      <w:bookmarkEnd w:id="21"/>
    </w:p>
    <w:p>
      <w:pPr>
        <w:spacing w:line="600" w:lineRule="exact"/>
        <w:ind w:firstLine="640" w:firstLineChars="200"/>
        <w:rPr>
          <w:rFonts w:ascii="仿宋" w:hAnsi="仿宋" w:eastAsia="仿宋"/>
          <w:sz w:val="32"/>
          <w:szCs w:val="32"/>
        </w:rPr>
      </w:pPr>
      <w:r>
        <w:rPr>
          <w:rFonts w:hint="eastAsia" w:ascii="仿宋" w:hAnsi="仿宋" w:eastAsia="仿宋"/>
          <w:sz w:val="32"/>
          <w:szCs w:val="32"/>
        </w:rPr>
        <w:t>2021年度收、支总计664.95万元。与2020年相比，收、支总计减少27.16万元，下降3.92</w:t>
      </w:r>
      <w:r>
        <w:rPr>
          <w:rFonts w:ascii="仿宋" w:hAnsi="仿宋" w:eastAsia="仿宋"/>
          <w:sz w:val="32"/>
          <w:szCs w:val="32"/>
        </w:rPr>
        <w:t>%</w:t>
      </w:r>
      <w:r>
        <w:rPr>
          <w:rFonts w:hint="eastAsia" w:ascii="仿宋" w:hAnsi="仿宋" w:eastAsia="仿宋"/>
          <w:sz w:val="32"/>
          <w:szCs w:val="32"/>
        </w:rPr>
        <w:t>。主要变动原因是全年安排的工程项目部分资金在本年支付，今年无维修项目。</w:t>
      </w:r>
    </w:p>
    <w:p>
      <w:pPr>
        <w:pStyle w:val="2"/>
        <w:spacing w:before="93"/>
      </w:pPr>
      <w:r>
        <w:drawing>
          <wp:inline distT="0" distB="0" distL="114300" distR="114300">
            <wp:extent cx="4478020" cy="2999105"/>
            <wp:effectExtent l="38735" t="18415" r="40005" b="60960"/>
            <wp:docPr id="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w:t>
      </w:r>
      <w:r>
        <w:rPr>
          <w:rFonts w:ascii="仿宋" w:hAnsi="仿宋" w:eastAsia="仿宋"/>
          <w:sz w:val="32"/>
          <w:szCs w:val="32"/>
        </w:rPr>
        <w:t>1</w:t>
      </w:r>
      <w:r>
        <w:rPr>
          <w:rFonts w:hint="eastAsia" w:ascii="仿宋" w:hAnsi="仿宋" w:eastAsia="仿宋"/>
          <w:sz w:val="32"/>
          <w:szCs w:val="32"/>
        </w:rPr>
        <w:t>：注：数据来源于财决01表，决算-总计栏，收、支决算总计变动情况图）（柱状图）</w:t>
      </w:r>
    </w:p>
    <w:p>
      <w:pPr>
        <w:spacing w:line="600" w:lineRule="exact"/>
        <w:ind w:firstLine="640" w:firstLineChars="200"/>
        <w:jc w:val="left"/>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2" w:name="_Toc15377206"/>
      <w:bookmarkStart w:id="23" w:name="_Toc15396604"/>
      <w:r>
        <w:rPr>
          <w:rFonts w:hint="eastAsia" w:ascii="黑体" w:hAnsi="黑体" w:eastAsia="黑体"/>
          <w:sz w:val="32"/>
          <w:szCs w:val="32"/>
        </w:rPr>
        <w:t>收</w:t>
      </w:r>
      <w:r>
        <w:rPr>
          <w:rStyle w:val="25"/>
          <w:rFonts w:hint="eastAsia" w:ascii="黑体" w:hAnsi="黑体" w:eastAsia="黑体"/>
          <w:b w:val="0"/>
        </w:rPr>
        <w:t>入决算情况说明</w:t>
      </w:r>
      <w:bookmarkEnd w:id="22"/>
      <w:bookmarkEnd w:id="23"/>
    </w:p>
    <w:p>
      <w:pPr>
        <w:spacing w:line="600" w:lineRule="exact"/>
        <w:ind w:firstLine="640" w:firstLineChars="200"/>
        <w:outlineLvl w:val="1"/>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21年本年收入合计664.95万元，其中：一般公共预算财政拨款收入664.95万元，占100</w:t>
      </w:r>
      <w:r>
        <w:rPr>
          <w:rFonts w:ascii="仿宋" w:hAnsi="仿宋" w:eastAsia="仿宋"/>
          <w:sz w:val="32"/>
          <w:szCs w:val="32"/>
        </w:rPr>
        <w:t>%</w:t>
      </w:r>
      <w:r>
        <w:rPr>
          <w:rFonts w:hint="eastAsia" w:ascii="仿宋" w:hAnsi="仿宋" w:eastAsia="仿宋"/>
          <w:sz w:val="32"/>
          <w:szCs w:val="32"/>
        </w:rPr>
        <w:t>；政府性基金预算财政拨款收入0万元，占0</w:t>
      </w:r>
      <w:r>
        <w:rPr>
          <w:rFonts w:ascii="仿宋" w:hAnsi="仿宋" w:eastAsia="仿宋"/>
          <w:sz w:val="32"/>
          <w:szCs w:val="32"/>
        </w:rPr>
        <w:t>%</w:t>
      </w:r>
      <w:r>
        <w:rPr>
          <w:rFonts w:hint="eastAsia" w:ascii="仿宋" w:hAnsi="仿宋" w:eastAsia="仿宋"/>
          <w:sz w:val="32"/>
          <w:szCs w:val="32"/>
        </w:rPr>
        <w:t>；国有资本经营预算财政拨款收入0万元，占0</w:t>
      </w:r>
      <w:r>
        <w:rPr>
          <w:rFonts w:ascii="仿宋" w:hAnsi="仿宋" w:eastAsia="仿宋"/>
          <w:sz w:val="32"/>
          <w:szCs w:val="32"/>
        </w:rPr>
        <w:t>%</w:t>
      </w:r>
      <w:r>
        <w:rPr>
          <w:rFonts w:hint="eastAsia" w:ascii="仿宋" w:hAnsi="仿宋" w:eastAsia="仿宋"/>
          <w:sz w:val="32"/>
          <w:szCs w:val="32"/>
        </w:rPr>
        <w:t>；上级补助收入0万元，占0</w:t>
      </w:r>
      <w:r>
        <w:rPr>
          <w:rFonts w:ascii="仿宋" w:hAnsi="仿宋" w:eastAsia="仿宋"/>
          <w:sz w:val="32"/>
          <w:szCs w:val="32"/>
        </w:rPr>
        <w:t>%</w:t>
      </w:r>
      <w:r>
        <w:rPr>
          <w:rFonts w:hint="eastAsia" w:ascii="仿宋" w:hAnsi="仿宋" w:eastAsia="仿宋"/>
          <w:sz w:val="32"/>
          <w:szCs w:val="32"/>
        </w:rPr>
        <w:t>；事业收入0万元，占0</w:t>
      </w:r>
      <w:r>
        <w:rPr>
          <w:rFonts w:ascii="仿宋" w:hAnsi="仿宋" w:eastAsia="仿宋"/>
          <w:sz w:val="32"/>
          <w:szCs w:val="32"/>
        </w:rPr>
        <w:t>%</w:t>
      </w:r>
      <w:r>
        <w:rPr>
          <w:rFonts w:hint="eastAsia" w:ascii="仿宋" w:hAnsi="仿宋" w:eastAsia="仿宋"/>
          <w:sz w:val="32"/>
          <w:szCs w:val="32"/>
        </w:rPr>
        <w:t>；经营收入0万元，占0</w:t>
      </w:r>
      <w:r>
        <w:rPr>
          <w:rFonts w:ascii="仿宋" w:hAnsi="仿宋" w:eastAsia="仿宋"/>
          <w:sz w:val="32"/>
          <w:szCs w:val="32"/>
        </w:rPr>
        <w:t>%</w:t>
      </w:r>
      <w:r>
        <w:rPr>
          <w:rFonts w:hint="eastAsia" w:ascii="仿宋" w:hAnsi="仿宋" w:eastAsia="仿宋"/>
          <w:sz w:val="32"/>
          <w:szCs w:val="32"/>
        </w:rPr>
        <w:t>；附属单位上缴收入0万元，占0</w:t>
      </w:r>
      <w:r>
        <w:rPr>
          <w:rFonts w:ascii="仿宋" w:hAnsi="仿宋" w:eastAsia="仿宋"/>
          <w:sz w:val="32"/>
          <w:szCs w:val="32"/>
        </w:rPr>
        <w:t>%</w:t>
      </w:r>
      <w:r>
        <w:rPr>
          <w:rFonts w:hint="eastAsia" w:ascii="仿宋" w:hAnsi="仿宋" w:eastAsia="仿宋"/>
          <w:sz w:val="32"/>
          <w:szCs w:val="32"/>
        </w:rPr>
        <w:t>；其他收入0万元，占0</w:t>
      </w:r>
      <w:r>
        <w:rPr>
          <w:rFonts w:ascii="仿宋" w:hAnsi="仿宋" w:eastAsia="仿宋"/>
          <w:sz w:val="32"/>
          <w:szCs w:val="32"/>
        </w:rPr>
        <w:t>%</w:t>
      </w:r>
      <w:r>
        <w:rPr>
          <w:rFonts w:hint="eastAsia" w:ascii="仿宋" w:hAnsi="仿宋" w:eastAsia="仿宋"/>
          <w:sz w:val="32"/>
          <w:szCs w:val="32"/>
        </w:rPr>
        <w:t>。</w:t>
      </w:r>
    </w:p>
    <w:p>
      <w:pPr>
        <w:pStyle w:val="2"/>
        <w:spacing w:before="93"/>
        <w:rPr>
          <w:rFonts w:ascii="仿宋" w:hAnsi="仿宋" w:eastAsia="仿宋"/>
          <w:sz w:val="32"/>
          <w:szCs w:val="32"/>
        </w:rPr>
      </w:pPr>
      <w:r>
        <w:drawing>
          <wp:inline distT="0" distB="0" distL="114300" distR="114300">
            <wp:extent cx="4337050" cy="3276600"/>
            <wp:effectExtent l="38735" t="18415" r="43815" b="73025"/>
            <wp:docPr id="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
              </a:graphicData>
            </a:graphic>
          </wp:inline>
        </w:drawing>
      </w:r>
    </w:p>
    <w:p>
      <w:pPr>
        <w:spacing w:line="600" w:lineRule="exact"/>
        <w:ind w:firstLine="643" w:firstLineChars="200"/>
        <w:outlineLvl w:val="1"/>
        <w:rPr>
          <w:rFonts w:ascii="仿宋" w:hAnsi="仿宋" w:eastAsia="仿宋"/>
          <w:b/>
          <w:sz w:val="32"/>
          <w:szCs w:val="32"/>
        </w:rPr>
      </w:pPr>
    </w:p>
    <w:p>
      <w:pPr>
        <w:spacing w:line="600" w:lineRule="exact"/>
        <w:ind w:firstLine="643" w:firstLineChars="200"/>
        <w:outlineLvl w:val="1"/>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01表</w:t>
      </w:r>
      <w:r>
        <w:rPr>
          <w:rFonts w:hint="eastAsia" w:ascii="仿宋" w:hAnsi="仿宋" w:eastAsia="仿宋"/>
          <w:b/>
          <w:sz w:val="32"/>
          <w:szCs w:val="32"/>
        </w:rPr>
        <w:t>，仅罗列本单位涉及的收入。</w:t>
      </w:r>
      <w:r>
        <w:rPr>
          <w:rFonts w:ascii="仿宋" w:hAnsi="仿宋" w:eastAsia="仿宋"/>
          <w:b/>
          <w:sz w:val="32"/>
          <w:szCs w:val="32"/>
        </w:rPr>
        <w:t>）</w:t>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（图2：收入决算结构图）（饼状图）</w:t>
      </w:r>
    </w:p>
    <w:p>
      <w:pPr>
        <w:spacing w:line="600" w:lineRule="exact"/>
        <w:ind w:firstLine="640" w:firstLineChars="200"/>
        <w:rPr>
          <w:rFonts w:ascii="仿宋_GB2312" w:eastAsia="仿宋_GB2312"/>
          <w:sz w:val="32"/>
          <w:szCs w:val="32"/>
        </w:rPr>
      </w:pPr>
    </w:p>
    <w:p>
      <w:pPr>
        <w:pStyle w:val="23"/>
        <w:numPr>
          <w:ilvl w:val="0"/>
          <w:numId w:val="2"/>
        </w:numPr>
        <w:spacing w:line="600" w:lineRule="exact"/>
        <w:ind w:firstLineChars="0"/>
        <w:outlineLvl w:val="1"/>
        <w:rPr>
          <w:rStyle w:val="25"/>
          <w:rFonts w:ascii="黑体" w:hAnsi="黑体" w:eastAsia="黑体"/>
          <w:b w:val="0"/>
        </w:rPr>
      </w:pPr>
      <w:bookmarkStart w:id="24" w:name="_Toc15377207"/>
      <w:bookmarkStart w:id="25" w:name="_Toc15396605"/>
      <w:r>
        <w:rPr>
          <w:rFonts w:hint="eastAsia" w:ascii="黑体" w:hAnsi="黑体" w:eastAsia="黑体"/>
          <w:sz w:val="32"/>
          <w:szCs w:val="32"/>
        </w:rPr>
        <w:t>支</w:t>
      </w:r>
      <w:r>
        <w:rPr>
          <w:rStyle w:val="25"/>
          <w:rFonts w:hint="eastAsia" w:ascii="黑体" w:hAnsi="黑体" w:eastAsia="黑体"/>
          <w:b w:val="0"/>
        </w:rPr>
        <w:t>出决算情况说明</w:t>
      </w:r>
      <w:bookmarkEnd w:id="24"/>
      <w:bookmarkEnd w:id="25"/>
    </w:p>
    <w:p>
      <w:pPr>
        <w:spacing w:line="600" w:lineRule="exact"/>
        <w:ind w:firstLine="640" w:firstLineChars="200"/>
        <w:outlineLvl w:val="1"/>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21年本年支出合计673.5万元，其中：基本支出659.1万元，占97.86</w:t>
      </w:r>
      <w:r>
        <w:rPr>
          <w:rFonts w:ascii="仿宋" w:hAnsi="仿宋" w:eastAsia="仿宋"/>
          <w:sz w:val="32"/>
          <w:szCs w:val="32"/>
        </w:rPr>
        <w:t>%</w:t>
      </w:r>
      <w:r>
        <w:rPr>
          <w:rFonts w:hint="eastAsia" w:ascii="仿宋" w:hAnsi="仿宋" w:eastAsia="仿宋"/>
          <w:sz w:val="32"/>
          <w:szCs w:val="32"/>
        </w:rPr>
        <w:t>；项目支出14.36万元，占2.14</w:t>
      </w:r>
      <w:r>
        <w:rPr>
          <w:rFonts w:ascii="仿宋" w:hAnsi="仿宋" w:eastAsia="仿宋"/>
          <w:sz w:val="32"/>
          <w:szCs w:val="32"/>
        </w:rPr>
        <w:t>%</w:t>
      </w:r>
      <w:r>
        <w:rPr>
          <w:rFonts w:hint="eastAsia" w:ascii="仿宋" w:hAnsi="仿宋" w:eastAsia="仿宋"/>
          <w:sz w:val="32"/>
          <w:szCs w:val="32"/>
        </w:rPr>
        <w:t>；上缴上级支出0万元，占0</w:t>
      </w:r>
      <w:r>
        <w:rPr>
          <w:rFonts w:ascii="仿宋" w:hAnsi="仿宋" w:eastAsia="仿宋"/>
          <w:sz w:val="32"/>
          <w:szCs w:val="32"/>
        </w:rPr>
        <w:t>%</w:t>
      </w:r>
      <w:r>
        <w:rPr>
          <w:rFonts w:hint="eastAsia" w:ascii="仿宋" w:hAnsi="仿宋" w:eastAsia="仿宋"/>
          <w:sz w:val="32"/>
          <w:szCs w:val="32"/>
        </w:rPr>
        <w:t>；经营支出0万元，占0</w:t>
      </w:r>
      <w:r>
        <w:rPr>
          <w:rFonts w:ascii="仿宋" w:hAnsi="仿宋" w:eastAsia="仿宋"/>
          <w:sz w:val="32"/>
          <w:szCs w:val="32"/>
        </w:rPr>
        <w:t>%</w:t>
      </w:r>
      <w:r>
        <w:rPr>
          <w:rFonts w:hint="eastAsia" w:ascii="仿宋" w:hAnsi="仿宋" w:eastAsia="仿宋"/>
          <w:sz w:val="32"/>
          <w:szCs w:val="32"/>
        </w:rPr>
        <w:t>；对附属单位补助支出0万元，占0</w:t>
      </w:r>
      <w:r>
        <w:rPr>
          <w:rFonts w:ascii="仿宋" w:hAnsi="仿宋" w:eastAsia="仿宋"/>
          <w:sz w:val="32"/>
          <w:szCs w:val="32"/>
        </w:rPr>
        <w:t>%</w:t>
      </w:r>
      <w:r>
        <w:rPr>
          <w:rFonts w:hint="eastAsia" w:ascii="仿宋" w:hAnsi="仿宋" w:eastAsia="仿宋"/>
          <w:sz w:val="32"/>
          <w:szCs w:val="32"/>
        </w:rPr>
        <w:t>。</w:t>
      </w:r>
    </w:p>
    <w:p>
      <w:pPr>
        <w:pStyle w:val="2"/>
        <w:spacing w:before="93"/>
      </w:pPr>
      <w:r>
        <w:rPr>
          <w:rFonts w:hint="eastAsia" w:ascii="仿宋" w:hAnsi="仿宋" w:eastAsia="仿宋"/>
          <w:b/>
          <w:sz w:val="32"/>
          <w:szCs w:val="32"/>
        </w:rPr>
        <w:t>（注：数据来源于财决</w:t>
      </w:r>
      <w:r>
        <w:rPr>
          <w:rFonts w:ascii="仿宋" w:hAnsi="仿宋" w:eastAsia="仿宋"/>
          <w:b/>
          <w:sz w:val="32"/>
          <w:szCs w:val="32"/>
        </w:rPr>
        <w:t>04</w:t>
      </w:r>
      <w:r>
        <w:rPr>
          <w:rFonts w:hint="eastAsia" w:ascii="仿宋" w:hAnsi="仿宋" w:eastAsia="仿宋"/>
          <w:b/>
          <w:sz w:val="32"/>
          <w:szCs w:val="32"/>
        </w:rPr>
        <w:t>表，仅罗列本单位涉及的支出。）</w:t>
      </w:r>
    </w:p>
    <w:p>
      <w:pPr>
        <w:pStyle w:val="2"/>
        <w:spacing w:before="93"/>
        <w:rPr>
          <w:rFonts w:ascii="仿宋" w:hAnsi="仿宋" w:eastAsia="仿宋"/>
          <w:b/>
          <w:sz w:val="32"/>
          <w:szCs w:val="32"/>
        </w:rPr>
      </w:pPr>
      <w:r>
        <w:drawing>
          <wp:inline distT="0" distB="0" distL="114300" distR="114300">
            <wp:extent cx="4029710" cy="2792730"/>
            <wp:effectExtent l="38735" t="18415" r="46355" b="69215"/>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（图3：支出决算结构图）（饼状图）</w:t>
      </w:r>
    </w:p>
    <w:p>
      <w:pPr>
        <w:spacing w:line="600" w:lineRule="exact"/>
        <w:ind w:firstLine="640" w:firstLineChars="200"/>
        <w:rPr>
          <w:rFonts w:ascii="仿宋_GB2312" w:eastAsia="仿宋_GB2312"/>
          <w:sz w:val="32"/>
          <w:szCs w:val="32"/>
        </w:rPr>
      </w:pPr>
    </w:p>
    <w:p>
      <w:pPr>
        <w:spacing w:line="600" w:lineRule="exact"/>
        <w:ind w:firstLine="640" w:firstLineChars="200"/>
        <w:outlineLvl w:val="1"/>
        <w:rPr>
          <w:rStyle w:val="25"/>
          <w:rFonts w:ascii="黑体" w:hAnsi="黑体" w:eastAsia="黑体"/>
          <w:b w:val="0"/>
        </w:rPr>
      </w:pPr>
      <w:bookmarkStart w:id="26" w:name="_Toc15396606"/>
      <w:bookmarkStart w:id="27" w:name="_Toc15377208"/>
      <w:r>
        <w:rPr>
          <w:rFonts w:hint="eastAsia" w:ascii="黑体" w:hAnsi="黑体" w:eastAsia="黑体"/>
          <w:sz w:val="32"/>
          <w:szCs w:val="32"/>
        </w:rPr>
        <w:t>四、财</w:t>
      </w:r>
      <w:r>
        <w:rPr>
          <w:rStyle w:val="25"/>
          <w:rFonts w:hint="eastAsia" w:ascii="黑体" w:hAnsi="黑体" w:eastAsia="黑体"/>
          <w:b w:val="0"/>
        </w:rPr>
        <w:t>政拨款收入支出决算总体情况说明</w:t>
      </w:r>
      <w:bookmarkEnd w:id="26"/>
      <w:bookmarkEnd w:id="27"/>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21年财政拨款收、支总计664.95万元。与</w:t>
      </w:r>
      <w:r>
        <w:rPr>
          <w:rFonts w:ascii="仿宋" w:hAnsi="仿宋" w:eastAsia="仿宋"/>
          <w:sz w:val="32"/>
          <w:szCs w:val="32"/>
        </w:rPr>
        <w:t>20</w:t>
      </w:r>
      <w:r>
        <w:rPr>
          <w:rFonts w:hint="eastAsia" w:ascii="仿宋" w:hAnsi="仿宋" w:eastAsia="仿宋"/>
          <w:sz w:val="32"/>
          <w:szCs w:val="32"/>
        </w:rPr>
        <w:t>20年相比，财政拨款收、支总计各减少27.16万元，下降3.92</w:t>
      </w:r>
      <w:r>
        <w:rPr>
          <w:rFonts w:ascii="仿宋" w:hAnsi="仿宋" w:eastAsia="仿宋"/>
          <w:sz w:val="32"/>
          <w:szCs w:val="32"/>
        </w:rPr>
        <w:t>%</w:t>
      </w:r>
      <w:r>
        <w:rPr>
          <w:rFonts w:hint="eastAsia" w:ascii="仿宋" w:hAnsi="仿宋" w:eastAsia="仿宋"/>
          <w:sz w:val="32"/>
          <w:szCs w:val="32"/>
        </w:rPr>
        <w:t>。主要变动原因是全年安排的工程项目部分资金在本年支付，今年无维修项目。</w:t>
      </w:r>
      <w:r>
        <w:rPr>
          <w:rFonts w:hint="eastAsia" w:ascii="仿宋" w:hAnsi="仿宋" w:eastAsia="仿宋"/>
          <w:b/>
          <w:sz w:val="32"/>
          <w:szCs w:val="32"/>
        </w:rPr>
        <w:t>（注：数据来源于财决</w:t>
      </w:r>
      <w:r>
        <w:rPr>
          <w:rFonts w:ascii="仿宋" w:hAnsi="仿宋" w:eastAsia="仿宋"/>
          <w:b/>
          <w:sz w:val="32"/>
          <w:szCs w:val="32"/>
        </w:rPr>
        <w:t>01-1</w:t>
      </w:r>
      <w:r>
        <w:rPr>
          <w:rFonts w:hint="eastAsia" w:ascii="仿宋" w:hAnsi="仿宋" w:eastAsia="仿宋"/>
          <w:b/>
          <w:sz w:val="32"/>
          <w:szCs w:val="32"/>
        </w:rPr>
        <w:t>表</w:t>
      </w:r>
      <w:r>
        <w:rPr>
          <w:rFonts w:ascii="仿宋" w:hAnsi="仿宋" w:eastAsia="仿宋"/>
          <w:b/>
          <w:sz w:val="32"/>
          <w:szCs w:val="32"/>
        </w:rPr>
        <w:t>）</w:t>
      </w:r>
    </w:p>
    <w:p>
      <w:pPr>
        <w:pStyle w:val="2"/>
        <w:spacing w:before="93"/>
        <w:rPr>
          <w:rFonts w:ascii="仿宋" w:hAnsi="仿宋" w:eastAsia="仿宋"/>
          <w:sz w:val="32"/>
          <w:szCs w:val="32"/>
        </w:rPr>
      </w:pPr>
      <w:r>
        <w:drawing>
          <wp:inline distT="0" distB="0" distL="114300" distR="114300">
            <wp:extent cx="3533775" cy="2501265"/>
            <wp:effectExtent l="38735" t="18415" r="39370" b="71120"/>
            <wp:docPr id="4"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（图4：财政拨款收、支决算总计变动情况）（柱状图）</w:t>
      </w:r>
    </w:p>
    <w:p>
      <w:pPr>
        <w:spacing w:line="600" w:lineRule="exact"/>
        <w:ind w:firstLine="640"/>
        <w:rPr>
          <w:rFonts w:ascii="仿宋" w:hAnsi="仿宋" w:eastAsia="仿宋"/>
          <w:b/>
          <w:sz w:val="32"/>
          <w:szCs w:val="32"/>
        </w:rPr>
      </w:pPr>
    </w:p>
    <w:p>
      <w:pPr>
        <w:spacing w:line="600" w:lineRule="exact"/>
        <w:ind w:firstLine="640" w:firstLineChars="200"/>
        <w:outlineLvl w:val="1"/>
        <w:rPr>
          <w:rStyle w:val="25"/>
          <w:rFonts w:ascii="黑体" w:hAnsi="黑体" w:eastAsia="黑体"/>
          <w:b w:val="0"/>
        </w:rPr>
      </w:pPr>
      <w:bookmarkStart w:id="28" w:name="_Toc15396607"/>
      <w:bookmarkStart w:id="29" w:name="_Toc15377209"/>
      <w:r>
        <w:rPr>
          <w:rFonts w:hint="eastAsia" w:ascii="黑体" w:hAnsi="黑体" w:eastAsia="黑体"/>
          <w:sz w:val="32"/>
          <w:szCs w:val="32"/>
        </w:rPr>
        <w:t>五、</w:t>
      </w:r>
      <w:r>
        <w:rPr>
          <w:rFonts w:hint="eastAsia" w:ascii="黑体" w:hAnsi="黑体" w:eastAsia="黑体"/>
          <w:b/>
          <w:sz w:val="32"/>
          <w:szCs w:val="32"/>
        </w:rPr>
        <w:t>一</w:t>
      </w:r>
      <w:r>
        <w:rPr>
          <w:rStyle w:val="25"/>
          <w:rFonts w:hint="eastAsia" w:ascii="黑体" w:hAnsi="黑体" w:eastAsia="黑体"/>
          <w:b w:val="0"/>
        </w:rPr>
        <w:t>般公共预算财政拨款支出决算情况说明</w:t>
      </w:r>
      <w:bookmarkEnd w:id="28"/>
      <w:bookmarkEnd w:id="29"/>
    </w:p>
    <w:p>
      <w:pPr>
        <w:spacing w:line="600" w:lineRule="exact"/>
        <w:ind w:firstLine="643" w:firstLineChars="200"/>
        <w:outlineLvl w:val="2"/>
        <w:rPr>
          <w:rFonts w:ascii="仿宋" w:hAnsi="仿宋" w:eastAsia="仿宋"/>
          <w:b/>
          <w:sz w:val="32"/>
          <w:szCs w:val="32"/>
        </w:rPr>
      </w:pPr>
      <w:bookmarkStart w:id="30" w:name="_Toc15377210"/>
      <w:r>
        <w:rPr>
          <w:rFonts w:hint="eastAsia" w:ascii="仿宋" w:hAnsi="仿宋" w:eastAsia="仿宋"/>
          <w:b/>
          <w:sz w:val="32"/>
          <w:szCs w:val="32"/>
        </w:rPr>
        <w:t>（一）一般公共预算财政拨款支出决算总体情况</w:t>
      </w:r>
      <w:bookmarkEnd w:id="30"/>
    </w:p>
    <w:p>
      <w:pPr>
        <w:spacing w:line="600" w:lineRule="exact"/>
        <w:ind w:firstLine="640" w:firstLineChars="20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21年一般公共预算财政拨款支出664.95万元，占本年支出合计的100</w:t>
      </w:r>
      <w:r>
        <w:rPr>
          <w:rFonts w:ascii="仿宋" w:hAnsi="仿宋" w:eastAsia="仿宋"/>
          <w:sz w:val="32"/>
          <w:szCs w:val="32"/>
        </w:rPr>
        <w:t>%</w:t>
      </w:r>
      <w:r>
        <w:rPr>
          <w:rFonts w:hint="eastAsia" w:ascii="仿宋" w:hAnsi="仿宋" w:eastAsia="仿宋"/>
          <w:sz w:val="32"/>
          <w:szCs w:val="32"/>
        </w:rPr>
        <w:t>。与</w:t>
      </w:r>
      <w:r>
        <w:rPr>
          <w:rFonts w:ascii="仿宋" w:hAnsi="仿宋" w:eastAsia="仿宋"/>
          <w:sz w:val="32"/>
          <w:szCs w:val="32"/>
        </w:rPr>
        <w:t>20</w:t>
      </w:r>
      <w:r>
        <w:rPr>
          <w:rFonts w:hint="eastAsia" w:ascii="仿宋" w:hAnsi="仿宋" w:eastAsia="仿宋"/>
          <w:sz w:val="32"/>
          <w:szCs w:val="32"/>
        </w:rPr>
        <w:t>20年相比，一般公共预算财政拨款支出增减少27.16万元，下降3.92</w:t>
      </w:r>
      <w:r>
        <w:rPr>
          <w:rFonts w:ascii="仿宋" w:hAnsi="仿宋" w:eastAsia="仿宋"/>
          <w:sz w:val="32"/>
          <w:szCs w:val="32"/>
        </w:rPr>
        <w:t>%</w:t>
      </w:r>
      <w:r>
        <w:rPr>
          <w:rFonts w:hint="eastAsia" w:ascii="仿宋" w:hAnsi="仿宋" w:eastAsia="仿宋"/>
          <w:sz w:val="32"/>
          <w:szCs w:val="32"/>
        </w:rPr>
        <w:t>。主要变动原因是全年安排的工程项目部分资金在本年支付，今年无维修项目。</w:t>
      </w:r>
    </w:p>
    <w:p>
      <w:pPr>
        <w:pStyle w:val="2"/>
        <w:spacing w:before="93"/>
        <w:rPr>
          <w:rFonts w:ascii="仿宋" w:hAnsi="仿宋" w:eastAsia="仿宋"/>
          <w:sz w:val="32"/>
          <w:szCs w:val="32"/>
        </w:rPr>
      </w:pPr>
      <w:r>
        <w:drawing>
          <wp:inline distT="0" distB="0" distL="114300" distR="114300">
            <wp:extent cx="4246245" cy="3205480"/>
            <wp:effectExtent l="38735" t="18415" r="43180" b="67945"/>
            <wp:docPr id="7"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pPr>
        <w:spacing w:line="600" w:lineRule="exact"/>
        <w:rPr>
          <w:rFonts w:ascii="仿宋" w:hAnsi="仿宋" w:eastAsia="仿宋"/>
          <w:sz w:val="32"/>
          <w:szCs w:val="32"/>
        </w:rPr>
      </w:pPr>
    </w:p>
    <w:p>
      <w:pPr>
        <w:spacing w:line="600" w:lineRule="exact"/>
        <w:ind w:firstLine="640" w:firstLineChars="200"/>
        <w:rPr>
          <w:rFonts w:ascii="仿宋" w:hAnsi="仿宋" w:eastAsia="仿宋"/>
          <w:sz w:val="32"/>
          <w:szCs w:val="32"/>
        </w:rPr>
      </w:pPr>
      <w:r>
        <w:rPr>
          <w:rFonts w:hint="eastAsia" w:ascii="仿宋" w:hAnsi="仿宋" w:eastAsia="仿宋"/>
          <w:sz w:val="32"/>
          <w:szCs w:val="32"/>
        </w:rPr>
        <w:t>（图5：一般公共预算财政拨款支出决算变动情况）（柱状图）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31" w:name="_Toc15377211"/>
      <w:r>
        <w:rPr>
          <w:rFonts w:hint="eastAsia" w:ascii="仿宋" w:hAnsi="仿宋" w:eastAsia="仿宋"/>
          <w:b/>
          <w:sz w:val="32"/>
          <w:szCs w:val="32"/>
        </w:rPr>
        <w:t>（二）一般公共预算财政拨款支出决算结构情况</w:t>
      </w:r>
      <w:bookmarkEnd w:id="31"/>
    </w:p>
    <w:p>
      <w:pPr>
        <w:spacing w:line="600" w:lineRule="exact"/>
        <w:ind w:firstLine="640"/>
        <w:rPr>
          <w:rFonts w:ascii="仿宋" w:hAnsi="仿宋" w:eastAsia="仿宋"/>
          <w:b/>
          <w:sz w:val="32"/>
          <w:szCs w:val="32"/>
        </w:rPr>
      </w:pPr>
      <w:r>
        <w:rPr>
          <w:rFonts w:ascii="仿宋" w:hAnsi="仿宋" w:eastAsia="仿宋"/>
          <w:sz w:val="32"/>
          <w:szCs w:val="32"/>
        </w:rPr>
        <w:t>20</w:t>
      </w:r>
      <w:r>
        <w:rPr>
          <w:rFonts w:hint="eastAsia" w:ascii="仿宋" w:hAnsi="仿宋" w:eastAsia="仿宋"/>
          <w:sz w:val="32"/>
          <w:szCs w:val="32"/>
        </w:rPr>
        <w:t>21年一般公共预算财政拨款支出664.95万元，主要用于以下方面</w:t>
      </w:r>
      <w:r>
        <w:rPr>
          <w:rFonts w:ascii="仿宋" w:hAnsi="仿宋" w:eastAsia="仿宋"/>
          <w:sz w:val="32"/>
          <w:szCs w:val="32"/>
        </w:rPr>
        <w:t>:</w:t>
      </w:r>
      <w:r>
        <w:rPr>
          <w:rFonts w:hint="eastAsia" w:ascii="仿宋" w:hAnsi="仿宋" w:eastAsia="仿宋"/>
          <w:b/>
          <w:sz w:val="32"/>
          <w:szCs w:val="32"/>
        </w:rPr>
        <w:t>一般公共服务（类）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教育支出（类）510.02</w:t>
      </w:r>
      <w:r>
        <w:rPr>
          <w:rFonts w:hint="eastAsia" w:ascii="仿宋" w:hAnsi="仿宋" w:eastAsia="仿宋"/>
          <w:sz w:val="32"/>
          <w:szCs w:val="32"/>
        </w:rPr>
        <w:t>万元，占75.73</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sz w:val="32"/>
          <w:szCs w:val="32"/>
        </w:rPr>
        <w:t>科学技术（类）</w:t>
      </w:r>
      <w:r>
        <w:rPr>
          <w:rFonts w:hint="eastAsia" w:ascii="仿宋" w:hAnsi="仿宋" w:eastAsia="仿宋"/>
          <w:sz w:val="32"/>
          <w:szCs w:val="32"/>
        </w:rPr>
        <w:t>支出0万元，占0</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文化旅游体育与传媒（类）支出0万元，占0</w:t>
      </w:r>
      <w:r>
        <w:rPr>
          <w:rFonts w:ascii="仿宋" w:hAnsi="仿宋" w:eastAsia="仿宋"/>
          <w:b/>
          <w:bCs/>
          <w:sz w:val="32"/>
          <w:szCs w:val="32"/>
        </w:rPr>
        <w:t>%</w:t>
      </w:r>
      <w:r>
        <w:rPr>
          <w:rFonts w:hint="eastAsia" w:ascii="仿宋" w:hAnsi="仿宋" w:eastAsia="仿宋"/>
          <w:sz w:val="32"/>
          <w:szCs w:val="32"/>
        </w:rPr>
        <w:t>；</w:t>
      </w:r>
      <w:r>
        <w:rPr>
          <w:rFonts w:hint="eastAsia" w:ascii="仿宋" w:hAnsi="仿宋" w:eastAsia="仿宋"/>
          <w:b/>
          <w:sz w:val="32"/>
          <w:szCs w:val="32"/>
        </w:rPr>
        <w:t>社会保障和就业（类）</w:t>
      </w:r>
      <w:r>
        <w:rPr>
          <w:rFonts w:hint="eastAsia" w:ascii="仿宋" w:hAnsi="仿宋" w:eastAsia="仿宋"/>
          <w:sz w:val="32"/>
          <w:szCs w:val="32"/>
        </w:rPr>
        <w:t>支出96.02万元，占14.26</w:t>
      </w:r>
      <w:r>
        <w:rPr>
          <w:rFonts w:ascii="仿宋" w:hAnsi="仿宋" w:eastAsia="仿宋"/>
          <w:sz w:val="32"/>
          <w:szCs w:val="32"/>
        </w:rPr>
        <w:t>%</w:t>
      </w:r>
      <w:r>
        <w:rPr>
          <w:rFonts w:hint="eastAsia" w:ascii="仿宋" w:hAnsi="仿宋" w:eastAsia="仿宋"/>
          <w:sz w:val="32"/>
          <w:szCs w:val="32"/>
        </w:rPr>
        <w:t>；</w:t>
      </w:r>
      <w:r>
        <w:rPr>
          <w:rFonts w:hint="eastAsia" w:ascii="仿宋" w:hAnsi="仿宋" w:eastAsia="仿宋"/>
          <w:b/>
          <w:bCs/>
          <w:sz w:val="32"/>
          <w:szCs w:val="32"/>
        </w:rPr>
        <w:t>卫生健康支出19.12</w:t>
      </w:r>
      <w:r>
        <w:rPr>
          <w:rFonts w:hint="eastAsia" w:ascii="仿宋" w:hAnsi="仿宋" w:eastAsia="仿宋"/>
          <w:sz w:val="32"/>
          <w:szCs w:val="32"/>
        </w:rPr>
        <w:t>万元，占2.84</w:t>
      </w:r>
      <w:r>
        <w:rPr>
          <w:rFonts w:ascii="仿宋" w:hAnsi="仿宋" w:eastAsia="仿宋"/>
          <w:sz w:val="32"/>
          <w:szCs w:val="32"/>
        </w:rPr>
        <w:t>%</w:t>
      </w:r>
      <w:r>
        <w:rPr>
          <w:rFonts w:hint="eastAsia" w:ascii="仿宋" w:hAnsi="仿宋" w:eastAsia="仿宋"/>
          <w:sz w:val="32"/>
          <w:szCs w:val="32"/>
        </w:rPr>
        <w:t>；住房保障支出48.33万元，占7.18</w:t>
      </w:r>
      <w:r>
        <w:rPr>
          <w:rFonts w:ascii="仿宋" w:hAnsi="仿宋" w:eastAsia="仿宋"/>
          <w:sz w:val="32"/>
          <w:szCs w:val="32"/>
        </w:rPr>
        <w:t>%</w:t>
      </w:r>
      <w:r>
        <w:rPr>
          <w:rFonts w:hint="eastAsia" w:ascii="仿宋" w:hAnsi="仿宋" w:eastAsia="仿宋"/>
          <w:sz w:val="32"/>
          <w:szCs w:val="32"/>
        </w:rPr>
        <w:t>；</w:t>
      </w:r>
      <w:r>
        <w:rPr>
          <w:rFonts w:ascii="仿宋" w:hAnsi="仿宋" w:eastAsia="仿宋"/>
          <w:sz w:val="32"/>
          <w:szCs w:val="32"/>
        </w:rPr>
        <w:t>…</w:t>
      </w:r>
      <w:r>
        <w:rPr>
          <w:rFonts w:hint="eastAsia" w:ascii="仿宋" w:hAnsi="仿宋" w:eastAsia="仿宋"/>
          <w:sz w:val="32"/>
          <w:szCs w:val="32"/>
        </w:rPr>
        <w:t>。</w:t>
      </w:r>
    </w:p>
    <w:p>
      <w:pPr>
        <w:spacing w:line="600" w:lineRule="exact"/>
        <w:ind w:firstLine="640"/>
        <w:rPr>
          <w:rFonts w:ascii="仿宋" w:hAnsi="仿宋" w:eastAsia="仿宋"/>
          <w:sz w:val="32"/>
          <w:szCs w:val="32"/>
        </w:rPr>
      </w:pPr>
      <w:r>
        <w:rPr>
          <w:rFonts w:hint="eastAsia" w:ascii="仿宋" w:hAnsi="仿宋" w:eastAsia="仿宋"/>
          <w:b/>
          <w:sz w:val="32"/>
          <w:szCs w:val="32"/>
        </w:rPr>
        <w:t>（注：数据来源于财决01-1表，仅罗列本单位涉及的全部功能分类科目，至类级。）</w:t>
      </w:r>
    </w:p>
    <w:p>
      <w:pPr>
        <w:pStyle w:val="2"/>
        <w:spacing w:before="93"/>
        <w:rPr>
          <w:rFonts w:ascii="仿宋" w:hAnsi="仿宋" w:eastAsia="仿宋"/>
          <w:sz w:val="32"/>
          <w:szCs w:val="32"/>
        </w:rPr>
      </w:pPr>
      <w:r>
        <w:drawing>
          <wp:inline distT="0" distB="0" distL="114300" distR="114300">
            <wp:extent cx="4020820" cy="3260090"/>
            <wp:effectExtent l="38735" t="18415" r="40005" b="59055"/>
            <wp:docPr id="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pPr>
        <w:spacing w:line="600" w:lineRule="exact"/>
        <w:ind w:firstLine="640" w:firstLineChars="200"/>
        <w:rPr>
          <w:rFonts w:ascii="仿宋" w:hAnsi="仿宋" w:eastAsia="仿宋"/>
          <w:sz w:val="32"/>
          <w:szCs w:val="32"/>
        </w:rPr>
      </w:pPr>
      <w:r>
        <w:rPr>
          <w:rFonts w:hint="eastAsia" w:ascii="仿宋" w:hAnsi="仿宋" w:eastAsia="仿宋"/>
          <w:sz w:val="32"/>
          <w:szCs w:val="32"/>
        </w:rPr>
        <w:t>（图6：一般公共预算财政拨款支出决算结构）（饼状图）</w:t>
      </w:r>
    </w:p>
    <w:p>
      <w:pPr>
        <w:spacing w:line="600" w:lineRule="exact"/>
        <w:ind w:firstLine="640" w:firstLineChars="200"/>
        <w:rPr>
          <w:rFonts w:ascii="仿宋" w:hAnsi="仿宋" w:eastAsia="仿宋"/>
          <w:sz w:val="32"/>
          <w:szCs w:val="32"/>
        </w:rPr>
      </w:pPr>
    </w:p>
    <w:p>
      <w:pPr>
        <w:spacing w:line="600" w:lineRule="exact"/>
        <w:ind w:firstLine="643" w:firstLineChars="200"/>
        <w:outlineLvl w:val="2"/>
        <w:rPr>
          <w:rFonts w:ascii="仿宋" w:hAnsi="仿宋" w:eastAsia="仿宋"/>
          <w:b/>
          <w:sz w:val="32"/>
          <w:szCs w:val="32"/>
        </w:rPr>
      </w:pPr>
      <w:bookmarkStart w:id="32" w:name="_Toc15377212"/>
      <w:r>
        <w:rPr>
          <w:rFonts w:hint="eastAsia" w:ascii="仿宋" w:hAnsi="仿宋" w:eastAsia="仿宋"/>
          <w:b/>
          <w:sz w:val="32"/>
          <w:szCs w:val="32"/>
        </w:rPr>
        <w:t>（三）一般公共预算财政拨款支出决算具体情况</w:t>
      </w:r>
      <w:bookmarkEnd w:id="32"/>
    </w:p>
    <w:p>
      <w:pPr>
        <w:spacing w:line="600" w:lineRule="exact"/>
        <w:ind w:firstLine="643" w:firstLineChars="200"/>
        <w:outlineLvl w:val="2"/>
        <w:rPr>
          <w:rFonts w:ascii="仿宋" w:hAnsi="仿宋" w:eastAsia="仿宋"/>
          <w:sz w:val="32"/>
          <w:szCs w:val="32"/>
        </w:rPr>
      </w:pPr>
      <w:bookmarkStart w:id="33" w:name="_Toc15377213"/>
      <w:bookmarkStart w:id="34" w:name="_Toc15377444"/>
      <w:bookmarkStart w:id="35" w:name="_Toc15378460"/>
      <w:r>
        <w:rPr>
          <w:rFonts w:hint="eastAsia" w:ascii="仿宋" w:hAnsi="仿宋" w:eastAsia="仿宋"/>
          <w:b/>
          <w:sz w:val="32"/>
          <w:szCs w:val="32"/>
        </w:rPr>
        <w:t>2021年一般公共预算支出决算数为664.95万元</w:t>
      </w:r>
      <w:r>
        <w:rPr>
          <w:rFonts w:hint="eastAsia" w:ascii="仿宋" w:hAnsi="仿宋" w:eastAsia="仿宋"/>
          <w:sz w:val="32"/>
          <w:szCs w:val="32"/>
        </w:rPr>
        <w:t>，</w:t>
      </w:r>
      <w:r>
        <w:rPr>
          <w:rStyle w:val="14"/>
          <w:rFonts w:hint="eastAsia" w:ascii="仿宋" w:hAnsi="仿宋" w:eastAsia="仿宋"/>
          <w:bCs/>
          <w:sz w:val="32"/>
          <w:szCs w:val="32"/>
        </w:rPr>
        <w:t>完成预算100</w:t>
      </w:r>
      <w:r>
        <w:rPr>
          <w:rStyle w:val="14"/>
          <w:rFonts w:ascii="仿宋" w:hAnsi="仿宋" w:eastAsia="仿宋"/>
          <w:bCs/>
          <w:sz w:val="32"/>
          <w:szCs w:val="32"/>
        </w:rPr>
        <w:t>%</w:t>
      </w:r>
      <w:r>
        <w:rPr>
          <w:rStyle w:val="14"/>
          <w:rFonts w:hint="eastAsia" w:ascii="仿宋" w:hAnsi="仿宋" w:eastAsia="仿宋"/>
          <w:bCs/>
          <w:sz w:val="32"/>
          <w:szCs w:val="32"/>
        </w:rPr>
        <w:t>。其中：</w:t>
      </w:r>
      <w:bookmarkEnd w:id="33"/>
      <w:bookmarkEnd w:id="34"/>
      <w:bookmarkEnd w:id="35"/>
    </w:p>
    <w:p>
      <w:pPr>
        <w:spacing w:line="600" w:lineRule="exact"/>
        <w:ind w:firstLine="643" w:firstLineChars="200"/>
        <w:rPr>
          <w:rFonts w:ascii="仿宋" w:hAnsi="仿宋" w:eastAsia="仿宋"/>
          <w:b/>
          <w:sz w:val="32"/>
          <w:szCs w:val="32"/>
        </w:rPr>
      </w:pPr>
      <w:r>
        <w:rPr>
          <w:rStyle w:val="14"/>
          <w:rFonts w:ascii="仿宋" w:hAnsi="仿宋" w:eastAsia="仿宋"/>
          <w:bCs/>
          <w:sz w:val="32"/>
          <w:szCs w:val="32"/>
        </w:rPr>
        <w:t>1..</w:t>
      </w:r>
      <w:r>
        <w:rPr>
          <w:rStyle w:val="14"/>
          <w:rFonts w:hint="eastAsia" w:ascii="仿宋" w:hAnsi="仿宋" w:eastAsia="仿宋"/>
          <w:bCs/>
          <w:sz w:val="32"/>
          <w:szCs w:val="32"/>
        </w:rPr>
        <w:t>教育（类）普通教育（款）初中教育（项）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支出决算为501.48万元，完成预算100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3" w:firstLineChars="200"/>
        <w:rPr>
          <w:rStyle w:val="14"/>
          <w:rFonts w:ascii="仿宋" w:hAnsi="仿宋" w:eastAsia="仿宋"/>
          <w:b w:val="0"/>
          <w:bCs/>
          <w:sz w:val="32"/>
          <w:szCs w:val="32"/>
        </w:rPr>
      </w:pPr>
      <w:r>
        <w:rPr>
          <w:rStyle w:val="14"/>
          <w:rFonts w:hint="eastAsia" w:ascii="仿宋" w:hAnsi="仿宋" w:eastAsia="仿宋"/>
          <w:bCs/>
          <w:sz w:val="32"/>
          <w:szCs w:val="32"/>
          <w:lang w:val="en-US" w:eastAsia="zh-CN"/>
        </w:rPr>
        <w:t>2</w:t>
      </w:r>
      <w:r>
        <w:rPr>
          <w:rStyle w:val="14"/>
          <w:rFonts w:ascii="仿宋" w:hAnsi="仿宋" w:eastAsia="仿宋"/>
          <w:bCs/>
          <w:sz w:val="32"/>
          <w:szCs w:val="32"/>
        </w:rPr>
        <w:t>.</w:t>
      </w:r>
      <w:r>
        <w:rPr>
          <w:rStyle w:val="14"/>
          <w:rFonts w:hint="eastAsia" w:ascii="仿宋" w:hAnsi="仿宋" w:eastAsia="仿宋"/>
          <w:bCs/>
          <w:sz w:val="32"/>
          <w:szCs w:val="32"/>
        </w:rPr>
        <w:t>社会保障和就业（类）行政事业单位养老支出（款）机关事业单位基本养老保险缴费支出（项）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支出决算为49.79万元，完成预算100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pStyle w:val="2"/>
        <w:spacing w:before="93"/>
        <w:ind w:firstLine="964" w:firstLineChars="300"/>
        <w:rPr>
          <w:rStyle w:val="14"/>
          <w:rFonts w:ascii="仿宋" w:hAnsi="仿宋" w:eastAsia="仿宋"/>
          <w:b w:val="0"/>
          <w:bCs/>
          <w:sz w:val="32"/>
          <w:szCs w:val="32"/>
        </w:rPr>
      </w:pPr>
      <w:r>
        <w:rPr>
          <w:rStyle w:val="14"/>
          <w:rFonts w:hint="eastAsia" w:ascii="仿宋" w:hAnsi="仿宋" w:eastAsia="仿宋"/>
          <w:bCs/>
          <w:sz w:val="32"/>
          <w:szCs w:val="32"/>
        </w:rPr>
        <w:t>行政事业单位养老支出（款）机关事业单位职业年金缴费支出（项）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支出决算为27.25万元，完成预算100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pStyle w:val="2"/>
        <w:spacing w:before="93"/>
        <w:ind w:firstLine="964" w:firstLineChars="300"/>
        <w:rPr>
          <w:rStyle w:val="14"/>
          <w:rFonts w:ascii="仿宋" w:hAnsi="仿宋" w:eastAsia="仿宋"/>
          <w:b w:val="0"/>
          <w:bCs/>
          <w:sz w:val="32"/>
          <w:szCs w:val="32"/>
        </w:rPr>
      </w:pPr>
      <w:r>
        <w:rPr>
          <w:rStyle w:val="14"/>
          <w:rFonts w:hint="eastAsia" w:ascii="仿宋" w:hAnsi="仿宋" w:eastAsia="仿宋"/>
          <w:bCs/>
          <w:sz w:val="32"/>
          <w:szCs w:val="32"/>
        </w:rPr>
        <w:t>行政事业单位养老支出（款）机关事业单位其它行政事业单位养老支出（项）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支出决算为7.71万元，完成预算100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pStyle w:val="2"/>
        <w:spacing w:before="93"/>
        <w:ind w:firstLine="964" w:firstLineChars="300"/>
        <w:rPr>
          <w:rStyle w:val="14"/>
          <w:rFonts w:ascii="仿宋" w:hAnsi="仿宋" w:eastAsia="仿宋"/>
          <w:b w:val="0"/>
          <w:bCs/>
          <w:sz w:val="32"/>
          <w:szCs w:val="32"/>
        </w:rPr>
      </w:pPr>
      <w:r>
        <w:rPr>
          <w:rStyle w:val="14"/>
          <w:rFonts w:hint="eastAsia" w:ascii="仿宋" w:hAnsi="仿宋" w:eastAsia="仿宋"/>
          <w:bCs/>
          <w:sz w:val="32"/>
          <w:szCs w:val="32"/>
        </w:rPr>
        <w:t>抚恤（款）死亡抚恤（项）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支出决算为6.73万元，完成预算100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pStyle w:val="2"/>
        <w:spacing w:before="93"/>
        <w:ind w:firstLine="964" w:firstLineChars="300"/>
        <w:rPr>
          <w:rStyle w:val="14"/>
          <w:rFonts w:ascii="仿宋" w:hAnsi="仿宋" w:eastAsia="仿宋"/>
          <w:b w:val="0"/>
          <w:bCs/>
          <w:sz w:val="32"/>
          <w:szCs w:val="32"/>
        </w:rPr>
      </w:pPr>
      <w:r>
        <w:rPr>
          <w:rStyle w:val="14"/>
          <w:rFonts w:hint="eastAsia" w:ascii="仿宋" w:hAnsi="仿宋" w:eastAsia="仿宋"/>
          <w:bCs/>
          <w:sz w:val="32"/>
          <w:szCs w:val="32"/>
        </w:rPr>
        <w:t>残疾人事业（款）其它残疾人事业支出（项）</w:t>
      </w:r>
      <w:r>
        <w:rPr>
          <w:rStyle w:val="14"/>
          <w:rFonts w:ascii="仿宋" w:hAnsi="仿宋" w:eastAsia="仿宋"/>
          <w:bCs/>
          <w:sz w:val="32"/>
          <w:szCs w:val="32"/>
        </w:rPr>
        <w:t>:</w:t>
      </w:r>
      <w:r>
        <w:rPr>
          <w:rStyle w:val="14"/>
          <w:rFonts w:ascii="仿宋" w:hAnsi="仿宋" w:eastAsia="仿宋"/>
          <w:b w:val="0"/>
          <w:bCs/>
          <w:sz w:val="32"/>
          <w:szCs w:val="32"/>
        </w:rPr>
        <w:t xml:space="preserve"> </w:t>
      </w:r>
      <w:r>
        <w:rPr>
          <w:rStyle w:val="14"/>
          <w:rFonts w:hint="eastAsia" w:ascii="仿宋" w:hAnsi="仿宋" w:eastAsia="仿宋"/>
          <w:b w:val="0"/>
          <w:bCs/>
          <w:sz w:val="32"/>
          <w:szCs w:val="32"/>
        </w:rPr>
        <w:t>支出决算为4.54万元，完成预算100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pStyle w:val="2"/>
        <w:spacing w:before="93"/>
        <w:ind w:firstLine="964" w:firstLineChars="300"/>
        <w:rPr>
          <w:rFonts w:ascii="仿宋" w:hAnsi="仿宋" w:eastAsia="仿宋"/>
          <w:b/>
          <w:sz w:val="32"/>
          <w:szCs w:val="32"/>
        </w:rPr>
      </w:pPr>
      <w:r>
        <w:rPr>
          <w:rStyle w:val="14"/>
          <w:rFonts w:hint="eastAsia" w:ascii="仿宋" w:hAnsi="仿宋" w:eastAsia="仿宋"/>
          <w:bCs/>
          <w:sz w:val="32"/>
          <w:szCs w:val="32"/>
          <w:lang w:val="en-US" w:eastAsia="zh-CN"/>
        </w:rPr>
        <w:t>3</w:t>
      </w:r>
      <w:r>
        <w:rPr>
          <w:rStyle w:val="14"/>
          <w:rFonts w:ascii="仿宋" w:hAnsi="仿宋" w:eastAsia="仿宋"/>
          <w:bCs/>
          <w:sz w:val="32"/>
          <w:szCs w:val="32"/>
        </w:rPr>
        <w:t>.</w:t>
      </w:r>
      <w:r>
        <w:rPr>
          <w:rFonts w:hint="eastAsia" w:ascii="仿宋" w:hAnsi="仿宋" w:eastAsia="仿宋"/>
          <w:b/>
          <w:bCs/>
          <w:sz w:val="32"/>
          <w:szCs w:val="32"/>
        </w:rPr>
        <w:t>卫生健康</w:t>
      </w:r>
      <w:r>
        <w:rPr>
          <w:rStyle w:val="14"/>
          <w:rFonts w:hint="eastAsia" w:ascii="仿宋" w:hAnsi="仿宋" w:eastAsia="仿宋"/>
          <w:bCs/>
          <w:sz w:val="32"/>
          <w:szCs w:val="32"/>
        </w:rPr>
        <w:t>（类）行政事业单位医疗（款）事业单位医疗（项）</w:t>
      </w:r>
      <w:r>
        <w:rPr>
          <w:rStyle w:val="14"/>
          <w:rFonts w:ascii="仿宋" w:hAnsi="仿宋" w:eastAsia="仿宋"/>
          <w:bCs/>
          <w:sz w:val="32"/>
          <w:szCs w:val="32"/>
        </w:rPr>
        <w:t>:</w:t>
      </w:r>
      <w:r>
        <w:rPr>
          <w:rStyle w:val="14"/>
          <w:rFonts w:hint="eastAsia" w:ascii="仿宋" w:hAnsi="仿宋" w:eastAsia="仿宋"/>
          <w:b w:val="0"/>
          <w:bCs/>
          <w:sz w:val="32"/>
          <w:szCs w:val="32"/>
        </w:rPr>
        <w:t>支出决算为19.12万元，完成预算100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964" w:firstLineChars="300"/>
      </w:pPr>
      <w:r>
        <w:rPr>
          <w:rFonts w:hint="eastAsia" w:ascii="仿宋" w:hAnsi="仿宋" w:eastAsia="仿宋"/>
          <w:b/>
          <w:sz w:val="32"/>
          <w:szCs w:val="32"/>
          <w:lang w:val="en-US" w:eastAsia="zh-CN"/>
        </w:rPr>
        <w:t>4</w:t>
      </w:r>
      <w:r>
        <w:rPr>
          <w:rFonts w:hint="eastAsia" w:ascii="仿宋" w:hAnsi="仿宋" w:eastAsia="仿宋"/>
          <w:b/>
          <w:sz w:val="32"/>
          <w:szCs w:val="32"/>
        </w:rPr>
        <w:t>.住房保障</w:t>
      </w:r>
      <w:r>
        <w:rPr>
          <w:rStyle w:val="14"/>
          <w:rFonts w:hint="eastAsia" w:ascii="仿宋" w:hAnsi="仿宋" w:eastAsia="仿宋"/>
          <w:bCs/>
          <w:sz w:val="32"/>
          <w:szCs w:val="32"/>
        </w:rPr>
        <w:t>（类）住房改革支出（款）住房公积金（项）</w:t>
      </w:r>
      <w:r>
        <w:rPr>
          <w:rStyle w:val="14"/>
          <w:rFonts w:ascii="仿宋" w:hAnsi="仿宋" w:eastAsia="仿宋"/>
          <w:bCs/>
          <w:sz w:val="32"/>
          <w:szCs w:val="32"/>
        </w:rPr>
        <w:t>:</w:t>
      </w:r>
      <w:r>
        <w:rPr>
          <w:rStyle w:val="14"/>
          <w:rFonts w:hint="eastAsia" w:ascii="仿宋" w:hAnsi="仿宋" w:eastAsia="仿宋"/>
          <w:b w:val="0"/>
          <w:bCs/>
          <w:sz w:val="32"/>
          <w:szCs w:val="32"/>
        </w:rPr>
        <w:t>支出决算为48.33万元，完成预算100</w:t>
      </w:r>
      <w:r>
        <w:rPr>
          <w:rStyle w:val="14"/>
          <w:rFonts w:ascii="仿宋" w:hAnsi="仿宋" w:eastAsia="仿宋"/>
          <w:b w:val="0"/>
          <w:bCs/>
          <w:sz w:val="32"/>
          <w:szCs w:val="32"/>
        </w:rPr>
        <w:t>%</w:t>
      </w:r>
      <w:r>
        <w:rPr>
          <w:rStyle w:val="14"/>
          <w:rFonts w:hint="eastAsia" w:ascii="仿宋" w:hAnsi="仿宋" w:eastAsia="仿宋"/>
          <w:b w:val="0"/>
          <w:bCs/>
          <w:sz w:val="32"/>
          <w:szCs w:val="32"/>
        </w:rPr>
        <w:t>，决算数等于预算数。</w:t>
      </w:r>
    </w:p>
    <w:p>
      <w:pPr>
        <w:spacing w:line="600" w:lineRule="exact"/>
        <w:ind w:firstLine="640"/>
        <w:rPr>
          <w:rFonts w:ascii="仿宋" w:hAnsi="仿宋" w:eastAsia="仿宋"/>
          <w:b/>
          <w:sz w:val="32"/>
          <w:szCs w:val="32"/>
        </w:rPr>
      </w:pPr>
    </w:p>
    <w:p>
      <w:pPr>
        <w:pStyle w:val="2"/>
      </w:pPr>
    </w:p>
    <w:p>
      <w:pPr>
        <w:tabs>
          <w:tab w:val="right" w:pos="8306"/>
        </w:tabs>
        <w:spacing w:line="600" w:lineRule="exact"/>
        <w:ind w:firstLine="640"/>
        <w:outlineLvl w:val="1"/>
        <w:rPr>
          <w:rStyle w:val="25"/>
        </w:rPr>
      </w:pPr>
      <w:bookmarkStart w:id="36" w:name="_Toc15377214"/>
      <w:bookmarkStart w:id="37" w:name="_Toc15396608"/>
      <w:r>
        <w:rPr>
          <w:rFonts w:hint="eastAsia" w:ascii="黑体" w:eastAsia="黑体"/>
          <w:sz w:val="32"/>
          <w:szCs w:val="32"/>
        </w:rPr>
        <w:t>六</w:t>
      </w:r>
      <w:r>
        <w:rPr>
          <w:rFonts w:hint="eastAsia" w:ascii="黑体" w:eastAsia="黑体"/>
          <w:b/>
          <w:sz w:val="32"/>
          <w:szCs w:val="32"/>
        </w:rPr>
        <w:t>、</w:t>
      </w:r>
      <w:r>
        <w:rPr>
          <w:rFonts w:hint="eastAsia" w:ascii="黑体" w:hAnsi="黑体" w:eastAsia="黑体"/>
          <w:b/>
          <w:sz w:val="32"/>
          <w:szCs w:val="32"/>
        </w:rPr>
        <w:t>一</w:t>
      </w:r>
      <w:r>
        <w:rPr>
          <w:rStyle w:val="25"/>
          <w:rFonts w:hint="eastAsia" w:ascii="黑体" w:hAnsi="黑体" w:eastAsia="黑体"/>
          <w:b w:val="0"/>
        </w:rPr>
        <w:t>般公共预算财政拨款基本支出决算情况说明</w:t>
      </w:r>
      <w:bookmarkEnd w:id="36"/>
      <w:bookmarkEnd w:id="37"/>
      <w:r>
        <w:rPr>
          <w:rStyle w:val="25"/>
          <w:rFonts w:ascii="黑体" w:hAnsi="黑体" w:eastAsia="黑体"/>
          <w:b w:val="0"/>
        </w:rPr>
        <w:tab/>
      </w:r>
    </w:p>
    <w:p>
      <w:pPr>
        <w:spacing w:line="600" w:lineRule="exact"/>
        <w:ind w:firstLine="645"/>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21年一般公共预算财政拨款基本支出659.13万元，其中：</w:t>
      </w:r>
    </w:p>
    <w:p>
      <w:pPr>
        <w:spacing w:line="600" w:lineRule="exact"/>
        <w:ind w:firstLine="645"/>
        <w:rPr>
          <w:rFonts w:ascii="仿宋" w:hAnsi="仿宋" w:eastAsia="仿宋"/>
          <w:sz w:val="32"/>
          <w:szCs w:val="32"/>
        </w:rPr>
      </w:pPr>
      <w:r>
        <w:rPr>
          <w:rFonts w:hint="eastAsia" w:ascii="仿宋" w:hAnsi="仿宋" w:eastAsia="仿宋"/>
          <w:sz w:val="32"/>
          <w:szCs w:val="32"/>
        </w:rPr>
        <w:t>人员经费608.87万元，主要包括：基本工资、津贴补贴、伙食补助费、绩效工资、机关事业单位基本养老保险缴费、职业年金缴费、职工基本医疗保险缴费、其他社会保障缴费、抚恤金、生活补助、奖励金、住房公积金、其他对个人和家庭的补助支出等。</w:t>
      </w:r>
      <w:r>
        <w:rPr>
          <w:rFonts w:ascii="仿宋" w:hAnsi="仿宋" w:eastAsia="仿宋"/>
          <w:sz w:val="32"/>
          <w:szCs w:val="32"/>
        </w:rPr>
        <w:br w:type="textWrapping"/>
      </w:r>
      <w:r>
        <w:rPr>
          <w:rFonts w:hint="eastAsia" w:ascii="仿宋" w:hAnsi="仿宋" w:eastAsia="仿宋"/>
          <w:sz w:val="32"/>
          <w:szCs w:val="32"/>
          <w:lang w:val="en-US" w:eastAsia="zh-CN"/>
        </w:rPr>
        <w:t xml:space="preserve">   </w:t>
      </w:r>
      <w:r>
        <w:rPr>
          <w:rFonts w:hint="eastAsia" w:ascii="仿宋" w:hAnsi="仿宋" w:eastAsia="仿宋"/>
          <w:sz w:val="32"/>
          <w:szCs w:val="32"/>
        </w:rPr>
        <w:t>公用经费50.26万元，主要包括：办公费、印刷费、水费、电费、邮电费、物业管理费、差旅费、维修（护）费、会议费、培训费、劳务费、工会经费、福利费、其他商品和服务支出、办公设备购置等。</w:t>
      </w:r>
    </w:p>
    <w:p>
      <w:pPr>
        <w:spacing w:line="600" w:lineRule="exact"/>
        <w:ind w:firstLine="645"/>
        <w:rPr>
          <w:rFonts w:ascii="仿宋" w:hAnsi="仿宋" w:eastAsia="仿宋"/>
          <w:b/>
          <w:sz w:val="32"/>
          <w:szCs w:val="32"/>
        </w:rPr>
      </w:pPr>
      <w:r>
        <w:rPr>
          <w:rFonts w:hint="eastAsia" w:ascii="仿宋" w:hAnsi="仿宋" w:eastAsia="仿宋"/>
          <w:b/>
          <w:sz w:val="32"/>
          <w:szCs w:val="32"/>
        </w:rPr>
        <w:t>（注：数据来源于财决</w:t>
      </w:r>
      <w:r>
        <w:rPr>
          <w:rFonts w:ascii="仿宋" w:hAnsi="仿宋" w:eastAsia="仿宋"/>
          <w:b/>
          <w:sz w:val="32"/>
          <w:szCs w:val="32"/>
        </w:rPr>
        <w:t>0</w:t>
      </w:r>
      <w:r>
        <w:rPr>
          <w:rFonts w:hint="eastAsia" w:ascii="仿宋" w:hAnsi="仿宋" w:eastAsia="仿宋"/>
          <w:b/>
          <w:sz w:val="32"/>
          <w:szCs w:val="32"/>
        </w:rPr>
        <w:t>7表和财决08-1表，仅罗列本单位实际支出涉及的经济分类科目。）</w:t>
      </w:r>
    </w:p>
    <w:p>
      <w:pPr>
        <w:spacing w:line="600" w:lineRule="exact"/>
        <w:ind w:firstLine="640"/>
        <w:rPr>
          <w:rFonts w:ascii="仿宋" w:hAnsi="仿宋" w:eastAsia="仿宋"/>
          <w:b/>
          <w:sz w:val="32"/>
          <w:szCs w:val="32"/>
        </w:rPr>
      </w:pPr>
    </w:p>
    <w:p>
      <w:pPr>
        <w:spacing w:line="600" w:lineRule="exact"/>
        <w:ind w:firstLine="640"/>
        <w:outlineLvl w:val="1"/>
        <w:rPr>
          <w:rStyle w:val="25"/>
          <w:rFonts w:ascii="黑体" w:hAnsi="黑体" w:eastAsia="黑体"/>
          <w:b w:val="0"/>
        </w:rPr>
      </w:pPr>
      <w:bookmarkStart w:id="38" w:name="_Toc15396609"/>
      <w:bookmarkStart w:id="39" w:name="_Toc15377215"/>
      <w:r>
        <w:rPr>
          <w:rFonts w:hint="eastAsia" w:ascii="黑体" w:eastAsia="黑体"/>
          <w:sz w:val="32"/>
          <w:szCs w:val="32"/>
        </w:rPr>
        <w:t>七、</w:t>
      </w:r>
      <w:r>
        <w:rPr>
          <w:rStyle w:val="25"/>
          <w:rFonts w:hint="eastAsia" w:ascii="黑体" w:hAnsi="黑体" w:eastAsia="黑体"/>
        </w:rPr>
        <w:t>“</w:t>
      </w:r>
      <w:r>
        <w:rPr>
          <w:rStyle w:val="25"/>
          <w:rFonts w:hint="eastAsia" w:ascii="黑体" w:hAnsi="黑体" w:eastAsia="黑体"/>
          <w:b w:val="0"/>
        </w:rPr>
        <w:t>三公”经费财政拨款支出决算情况说明</w:t>
      </w:r>
      <w:bookmarkEnd w:id="38"/>
      <w:bookmarkEnd w:id="39"/>
    </w:p>
    <w:p>
      <w:pPr>
        <w:spacing w:line="600" w:lineRule="exact"/>
        <w:ind w:firstLine="640"/>
        <w:outlineLvl w:val="2"/>
        <w:rPr>
          <w:rFonts w:ascii="仿宋" w:hAnsi="仿宋" w:eastAsia="仿宋"/>
          <w:b/>
          <w:sz w:val="32"/>
          <w:szCs w:val="32"/>
        </w:rPr>
      </w:pPr>
      <w:bookmarkStart w:id="40" w:name="_Toc15377216"/>
      <w:r>
        <w:rPr>
          <w:rFonts w:hint="eastAsia" w:ascii="仿宋" w:hAnsi="仿宋" w:eastAsia="仿宋"/>
          <w:b/>
          <w:sz w:val="32"/>
          <w:szCs w:val="32"/>
        </w:rPr>
        <w:t>（一）“三公”经费财政拨款支出决算总体情况说明</w:t>
      </w:r>
      <w:bookmarkEnd w:id="40"/>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21年“三公”经费财政拨款支出决算为0万元，完成预算0</w:t>
      </w:r>
      <w:r>
        <w:rPr>
          <w:rFonts w:ascii="仿宋" w:hAnsi="仿宋" w:eastAsia="仿宋"/>
          <w:sz w:val="32"/>
          <w:szCs w:val="32"/>
        </w:rPr>
        <w:t>%</w:t>
      </w:r>
      <w:r>
        <w:rPr>
          <w:rFonts w:hint="eastAsia" w:ascii="仿宋" w:hAnsi="仿宋" w:eastAsia="仿宋"/>
          <w:sz w:val="32"/>
          <w:szCs w:val="32"/>
        </w:rPr>
        <w:t>，决算数与预算数持平。</w:t>
      </w:r>
    </w:p>
    <w:p>
      <w:pPr>
        <w:spacing w:line="600" w:lineRule="exact"/>
        <w:ind w:firstLine="640"/>
        <w:rPr>
          <w:rFonts w:ascii="仿宋" w:hAnsi="仿宋" w:eastAsia="仿宋"/>
          <w:b/>
          <w:sz w:val="32"/>
          <w:szCs w:val="32"/>
        </w:rPr>
      </w:pPr>
      <w:r>
        <w:rPr>
          <w:rFonts w:hint="eastAsia" w:ascii="仿宋" w:hAnsi="仿宋" w:eastAsia="仿宋"/>
          <w:b/>
          <w:sz w:val="32"/>
          <w:szCs w:val="32"/>
        </w:rPr>
        <w:t>（注：上述“预算”口径为调整预算数，包括一般公共预算和政府性基金预算财政拨款支出决算情况。）</w:t>
      </w:r>
    </w:p>
    <w:p>
      <w:pPr>
        <w:spacing w:line="600" w:lineRule="exact"/>
        <w:ind w:firstLine="640"/>
        <w:outlineLvl w:val="2"/>
        <w:rPr>
          <w:rFonts w:ascii="仿宋" w:hAnsi="仿宋" w:eastAsia="仿宋"/>
          <w:b/>
          <w:sz w:val="32"/>
          <w:szCs w:val="32"/>
        </w:rPr>
      </w:pPr>
      <w:bookmarkStart w:id="41" w:name="_Toc15377217"/>
      <w:r>
        <w:rPr>
          <w:rFonts w:hint="eastAsia" w:ascii="仿宋" w:hAnsi="仿宋" w:eastAsia="仿宋"/>
          <w:b/>
          <w:sz w:val="32"/>
          <w:szCs w:val="32"/>
        </w:rPr>
        <w:t>（二）“三公”经费财政拨款支出决算具体情况说明</w:t>
      </w:r>
      <w:bookmarkEnd w:id="41"/>
    </w:p>
    <w:p>
      <w:pPr>
        <w:spacing w:line="600" w:lineRule="exact"/>
        <w:ind w:firstLine="640"/>
        <w:rPr>
          <w:rFonts w:ascii="仿宋" w:hAnsi="仿宋" w:eastAsia="仿宋"/>
          <w:sz w:val="32"/>
          <w:szCs w:val="32"/>
        </w:rPr>
      </w:pPr>
      <w:r>
        <w:rPr>
          <w:rFonts w:ascii="仿宋" w:hAnsi="仿宋" w:eastAsia="仿宋"/>
          <w:sz w:val="32"/>
          <w:szCs w:val="32"/>
        </w:rPr>
        <w:t>20</w:t>
      </w:r>
      <w:r>
        <w:rPr>
          <w:rFonts w:hint="eastAsia" w:ascii="仿宋" w:hAnsi="仿宋" w:eastAsia="仿宋"/>
          <w:sz w:val="32"/>
          <w:szCs w:val="32"/>
        </w:rPr>
        <w:t>21年“三公”经费财政拨款支出决算中，因公出国（境）费支出决算0万元，占0</w:t>
      </w:r>
      <w:r>
        <w:rPr>
          <w:rFonts w:ascii="仿宋" w:hAnsi="仿宋" w:eastAsia="仿宋"/>
          <w:sz w:val="32"/>
          <w:szCs w:val="32"/>
        </w:rPr>
        <w:t>%</w:t>
      </w:r>
      <w:r>
        <w:rPr>
          <w:rFonts w:hint="eastAsia" w:ascii="仿宋" w:hAnsi="仿宋" w:eastAsia="仿宋"/>
          <w:sz w:val="32"/>
          <w:szCs w:val="32"/>
        </w:rPr>
        <w:t>；公务用车购置及运行维护费支出决算0万元，占0</w:t>
      </w:r>
      <w:r>
        <w:rPr>
          <w:rFonts w:ascii="仿宋" w:hAnsi="仿宋" w:eastAsia="仿宋"/>
          <w:sz w:val="32"/>
          <w:szCs w:val="32"/>
        </w:rPr>
        <w:t>%</w:t>
      </w:r>
      <w:r>
        <w:rPr>
          <w:rFonts w:hint="eastAsia" w:ascii="仿宋" w:hAnsi="仿宋" w:eastAsia="仿宋"/>
          <w:sz w:val="32"/>
          <w:szCs w:val="32"/>
        </w:rPr>
        <w:t>；公务接待费支出决算0万元，占0</w:t>
      </w:r>
      <w:r>
        <w:rPr>
          <w:rFonts w:ascii="仿宋" w:hAnsi="仿宋" w:eastAsia="仿宋"/>
          <w:sz w:val="32"/>
          <w:szCs w:val="32"/>
        </w:rPr>
        <w:t>%</w:t>
      </w:r>
      <w:r>
        <w:rPr>
          <w:rFonts w:hint="eastAsia" w:ascii="仿宋" w:hAnsi="仿宋" w:eastAsia="仿宋"/>
          <w:sz w:val="32"/>
          <w:szCs w:val="32"/>
        </w:rPr>
        <w:t>。具体情况如下：</w:t>
      </w:r>
    </w:p>
    <w:p>
      <w:pPr>
        <w:pStyle w:val="2"/>
        <w:spacing w:before="93"/>
        <w:rPr>
          <w:rFonts w:ascii="仿宋" w:hAnsi="仿宋" w:eastAsia="仿宋"/>
          <w:sz w:val="32"/>
          <w:szCs w:val="32"/>
        </w:rPr>
      </w:pPr>
      <w:r>
        <w:drawing>
          <wp:inline distT="0" distB="0" distL="114300" distR="114300">
            <wp:extent cx="3970020" cy="2435225"/>
            <wp:effectExtent l="38735" t="18415" r="45085" b="60960"/>
            <wp:docPr id="1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pPr>
        <w:spacing w:line="600" w:lineRule="exact"/>
        <w:ind w:firstLine="640"/>
        <w:rPr>
          <w:rFonts w:ascii="仿宋" w:hAnsi="仿宋" w:eastAsia="仿宋"/>
          <w:sz w:val="32"/>
          <w:szCs w:val="32"/>
        </w:rPr>
      </w:pPr>
      <w:r>
        <w:rPr>
          <w:rFonts w:hint="eastAsia" w:ascii="仿宋" w:hAnsi="仿宋" w:eastAsia="仿宋"/>
          <w:sz w:val="32"/>
          <w:szCs w:val="32"/>
        </w:rPr>
        <w:t>（图7：“三公”经费财政拨款支出结构）（饼状图）</w:t>
      </w:r>
    </w:p>
    <w:p>
      <w:pPr>
        <w:spacing w:line="600" w:lineRule="exact"/>
        <w:ind w:firstLine="640"/>
        <w:rPr>
          <w:rFonts w:ascii="仿宋_GB2312" w:eastAsia="仿宋_GB2312"/>
          <w:b/>
          <w:sz w:val="32"/>
          <w:szCs w:val="32"/>
        </w:rPr>
      </w:pPr>
      <w:r>
        <w:rPr>
          <w:rFonts w:ascii="仿宋_GB2312" w:eastAsia="仿宋_GB2312"/>
          <w:b/>
          <w:sz w:val="32"/>
          <w:szCs w:val="32"/>
        </w:rPr>
        <w:t>1.</w:t>
      </w:r>
      <w:r>
        <w:rPr>
          <w:rFonts w:hint="eastAsia" w:ascii="仿宋_GB2312" w:eastAsia="仿宋_GB2312"/>
          <w:b/>
          <w:sz w:val="32"/>
          <w:szCs w:val="32"/>
        </w:rPr>
        <w:t>因公出国（境）经费支出0</w:t>
      </w:r>
      <w:r>
        <w:rPr>
          <w:rFonts w:hint="eastAsia" w:ascii="仿宋_GB2312" w:eastAsia="仿宋_GB2312"/>
          <w:sz w:val="32"/>
          <w:szCs w:val="32"/>
        </w:rPr>
        <w:t>万元，</w:t>
      </w:r>
      <w:r>
        <w:rPr>
          <w:rStyle w:val="14"/>
          <w:rFonts w:hint="eastAsia" w:ascii="仿宋" w:hAnsi="仿宋" w:eastAsia="仿宋"/>
          <w:b w:val="0"/>
          <w:bCs/>
          <w:sz w:val="32"/>
          <w:szCs w:val="32"/>
        </w:rPr>
        <w:t>完成预算0</w:t>
      </w:r>
      <w:r>
        <w:rPr>
          <w:rStyle w:val="14"/>
          <w:rFonts w:ascii="仿宋" w:hAnsi="仿宋" w:eastAsia="仿宋"/>
          <w:b w:val="0"/>
          <w:bCs/>
          <w:sz w:val="32"/>
          <w:szCs w:val="32"/>
        </w:rPr>
        <w:t>%</w:t>
      </w:r>
      <w:r>
        <w:rPr>
          <w:rStyle w:val="14"/>
          <w:rFonts w:hint="eastAsia" w:ascii="仿宋" w:hAnsi="仿宋" w:eastAsia="仿宋"/>
          <w:b w:val="0"/>
          <w:bCs/>
          <w:sz w:val="32"/>
          <w:szCs w:val="32"/>
        </w:rPr>
        <w:t>。</w:t>
      </w:r>
      <w:r>
        <w:rPr>
          <w:rFonts w:hint="eastAsia" w:ascii="仿宋_GB2312" w:eastAsia="仿宋_GB2312"/>
          <w:sz w:val="32"/>
          <w:szCs w:val="32"/>
        </w:rPr>
        <w:t>全年安排因公出国（境）团组0次，出国（境）0人。因公出国（境）支出决算比</w:t>
      </w:r>
      <w:r>
        <w:rPr>
          <w:rFonts w:ascii="仿宋_GB2312" w:eastAsia="仿宋_GB2312"/>
          <w:sz w:val="32"/>
          <w:szCs w:val="32"/>
        </w:rPr>
        <w:t>20</w:t>
      </w:r>
      <w:r>
        <w:rPr>
          <w:rFonts w:hint="eastAsia" w:ascii="仿宋_GB2312" w:eastAsia="仿宋_GB2312"/>
          <w:sz w:val="32"/>
          <w:szCs w:val="32"/>
        </w:rPr>
        <w:t>20年持平。</w:t>
      </w:r>
    </w:p>
    <w:p>
      <w:pPr>
        <w:spacing w:line="600" w:lineRule="exact"/>
        <w:ind w:firstLine="640"/>
        <w:rPr>
          <w:rFonts w:ascii="仿宋_GB2312" w:eastAsia="仿宋_GB2312"/>
          <w:b/>
          <w:sz w:val="32"/>
          <w:szCs w:val="32"/>
        </w:rPr>
      </w:pPr>
      <w:r>
        <w:rPr>
          <w:rFonts w:ascii="仿宋_GB2312" w:eastAsia="仿宋_GB2312"/>
          <w:b/>
          <w:sz w:val="32"/>
          <w:szCs w:val="32"/>
        </w:rPr>
        <w:t>2.</w:t>
      </w:r>
      <w:r>
        <w:rPr>
          <w:rFonts w:hint="eastAsia" w:ascii="仿宋_GB2312" w:eastAsia="仿宋_GB2312"/>
          <w:b/>
          <w:sz w:val="32"/>
          <w:szCs w:val="32"/>
        </w:rPr>
        <w:t>公务用车购置及运行维护费支出0</w:t>
      </w:r>
      <w:r>
        <w:rPr>
          <w:rFonts w:hint="eastAsia" w:ascii="仿宋_GB2312" w:eastAsia="仿宋_GB2312"/>
          <w:sz w:val="32"/>
          <w:szCs w:val="32"/>
        </w:rPr>
        <w:t>万元,</w:t>
      </w:r>
      <w:r>
        <w:rPr>
          <w:rStyle w:val="14"/>
          <w:rFonts w:hint="eastAsia" w:ascii="仿宋" w:hAnsi="仿宋" w:eastAsia="仿宋"/>
          <w:b w:val="0"/>
          <w:bCs/>
          <w:sz w:val="32"/>
          <w:szCs w:val="32"/>
        </w:rPr>
        <w:t>完成预算0</w:t>
      </w:r>
      <w:r>
        <w:rPr>
          <w:rStyle w:val="14"/>
          <w:rFonts w:ascii="仿宋" w:hAnsi="仿宋" w:eastAsia="仿宋"/>
          <w:b w:val="0"/>
          <w:bCs/>
          <w:sz w:val="32"/>
          <w:szCs w:val="32"/>
        </w:rPr>
        <w:t>%</w:t>
      </w:r>
      <w:r>
        <w:rPr>
          <w:rStyle w:val="14"/>
          <w:rFonts w:hint="eastAsia" w:ascii="仿宋" w:hAnsi="仿宋" w:eastAsia="仿宋"/>
          <w:b w:val="0"/>
          <w:bCs/>
          <w:sz w:val="32"/>
          <w:szCs w:val="32"/>
        </w:rPr>
        <w:t>。</w:t>
      </w:r>
      <w:r>
        <w:rPr>
          <w:rFonts w:hint="eastAsia" w:ascii="仿宋_GB2312" w:eastAsia="仿宋_GB2312"/>
          <w:sz w:val="32"/>
          <w:szCs w:val="32"/>
        </w:rPr>
        <w:t>公务用车购置及运行维护费支出决算比</w:t>
      </w:r>
      <w:r>
        <w:rPr>
          <w:rFonts w:ascii="仿宋_GB2312" w:eastAsia="仿宋_GB2312"/>
          <w:sz w:val="32"/>
          <w:szCs w:val="32"/>
        </w:rPr>
        <w:t>20</w:t>
      </w:r>
      <w:r>
        <w:rPr>
          <w:rFonts w:hint="eastAsia" w:ascii="仿宋_GB2312" w:eastAsia="仿宋_GB2312"/>
          <w:sz w:val="32"/>
          <w:szCs w:val="32"/>
        </w:rPr>
        <w:t>20年持平。</w:t>
      </w:r>
    </w:p>
    <w:p>
      <w:pPr>
        <w:spacing w:line="600" w:lineRule="exact"/>
        <w:ind w:firstLine="640" w:firstLineChars="200"/>
        <w:rPr>
          <w:rFonts w:ascii="仿宋_GB2312" w:eastAsia="仿宋_GB2312"/>
          <w:b/>
          <w:sz w:val="32"/>
          <w:szCs w:val="32"/>
        </w:rPr>
      </w:pPr>
      <w:r>
        <w:rPr>
          <w:rFonts w:hint="eastAsia" w:ascii="仿宋_GB2312" w:eastAsia="仿宋_GB2312"/>
          <w:sz w:val="32"/>
          <w:szCs w:val="32"/>
        </w:rPr>
        <w:t>其中：</w:t>
      </w:r>
      <w:r>
        <w:rPr>
          <w:rFonts w:hint="eastAsia" w:ascii="仿宋_GB2312" w:eastAsia="仿宋_GB2312"/>
          <w:b/>
          <w:sz w:val="32"/>
          <w:szCs w:val="32"/>
        </w:rPr>
        <w:t>公务用车购置支出0</w:t>
      </w:r>
      <w:r>
        <w:rPr>
          <w:rFonts w:hint="eastAsia" w:ascii="仿宋_GB2312" w:eastAsia="仿宋_GB2312"/>
          <w:sz w:val="32"/>
          <w:szCs w:val="32"/>
        </w:rPr>
        <w:t>万元。全年按规定更新购置公务用车0辆，其中：轿车0辆、金额0万元，越野车0辆、金额0万元，载客汽车0辆、金额0万元。截至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月底，单位共有公务用车0辆，其中：轿车0辆、越野车0辆、载客汽车0辆。</w:t>
      </w:r>
    </w:p>
    <w:p>
      <w:pPr>
        <w:spacing w:line="600" w:lineRule="exact"/>
        <w:ind w:firstLine="640"/>
        <w:rPr>
          <w:rFonts w:ascii="仿宋_GB2312" w:eastAsia="仿宋_GB2312"/>
          <w:sz w:val="32"/>
          <w:szCs w:val="32"/>
        </w:rPr>
      </w:pPr>
      <w:r>
        <w:rPr>
          <w:rFonts w:hint="eastAsia" w:ascii="仿宋_GB2312" w:eastAsia="仿宋_GB2312"/>
          <w:b/>
          <w:sz w:val="32"/>
          <w:szCs w:val="32"/>
        </w:rPr>
        <w:t>公务用车运行维护费支出0</w:t>
      </w:r>
      <w:r>
        <w:rPr>
          <w:rFonts w:hint="eastAsia" w:ascii="仿宋_GB2312" w:eastAsia="仿宋_GB2312"/>
          <w:sz w:val="32"/>
          <w:szCs w:val="32"/>
        </w:rPr>
        <w:t>万元。</w:t>
      </w:r>
    </w:p>
    <w:p>
      <w:pPr>
        <w:numPr>
          <w:ilvl w:val="0"/>
          <w:numId w:val="3"/>
        </w:numPr>
        <w:spacing w:line="600" w:lineRule="exact"/>
        <w:ind w:firstLine="640"/>
        <w:rPr>
          <w:rFonts w:ascii="仿宋_GB2312" w:eastAsia="仿宋_GB2312"/>
          <w:sz w:val="32"/>
          <w:szCs w:val="32"/>
        </w:rPr>
      </w:pPr>
      <w:r>
        <w:rPr>
          <w:rFonts w:hint="eastAsia" w:ascii="仿宋_GB2312" w:eastAsia="仿宋_GB2312"/>
          <w:b/>
          <w:sz w:val="32"/>
          <w:szCs w:val="32"/>
        </w:rPr>
        <w:t>公务接待费支出0</w:t>
      </w:r>
      <w:r>
        <w:rPr>
          <w:rFonts w:hint="eastAsia" w:ascii="仿宋_GB2312" w:eastAsia="仿宋_GB2312"/>
          <w:sz w:val="32"/>
          <w:szCs w:val="32"/>
        </w:rPr>
        <w:t>万元，</w:t>
      </w:r>
      <w:r>
        <w:rPr>
          <w:rStyle w:val="14"/>
          <w:rFonts w:hint="eastAsia" w:ascii="仿宋" w:hAnsi="仿宋" w:eastAsia="仿宋"/>
          <w:b w:val="0"/>
          <w:bCs/>
          <w:sz w:val="32"/>
          <w:szCs w:val="32"/>
        </w:rPr>
        <w:t>完成预算0</w:t>
      </w:r>
      <w:r>
        <w:rPr>
          <w:rStyle w:val="14"/>
          <w:rFonts w:ascii="仿宋" w:hAnsi="仿宋" w:eastAsia="仿宋"/>
          <w:b w:val="0"/>
          <w:bCs/>
          <w:sz w:val="32"/>
          <w:szCs w:val="32"/>
        </w:rPr>
        <w:t>%</w:t>
      </w:r>
      <w:r>
        <w:rPr>
          <w:rStyle w:val="14"/>
          <w:rFonts w:hint="eastAsia" w:ascii="仿宋" w:hAnsi="仿宋" w:eastAsia="仿宋"/>
          <w:b w:val="0"/>
          <w:bCs/>
          <w:sz w:val="32"/>
          <w:szCs w:val="32"/>
        </w:rPr>
        <w:t>。</w:t>
      </w:r>
      <w:r>
        <w:rPr>
          <w:rFonts w:hint="eastAsia" w:ascii="仿宋_GB2312" w:eastAsia="仿宋_GB2312"/>
          <w:sz w:val="32"/>
          <w:szCs w:val="32"/>
        </w:rPr>
        <w:t>公务接待费支出决算比</w:t>
      </w:r>
      <w:r>
        <w:rPr>
          <w:rFonts w:ascii="仿宋_GB2312" w:eastAsia="仿宋_GB2312"/>
          <w:sz w:val="32"/>
          <w:szCs w:val="32"/>
        </w:rPr>
        <w:t>20</w:t>
      </w:r>
      <w:r>
        <w:rPr>
          <w:rFonts w:hint="eastAsia" w:ascii="仿宋_GB2312" w:eastAsia="仿宋_GB2312"/>
          <w:sz w:val="32"/>
          <w:szCs w:val="32"/>
        </w:rPr>
        <w:t>20年持平。其中：</w:t>
      </w:r>
    </w:p>
    <w:p>
      <w:pPr>
        <w:spacing w:line="600" w:lineRule="exact"/>
        <w:ind w:firstLine="640"/>
        <w:rPr>
          <w:rFonts w:ascii="仿宋_GB2312" w:eastAsia="仿宋_GB2312"/>
          <w:sz w:val="32"/>
          <w:szCs w:val="32"/>
        </w:rPr>
      </w:pPr>
      <w:r>
        <w:rPr>
          <w:rFonts w:hint="eastAsia" w:ascii="仿宋" w:hAnsi="仿宋" w:eastAsia="仿宋"/>
          <w:b/>
          <w:sz w:val="32"/>
          <w:szCs w:val="32"/>
        </w:rPr>
        <w:t>国内公务接待支出0</w:t>
      </w:r>
      <w:r>
        <w:rPr>
          <w:rFonts w:hint="eastAsia" w:ascii="仿宋_GB2312" w:eastAsia="仿宋_GB2312"/>
          <w:sz w:val="32"/>
          <w:szCs w:val="32"/>
        </w:rPr>
        <w:t>万元，国内公务接待0批次，0人次，共计支出0万元。</w:t>
      </w:r>
    </w:p>
    <w:p>
      <w:pPr>
        <w:spacing w:line="600" w:lineRule="exact"/>
        <w:ind w:firstLine="640"/>
        <w:outlineLvl w:val="1"/>
        <w:rPr>
          <w:rFonts w:ascii="仿宋_GB2312" w:eastAsia="仿宋_GB2312"/>
          <w:sz w:val="32"/>
          <w:szCs w:val="32"/>
        </w:rPr>
      </w:pPr>
      <w:r>
        <w:rPr>
          <w:rFonts w:hint="eastAsia" w:ascii="仿宋" w:hAnsi="仿宋" w:eastAsia="仿宋"/>
          <w:b/>
          <w:sz w:val="32"/>
          <w:szCs w:val="32"/>
        </w:rPr>
        <w:t>外事接待支出0</w:t>
      </w:r>
      <w:r>
        <w:rPr>
          <w:rFonts w:hint="eastAsia" w:ascii="仿宋_GB2312" w:eastAsia="仿宋_GB2312"/>
          <w:sz w:val="32"/>
          <w:szCs w:val="32"/>
        </w:rPr>
        <w:t>万元，外事接待0批次，0人，共计支出0万元</w:t>
      </w:r>
      <w:bookmarkStart w:id="42" w:name="_Toc15396610"/>
      <w:bookmarkStart w:id="43" w:name="_Toc15377218"/>
      <w:r>
        <w:rPr>
          <w:rFonts w:hint="eastAsia" w:ascii="仿宋_GB2312" w:eastAsia="仿宋_GB2312"/>
          <w:sz w:val="32"/>
          <w:szCs w:val="32"/>
        </w:rPr>
        <w:t>。</w:t>
      </w:r>
    </w:p>
    <w:p>
      <w:pPr>
        <w:spacing w:line="600" w:lineRule="exact"/>
        <w:ind w:firstLine="640"/>
        <w:outlineLvl w:val="1"/>
        <w:rPr>
          <w:rStyle w:val="25"/>
          <w:rFonts w:ascii="黑体" w:hAnsi="黑体" w:eastAsia="黑体"/>
        </w:rPr>
      </w:pPr>
      <w:r>
        <w:rPr>
          <w:rFonts w:hint="eastAsia" w:ascii="黑体" w:eastAsia="黑体"/>
          <w:sz w:val="32"/>
          <w:szCs w:val="32"/>
        </w:rPr>
        <w:t>八、</w:t>
      </w:r>
      <w:r>
        <w:rPr>
          <w:rStyle w:val="25"/>
          <w:rFonts w:hint="eastAsia" w:ascii="黑体" w:hAnsi="黑体" w:eastAsia="黑体"/>
          <w:b w:val="0"/>
        </w:rPr>
        <w:t>政府性基金预算支出决算情况说明</w:t>
      </w:r>
      <w:bookmarkEnd w:id="42"/>
      <w:bookmarkEnd w:id="43"/>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21年政府性基金预算财政拨款支出0万元。</w:t>
      </w:r>
    </w:p>
    <w:p>
      <w:pPr>
        <w:spacing w:line="600" w:lineRule="exact"/>
        <w:ind w:firstLine="640"/>
        <w:rPr>
          <w:rFonts w:ascii="仿宋_GB2312" w:eastAsia="仿宋_GB2312"/>
          <w:sz w:val="32"/>
          <w:szCs w:val="32"/>
        </w:rPr>
      </w:pPr>
    </w:p>
    <w:p>
      <w:pPr>
        <w:numPr>
          <w:ilvl w:val="0"/>
          <w:numId w:val="4"/>
        </w:numPr>
        <w:spacing w:line="600" w:lineRule="exact"/>
        <w:ind w:firstLine="640"/>
        <w:outlineLvl w:val="1"/>
        <w:rPr>
          <w:rStyle w:val="25"/>
          <w:rFonts w:ascii="黑体" w:hAnsi="黑体" w:eastAsia="黑体"/>
          <w:b w:val="0"/>
        </w:rPr>
      </w:pPr>
      <w:bookmarkStart w:id="44" w:name="_Toc15377219"/>
      <w:bookmarkStart w:id="45" w:name="_Toc15396611"/>
      <w:r>
        <w:rPr>
          <w:rStyle w:val="25"/>
          <w:rFonts w:hint="eastAsia" w:ascii="黑体" w:hAnsi="黑体" w:eastAsia="黑体"/>
          <w:b w:val="0"/>
        </w:rPr>
        <w:t>国有资本经营预算支出决算情况说明</w:t>
      </w:r>
      <w:bookmarkEnd w:id="44"/>
      <w:bookmarkEnd w:id="45"/>
    </w:p>
    <w:p>
      <w:pPr>
        <w:spacing w:line="600" w:lineRule="exact"/>
        <w:ind w:firstLine="64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21年国有资本经营预算财政拨款支出0万元。</w:t>
      </w:r>
    </w:p>
    <w:p>
      <w:pPr>
        <w:spacing w:line="580" w:lineRule="exact"/>
        <w:jc w:val="center"/>
        <w:rPr>
          <w:rFonts w:ascii="方正小标宋简体" w:hAnsi="方正小标宋简体" w:eastAsia="方正小标宋简体" w:cs="方正小标宋简体"/>
          <w:sz w:val="44"/>
          <w:szCs w:val="44"/>
        </w:rPr>
      </w:pPr>
    </w:p>
    <w:p>
      <w:pPr>
        <w:numPr>
          <w:ilvl w:val="0"/>
          <w:numId w:val="4"/>
        </w:numPr>
        <w:spacing w:line="600" w:lineRule="exact"/>
        <w:ind w:firstLine="640"/>
        <w:outlineLvl w:val="1"/>
        <w:rPr>
          <w:rStyle w:val="25"/>
          <w:rFonts w:ascii="黑体" w:hAnsi="黑体" w:eastAsia="黑体"/>
          <w:b w:val="0"/>
        </w:rPr>
      </w:pPr>
      <w:bookmarkStart w:id="46" w:name="_Toc15377221"/>
      <w:bookmarkStart w:id="47" w:name="_Toc15396612"/>
      <w:r>
        <w:rPr>
          <w:rStyle w:val="25"/>
          <w:rFonts w:hint="eastAsia" w:ascii="黑体" w:hAnsi="黑体" w:eastAsia="黑体"/>
          <w:b w:val="0"/>
        </w:rPr>
        <w:t>其他重要事项的情况说明</w:t>
      </w:r>
      <w:bookmarkEnd w:id="46"/>
      <w:bookmarkEnd w:id="47"/>
    </w:p>
    <w:p>
      <w:pPr>
        <w:spacing w:line="600" w:lineRule="exact"/>
        <w:ind w:firstLine="643" w:firstLineChars="200"/>
        <w:outlineLvl w:val="2"/>
        <w:rPr>
          <w:rFonts w:ascii="仿宋" w:hAnsi="仿宋" w:eastAsia="仿宋"/>
          <w:sz w:val="32"/>
          <w:szCs w:val="32"/>
        </w:rPr>
      </w:pPr>
      <w:bookmarkStart w:id="48" w:name="_Toc15377222"/>
      <w:r>
        <w:rPr>
          <w:rFonts w:hint="eastAsia" w:ascii="仿宋" w:hAnsi="仿宋" w:eastAsia="仿宋"/>
          <w:b/>
          <w:sz w:val="32"/>
          <w:szCs w:val="32"/>
        </w:rPr>
        <w:t>（一）机关运行经费支出情况</w:t>
      </w:r>
      <w:bookmarkEnd w:id="48"/>
    </w:p>
    <w:p>
      <w:pPr>
        <w:spacing w:line="600" w:lineRule="exact"/>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21年，本单位机关运行经费支出0万元，与</w:t>
      </w:r>
      <w:r>
        <w:rPr>
          <w:rFonts w:ascii="仿宋_GB2312" w:eastAsia="仿宋_GB2312"/>
          <w:sz w:val="32"/>
          <w:szCs w:val="32"/>
        </w:rPr>
        <w:t>20</w:t>
      </w:r>
      <w:r>
        <w:rPr>
          <w:rFonts w:hint="eastAsia" w:ascii="仿宋_GB2312" w:eastAsia="仿宋_GB2312"/>
          <w:sz w:val="32"/>
          <w:szCs w:val="32"/>
        </w:rPr>
        <w:t>20年决算数持平。</w:t>
      </w:r>
    </w:p>
    <w:p>
      <w:pPr>
        <w:spacing w:line="600" w:lineRule="exact"/>
        <w:ind w:firstLine="643" w:firstLineChars="200"/>
        <w:rPr>
          <w:rFonts w:ascii="仿宋" w:hAnsi="仿宋" w:eastAsia="仿宋"/>
          <w:b/>
          <w:sz w:val="32"/>
          <w:szCs w:val="32"/>
        </w:rPr>
      </w:pPr>
      <w:r>
        <w:rPr>
          <w:rFonts w:hint="eastAsia" w:ascii="仿宋" w:hAnsi="仿宋" w:eastAsia="仿宋"/>
          <w:b/>
          <w:sz w:val="32"/>
          <w:szCs w:val="32"/>
        </w:rPr>
        <w:t>（注：数据来源于财决附</w:t>
      </w:r>
      <w:r>
        <w:rPr>
          <w:rFonts w:ascii="仿宋" w:hAnsi="仿宋" w:eastAsia="仿宋"/>
          <w:b/>
          <w:sz w:val="32"/>
          <w:szCs w:val="32"/>
        </w:rPr>
        <w:t>03</w:t>
      </w:r>
      <w:r>
        <w:rPr>
          <w:rFonts w:hint="eastAsia" w:ascii="仿宋" w:hAnsi="仿宋" w:eastAsia="仿宋"/>
          <w:b/>
          <w:sz w:val="32"/>
          <w:szCs w:val="32"/>
        </w:rPr>
        <w:t>表）</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49" w:name="_Toc15377223"/>
      <w:r>
        <w:rPr>
          <w:rFonts w:hint="eastAsia" w:ascii="仿宋" w:hAnsi="仿宋" w:eastAsia="仿宋"/>
          <w:b/>
          <w:sz w:val="32"/>
          <w:szCs w:val="32"/>
        </w:rPr>
        <w:t>（二）政府采购支出情况</w:t>
      </w:r>
      <w:bookmarkEnd w:id="49"/>
    </w:p>
    <w:p>
      <w:pPr>
        <w:spacing w:line="600" w:lineRule="exact"/>
        <w:ind w:firstLine="640" w:firstLineChars="200"/>
        <w:rPr>
          <w:rFonts w:ascii="仿宋_GB2312" w:eastAsia="仿宋_GB2312"/>
          <w:sz w:val="32"/>
          <w:szCs w:val="32"/>
        </w:rPr>
      </w:pPr>
      <w:r>
        <w:rPr>
          <w:rFonts w:ascii="仿宋_GB2312" w:eastAsia="仿宋_GB2312"/>
          <w:sz w:val="32"/>
          <w:szCs w:val="32"/>
        </w:rPr>
        <w:t>20</w:t>
      </w:r>
      <w:r>
        <w:rPr>
          <w:rFonts w:hint="eastAsia" w:ascii="仿宋_GB2312" w:eastAsia="仿宋_GB2312"/>
          <w:sz w:val="32"/>
          <w:szCs w:val="32"/>
        </w:rPr>
        <w:t>21年，本单位政府采购支出总额9.69万元，其中：政府采购货物支出3.44万元、政府采购工程支出6.25万元、政府采购服务支出0万元。主要用于监控设备3万元、LED显示屏0.44万元、教学楼外墙排危维修6.25万元。授予中小企业合同金额0万元，占政府采购支出总额的0</w:t>
      </w:r>
      <w:r>
        <w:rPr>
          <w:rFonts w:ascii="仿宋_GB2312" w:eastAsia="仿宋_GB2312"/>
          <w:sz w:val="32"/>
          <w:szCs w:val="32"/>
        </w:rPr>
        <w:t>%</w:t>
      </w:r>
      <w:r>
        <w:rPr>
          <w:rFonts w:hint="eastAsia" w:ascii="仿宋_GB2312" w:eastAsia="仿宋_GB2312"/>
          <w:sz w:val="32"/>
          <w:szCs w:val="32"/>
        </w:rPr>
        <w:t>，其中：授予小微企业合同金额0万元，占政府采购支出总额的0</w:t>
      </w:r>
      <w:r>
        <w:rPr>
          <w:rFonts w:ascii="仿宋_GB2312" w:eastAsia="仿宋_GB2312"/>
          <w:sz w:val="32"/>
          <w:szCs w:val="32"/>
        </w:rPr>
        <w:t>%</w:t>
      </w:r>
      <w:r>
        <w:rPr>
          <w:rFonts w:hint="eastAsia" w:ascii="仿宋_GB2312" w:eastAsia="仿宋_GB2312"/>
          <w:sz w:val="32"/>
          <w:szCs w:val="32"/>
        </w:rPr>
        <w:t>。</w:t>
      </w:r>
    </w:p>
    <w:p>
      <w:pPr>
        <w:spacing w:line="600" w:lineRule="exact"/>
        <w:ind w:firstLine="643" w:firstLineChars="200"/>
        <w:rPr>
          <w:rFonts w:ascii="仿宋" w:hAnsi="仿宋" w:eastAsia="仿宋"/>
          <w:b/>
          <w:sz w:val="32"/>
          <w:szCs w:val="32"/>
        </w:rPr>
      </w:pPr>
      <w:r>
        <w:rPr>
          <w:rFonts w:hint="eastAsia" w:ascii="仿宋" w:hAnsi="仿宋" w:eastAsia="仿宋"/>
          <w:b/>
          <w:sz w:val="32"/>
          <w:szCs w:val="32"/>
        </w:rPr>
        <w:t>（注：数据来源于财决附</w:t>
      </w:r>
      <w:r>
        <w:rPr>
          <w:rFonts w:ascii="仿宋" w:hAnsi="仿宋" w:eastAsia="仿宋"/>
          <w:b/>
          <w:sz w:val="32"/>
          <w:szCs w:val="32"/>
        </w:rPr>
        <w:t>03</w:t>
      </w:r>
      <w:r>
        <w:rPr>
          <w:rFonts w:hint="eastAsia" w:ascii="仿宋" w:hAnsi="仿宋" w:eastAsia="仿宋"/>
          <w:b/>
          <w:sz w:val="32"/>
          <w:szCs w:val="32"/>
        </w:rPr>
        <w:t>表）</w:t>
      </w:r>
    </w:p>
    <w:p>
      <w:pPr>
        <w:autoSpaceDE w:val="0"/>
        <w:autoSpaceDN w:val="0"/>
        <w:adjustRightInd w:val="0"/>
        <w:spacing w:line="600" w:lineRule="exact"/>
        <w:ind w:firstLine="643" w:firstLineChars="200"/>
        <w:jc w:val="left"/>
        <w:outlineLvl w:val="2"/>
        <w:rPr>
          <w:rFonts w:ascii="仿宋" w:hAnsi="仿宋" w:eastAsia="仿宋"/>
          <w:b/>
          <w:sz w:val="32"/>
          <w:szCs w:val="32"/>
        </w:rPr>
      </w:pPr>
      <w:bookmarkStart w:id="50" w:name="_Toc15377224"/>
      <w:r>
        <w:rPr>
          <w:rFonts w:hint="eastAsia" w:ascii="仿宋" w:hAnsi="仿宋" w:eastAsia="仿宋"/>
          <w:b/>
          <w:sz w:val="32"/>
          <w:szCs w:val="32"/>
        </w:rPr>
        <w:t>（三）国有资产占有使用情况</w:t>
      </w:r>
      <w:bookmarkEnd w:id="50"/>
    </w:p>
    <w:p>
      <w:pPr>
        <w:autoSpaceDE w:val="0"/>
        <w:autoSpaceDN w:val="0"/>
        <w:adjustRightInd w:val="0"/>
        <w:spacing w:line="600" w:lineRule="exact"/>
        <w:ind w:firstLine="640" w:firstLineChars="200"/>
        <w:jc w:val="left"/>
        <w:rPr>
          <w:rFonts w:ascii="仿宋_GB2312" w:eastAsia="仿宋_GB2312"/>
          <w:sz w:val="32"/>
          <w:szCs w:val="32"/>
        </w:rPr>
      </w:pPr>
      <w:r>
        <w:rPr>
          <w:rFonts w:hint="eastAsia" w:ascii="仿宋_GB2312" w:eastAsia="仿宋_GB2312"/>
          <w:sz w:val="32"/>
          <w:szCs w:val="32"/>
        </w:rPr>
        <w:t>截至</w:t>
      </w:r>
      <w:r>
        <w:rPr>
          <w:rFonts w:ascii="仿宋_GB2312" w:eastAsia="仿宋_GB2312"/>
          <w:sz w:val="32"/>
          <w:szCs w:val="32"/>
        </w:rPr>
        <w:t>20</w:t>
      </w:r>
      <w:r>
        <w:rPr>
          <w:rFonts w:hint="eastAsia" w:ascii="仿宋_GB2312" w:eastAsia="仿宋_GB2312"/>
          <w:sz w:val="32"/>
          <w:szCs w:val="32"/>
        </w:rPr>
        <w:t>21年</w:t>
      </w:r>
      <w:r>
        <w:rPr>
          <w:rFonts w:ascii="仿宋_GB2312" w:eastAsia="仿宋_GB2312"/>
          <w:sz w:val="32"/>
          <w:szCs w:val="32"/>
        </w:rPr>
        <w:t>12</w:t>
      </w:r>
      <w:r>
        <w:rPr>
          <w:rFonts w:hint="eastAsia" w:ascii="仿宋_GB2312" w:eastAsia="仿宋_GB2312"/>
          <w:sz w:val="32"/>
          <w:szCs w:val="32"/>
        </w:rPr>
        <w:t>月</w:t>
      </w:r>
      <w:r>
        <w:rPr>
          <w:rFonts w:ascii="仿宋_GB2312" w:eastAsia="仿宋_GB2312"/>
          <w:sz w:val="32"/>
          <w:szCs w:val="32"/>
        </w:rPr>
        <w:t>31</w:t>
      </w:r>
      <w:r>
        <w:rPr>
          <w:rFonts w:hint="eastAsia" w:ascii="仿宋_GB2312" w:eastAsia="仿宋_GB2312"/>
          <w:sz w:val="32"/>
          <w:szCs w:val="32"/>
        </w:rPr>
        <w:t>日，本单位共有车辆0辆，其中：主要领导干部用车0辆、机要通信用车0辆、应急保障用车0辆、其他用车0辆……其他用车主要是用于……单价</w:t>
      </w:r>
      <w:r>
        <w:rPr>
          <w:rFonts w:ascii="仿宋_GB2312" w:eastAsia="仿宋_GB2312"/>
          <w:sz w:val="32"/>
          <w:szCs w:val="32"/>
        </w:rPr>
        <w:t>50</w:t>
      </w:r>
      <w:r>
        <w:rPr>
          <w:rFonts w:hint="eastAsia" w:ascii="仿宋_GB2312" w:eastAsia="仿宋_GB2312"/>
          <w:sz w:val="32"/>
          <w:szCs w:val="32"/>
        </w:rPr>
        <w:t>万元以上通用设备0台（套），单价</w:t>
      </w:r>
      <w:r>
        <w:rPr>
          <w:rFonts w:ascii="仿宋_GB2312" w:eastAsia="仿宋_GB2312"/>
          <w:sz w:val="32"/>
          <w:szCs w:val="32"/>
        </w:rPr>
        <w:t>100</w:t>
      </w:r>
      <w:r>
        <w:rPr>
          <w:rFonts w:hint="eastAsia" w:ascii="仿宋_GB2312" w:eastAsia="仿宋_GB2312"/>
          <w:sz w:val="32"/>
          <w:szCs w:val="32"/>
        </w:rPr>
        <w:t>万元以上专用设备0台（套）。</w:t>
      </w:r>
    </w:p>
    <w:p>
      <w:pPr>
        <w:autoSpaceDE w:val="0"/>
        <w:autoSpaceDN w:val="0"/>
        <w:adjustRightInd w:val="0"/>
        <w:spacing w:line="600" w:lineRule="exact"/>
        <w:ind w:firstLine="643" w:firstLineChars="200"/>
        <w:jc w:val="left"/>
        <w:rPr>
          <w:rFonts w:ascii="仿宋" w:hAnsi="仿宋" w:eastAsia="仿宋"/>
          <w:b/>
          <w:sz w:val="32"/>
          <w:szCs w:val="32"/>
        </w:rPr>
      </w:pPr>
      <w:r>
        <w:rPr>
          <w:rFonts w:hint="eastAsia" w:ascii="仿宋" w:hAnsi="仿宋" w:eastAsia="仿宋"/>
          <w:b/>
          <w:sz w:val="32"/>
          <w:szCs w:val="32"/>
        </w:rPr>
        <w:t>（注：数据来源于财决附</w:t>
      </w:r>
      <w:r>
        <w:rPr>
          <w:rFonts w:ascii="仿宋" w:hAnsi="仿宋" w:eastAsia="仿宋"/>
          <w:b/>
          <w:sz w:val="32"/>
          <w:szCs w:val="32"/>
        </w:rPr>
        <w:t>03</w:t>
      </w:r>
      <w:r>
        <w:rPr>
          <w:rFonts w:hint="eastAsia" w:ascii="仿宋" w:hAnsi="仿宋" w:eastAsia="仿宋"/>
          <w:b/>
          <w:sz w:val="32"/>
          <w:szCs w:val="32"/>
        </w:rPr>
        <w:t>表，按单位决算报表填报数据罗列车辆情况。）</w:t>
      </w:r>
    </w:p>
    <w:p>
      <w:pPr>
        <w:autoSpaceDE w:val="0"/>
        <w:autoSpaceDN w:val="0"/>
        <w:adjustRightInd w:val="0"/>
        <w:spacing w:line="600" w:lineRule="exact"/>
        <w:ind w:firstLine="643" w:firstLineChars="200"/>
        <w:jc w:val="left"/>
        <w:outlineLvl w:val="2"/>
        <w:rPr>
          <w:rFonts w:ascii="仿宋" w:hAnsi="仿宋" w:eastAsia="仿宋"/>
          <w:b/>
          <w:sz w:val="32"/>
          <w:szCs w:val="32"/>
        </w:rPr>
      </w:pPr>
      <w:r>
        <w:rPr>
          <w:rFonts w:hint="eastAsia" w:ascii="仿宋" w:hAnsi="仿宋" w:eastAsia="仿宋"/>
          <w:b/>
          <w:sz w:val="32"/>
          <w:szCs w:val="32"/>
        </w:rPr>
        <w:t>（四）预算绩效管理情况</w:t>
      </w:r>
    </w:p>
    <w:p>
      <w:pPr>
        <w:spacing w:line="580" w:lineRule="exact"/>
        <w:ind w:firstLine="560" w:firstLineChars="200"/>
        <w:rPr>
          <w:rFonts w:ascii="仿宋_GB2312" w:hAnsi="仿宋_GB2312" w:eastAsia="仿宋_GB2312" w:cs="仿宋_GB2312"/>
          <w:sz w:val="32"/>
          <w:szCs w:val="32"/>
        </w:rPr>
      </w:pPr>
      <w:r>
        <w:rPr>
          <w:rFonts w:hint="eastAsia" w:ascii="仿宋" w:hAnsi="仿宋" w:eastAsia="仿宋" w:cs="仿宋"/>
          <w:color w:val="000000"/>
          <w:kern w:val="0"/>
          <w:sz w:val="28"/>
          <w:szCs w:val="28"/>
          <w:lang w:bidi="ar"/>
        </w:rPr>
        <w:t>根据预算绩效管理要求，本单位在 2021年度预算编制阶段，组织对校园安保、作业本费等 个项目开展了预算事前绩效评估，对 个项目编制了绩效目标，预算执行过程中，选取 个项目开展绩效监控，年终执行完毕后，对个项目开展了绩效自评。2021 年特定目标类部门预算项目绩效目标自评表见附件（第四部分）。</w:t>
      </w:r>
    </w:p>
    <w:p>
      <w:pPr>
        <w:autoSpaceDE w:val="0"/>
        <w:autoSpaceDN w:val="0"/>
        <w:adjustRightInd w:val="0"/>
        <w:spacing w:line="600" w:lineRule="exact"/>
        <w:ind w:firstLine="643" w:firstLineChars="200"/>
        <w:rPr>
          <w:rFonts w:ascii="仿宋" w:hAnsi="仿宋" w:eastAsia="仿宋"/>
          <w:b/>
          <w:sz w:val="32"/>
          <w:szCs w:val="32"/>
        </w:rPr>
      </w:pPr>
      <w:r>
        <w:rPr>
          <w:rFonts w:hint="eastAsia" w:ascii="仿宋" w:hAnsi="仿宋" w:eastAsia="仿宋"/>
          <w:b/>
          <w:sz w:val="32"/>
          <w:szCs w:val="32"/>
        </w:rPr>
        <w:t>（注：单位</w:t>
      </w:r>
      <w:r>
        <w:rPr>
          <w:rFonts w:hint="eastAsia" w:ascii="仿宋_GB2312" w:hAnsi="仿宋_GB2312" w:eastAsia="仿宋_GB2312" w:cs="仿宋_GB2312"/>
          <w:b/>
          <w:sz w:val="32"/>
          <w:szCs w:val="32"/>
        </w:rPr>
        <w:t>2021年特定目标类部门预算项目绩效目标自评表为本部门2021年部门整体支出绩效评价报告中涉及本单位的附表</w:t>
      </w:r>
      <w:r>
        <w:rPr>
          <w:rFonts w:hint="eastAsia" w:ascii="仿宋" w:hAnsi="仿宋" w:eastAsia="仿宋"/>
          <w:b/>
          <w:sz w:val="32"/>
          <w:szCs w:val="32"/>
        </w:rPr>
        <w:t>）</w:t>
      </w:r>
    </w:p>
    <w:p>
      <w:pPr>
        <w:pStyle w:val="2"/>
        <w:spacing w:before="93"/>
        <w:rPr>
          <w:highlight w:val="yellow"/>
        </w:rPr>
      </w:pPr>
    </w:p>
    <w:p>
      <w:pPr>
        <w:widowControl/>
        <w:jc w:val="left"/>
        <w:rPr>
          <w:rFonts w:ascii="仿宋_GB2312" w:eastAsia="仿宋_GB2312"/>
          <w:b/>
          <w:sz w:val="32"/>
          <w:szCs w:val="32"/>
        </w:rPr>
      </w:pPr>
      <w:r>
        <w:rPr>
          <w:rFonts w:ascii="仿宋_GB2312" w:eastAsia="仿宋_GB2312"/>
          <w:b/>
          <w:sz w:val="32"/>
          <w:szCs w:val="32"/>
        </w:rPr>
        <w:br w:type="page"/>
      </w:r>
    </w:p>
    <w:p>
      <w:pPr>
        <w:numPr>
          <w:ilvl w:val="0"/>
          <w:numId w:val="5"/>
        </w:numPr>
        <w:spacing w:line="600" w:lineRule="exact"/>
        <w:ind w:firstLine="660" w:firstLineChars="150"/>
        <w:jc w:val="center"/>
        <w:outlineLvl w:val="0"/>
        <w:rPr>
          <w:rStyle w:val="24"/>
          <w:rFonts w:ascii="黑体" w:hAnsi="黑体" w:eastAsia="黑体"/>
          <w:b w:val="0"/>
        </w:rPr>
      </w:pPr>
      <w:bookmarkStart w:id="51" w:name="_Toc15396613"/>
      <w:bookmarkStart w:id="52" w:name="_Toc15377225"/>
      <w:r>
        <w:rPr>
          <w:rFonts w:hint="eastAsia" w:ascii="黑体" w:hAnsi="黑体" w:eastAsia="黑体"/>
          <w:sz w:val="44"/>
          <w:szCs w:val="44"/>
        </w:rPr>
        <w:t>名</w:t>
      </w:r>
      <w:r>
        <w:rPr>
          <w:rStyle w:val="24"/>
          <w:rFonts w:hint="eastAsia" w:ascii="黑体" w:hAnsi="黑体" w:eastAsia="黑体"/>
          <w:b w:val="0"/>
        </w:rPr>
        <w:t>词解释</w:t>
      </w:r>
      <w:bookmarkEnd w:id="51"/>
      <w:bookmarkEnd w:id="52"/>
    </w:p>
    <w:p>
      <w:pPr>
        <w:spacing w:line="600" w:lineRule="exact"/>
        <w:jc w:val="left"/>
        <w:rPr>
          <w:rFonts w:ascii="宋体"/>
          <w:b/>
          <w:sz w:val="44"/>
          <w:szCs w:val="44"/>
        </w:rPr>
      </w:pPr>
    </w:p>
    <w:p>
      <w:pPr>
        <w:pStyle w:val="22"/>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1.</w:t>
      </w:r>
      <w:r>
        <w:rPr>
          <w:rFonts w:hint="eastAsia" w:ascii="仿宋_GB2312" w:eastAsia="仿宋_GB2312"/>
          <w:color w:val="auto"/>
          <w:sz w:val="32"/>
          <w:szCs w:val="32"/>
        </w:rPr>
        <w:t>财政拨款收入：指单位从同级财政部门取得的财政预算资金。</w:t>
      </w:r>
    </w:p>
    <w:p>
      <w:pPr>
        <w:pStyle w:val="22"/>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2.</w:t>
      </w:r>
      <w:r>
        <w:rPr>
          <w:rFonts w:hint="eastAsia" w:ascii="仿宋_GB2312" w:eastAsia="仿宋_GB2312"/>
          <w:color w:val="auto"/>
          <w:sz w:val="32"/>
          <w:szCs w:val="32"/>
        </w:rPr>
        <w:t>事业收入：指事业单位开展专业业务活动及辅助活动取得的收入。如…（二级预算单位事业收入情况）等。</w:t>
      </w:r>
    </w:p>
    <w:p>
      <w:pPr>
        <w:pStyle w:val="22"/>
        <w:spacing w:line="560" w:lineRule="exact"/>
        <w:ind w:firstLine="640" w:firstLineChars="200"/>
        <w:rPr>
          <w:rFonts w:ascii="仿宋_GB2312" w:eastAsia="仿宋_GB2312"/>
          <w:color w:val="auto"/>
          <w:sz w:val="32"/>
          <w:szCs w:val="32"/>
        </w:rPr>
      </w:pPr>
      <w:r>
        <w:rPr>
          <w:rFonts w:ascii="仿宋_GB2312" w:eastAsia="仿宋_GB2312"/>
          <w:color w:val="auto"/>
          <w:sz w:val="32"/>
          <w:szCs w:val="32"/>
        </w:rPr>
        <w:t>3..</w:t>
      </w:r>
      <w:r>
        <w:rPr>
          <w:rFonts w:hint="eastAsia" w:ascii="仿宋_GB2312" w:eastAsia="仿宋_GB2312"/>
          <w:color w:val="auto"/>
          <w:sz w:val="32"/>
          <w:szCs w:val="32"/>
        </w:rPr>
        <w:t>其他收入：指单位取得的除上述收入以外的各项收入。主要是</w:t>
      </w:r>
      <w:r>
        <w:rPr>
          <w:rFonts w:hint="eastAsia" w:ascii="仿宋_GB2312" w:eastAsia="仿宋_GB2312"/>
          <w:color w:val="auto"/>
          <w:sz w:val="32"/>
          <w:szCs w:val="32"/>
          <w:lang w:val="en-US" w:eastAsia="zh-CN"/>
        </w:rPr>
        <w:t>捐赠收入、利息收入</w:t>
      </w:r>
      <w:r>
        <w:rPr>
          <w:rFonts w:hint="eastAsia" w:ascii="仿宋_GB2312" w:eastAsia="仿宋_GB2312"/>
          <w:color w:val="auto"/>
          <w:sz w:val="32"/>
          <w:szCs w:val="32"/>
        </w:rPr>
        <w:t>等。</w:t>
      </w:r>
      <w:r>
        <w:rPr>
          <w:rFonts w:ascii="仿宋_GB2312" w:eastAsia="仿宋_GB2312"/>
          <w:color w:val="auto"/>
          <w:sz w:val="32"/>
          <w:szCs w:val="32"/>
        </w:rPr>
        <w:t xml:space="preserve"> </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4</w:t>
      </w:r>
      <w:r>
        <w:rPr>
          <w:rFonts w:ascii="仿宋_GB2312" w:eastAsia="仿宋_GB2312"/>
          <w:color w:val="auto"/>
          <w:sz w:val="32"/>
          <w:szCs w:val="32"/>
        </w:rPr>
        <w:t>.</w:t>
      </w:r>
      <w:r>
        <w:rPr>
          <w:rFonts w:hint="eastAsia" w:ascii="仿宋_GB2312" w:eastAsia="仿宋_GB2312"/>
          <w:color w:val="auto"/>
          <w:sz w:val="32"/>
          <w:szCs w:val="32"/>
        </w:rPr>
        <w:t>使用非财政拨款结余：指事业单位使用以前年度积累的非财政拨款结余弥补当年收支差额的金额。</w:t>
      </w:r>
      <w:r>
        <w:rPr>
          <w:rFonts w:ascii="仿宋_GB2312" w:eastAsia="仿宋_GB2312"/>
          <w:color w:val="auto"/>
          <w:sz w:val="32"/>
          <w:szCs w:val="32"/>
        </w:rPr>
        <w:t xml:space="preserve"> </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5</w:t>
      </w:r>
      <w:r>
        <w:rPr>
          <w:rFonts w:ascii="仿宋_GB2312" w:eastAsia="仿宋_GB2312"/>
          <w:color w:val="auto"/>
          <w:sz w:val="32"/>
          <w:szCs w:val="32"/>
        </w:rPr>
        <w:t>.</w:t>
      </w:r>
      <w:r>
        <w:rPr>
          <w:rFonts w:hint="eastAsia" w:ascii="仿宋_GB2312" w:eastAsia="仿宋_GB2312"/>
          <w:color w:val="auto"/>
          <w:sz w:val="32"/>
          <w:szCs w:val="32"/>
        </w:rPr>
        <w:t>年初结转和结余：指以前年度尚未完成、结转到本年按有关规定继续使用的资金。</w:t>
      </w:r>
      <w:r>
        <w:rPr>
          <w:rFonts w:ascii="仿宋_GB2312" w:eastAsia="仿宋_GB2312"/>
          <w:color w:val="auto"/>
          <w:sz w:val="32"/>
          <w:szCs w:val="32"/>
        </w:rPr>
        <w:t xml:space="preserve"> </w:t>
      </w:r>
    </w:p>
    <w:p>
      <w:pPr>
        <w:pStyle w:val="22"/>
        <w:spacing w:line="560" w:lineRule="exact"/>
        <w:ind w:firstLine="640" w:firstLineChars="200"/>
        <w:rPr>
          <w:rFonts w:ascii="仿宋_GB2312" w:eastAsia="仿宋_GB2312"/>
          <w:color w:val="auto"/>
          <w:sz w:val="32"/>
          <w:szCs w:val="32"/>
        </w:rPr>
      </w:pPr>
      <w:r>
        <w:rPr>
          <w:rFonts w:hint="eastAsia" w:ascii="仿宋_GB2312" w:eastAsia="仿宋_GB2312"/>
          <w:color w:val="auto"/>
          <w:sz w:val="32"/>
          <w:szCs w:val="32"/>
          <w:lang w:val="en-US" w:eastAsia="zh-CN"/>
        </w:rPr>
        <w:t>6</w:t>
      </w:r>
      <w:r>
        <w:rPr>
          <w:rFonts w:hint="eastAsia" w:ascii="仿宋_GB2312" w:eastAsia="仿宋_GB2312"/>
          <w:color w:val="auto"/>
          <w:sz w:val="32"/>
          <w:szCs w:val="32"/>
        </w:rPr>
        <w:t>、年末结转和结余：指单位按有关规定结转到下年或以后年度继续使用的资金。</w:t>
      </w:r>
    </w:p>
    <w:p>
      <w:pPr>
        <w:spacing w:line="600" w:lineRule="exact"/>
        <w:ind w:firstLine="640" w:firstLineChars="200"/>
        <w:rPr>
          <w:rFonts w:eastAsia="仿宋_GB2312"/>
          <w:color w:val="000000"/>
          <w:sz w:val="32"/>
          <w:szCs w:val="32"/>
        </w:rPr>
      </w:pPr>
      <w:r>
        <w:rPr>
          <w:rFonts w:hint="eastAsia" w:ascii="仿宋_GB2312" w:eastAsia="仿宋_GB2312"/>
          <w:sz w:val="32"/>
          <w:szCs w:val="32"/>
          <w:lang w:val="en-US" w:eastAsia="zh-CN"/>
        </w:rPr>
        <w:t>7</w:t>
      </w:r>
      <w:r>
        <w:rPr>
          <w:rFonts w:ascii="仿宋_GB2312" w:eastAsia="仿宋_GB2312"/>
          <w:sz w:val="32"/>
          <w:szCs w:val="32"/>
        </w:rPr>
        <w:t>.</w:t>
      </w:r>
      <w:r>
        <w:rPr>
          <w:rFonts w:eastAsia="仿宋_GB2312"/>
          <w:color w:val="000000"/>
          <w:sz w:val="32"/>
          <w:szCs w:val="32"/>
        </w:rPr>
        <w:t>教育（类）教育管理事务（款）行政运行（项）:指行政单位的基本支出。 </w:t>
      </w:r>
    </w:p>
    <w:p>
      <w:pPr>
        <w:spacing w:line="600" w:lineRule="exact"/>
        <w:ind w:firstLine="640" w:firstLineChars="200"/>
        <w:rPr>
          <w:rFonts w:eastAsia="仿宋_GB2312"/>
          <w:color w:val="000000"/>
          <w:sz w:val="32"/>
          <w:szCs w:val="32"/>
        </w:rPr>
      </w:pPr>
      <w:r>
        <w:rPr>
          <w:rFonts w:eastAsia="仿宋_GB2312"/>
          <w:color w:val="000000"/>
          <w:sz w:val="32"/>
          <w:szCs w:val="32"/>
        </w:rPr>
        <w:t>8.教育（类）普通教育（款）初中教育（项）:指乐山市市中区教育局举办的初中教育支出。</w:t>
      </w:r>
    </w:p>
    <w:p>
      <w:pPr>
        <w:spacing w:line="600" w:lineRule="exact"/>
        <w:ind w:firstLine="640" w:firstLineChars="200"/>
        <w:rPr>
          <w:rFonts w:eastAsia="仿宋_GB2312"/>
          <w:color w:val="000000"/>
          <w:sz w:val="32"/>
          <w:szCs w:val="32"/>
        </w:rPr>
      </w:pPr>
      <w:r>
        <w:rPr>
          <w:rFonts w:eastAsia="仿宋_GB2312"/>
          <w:color w:val="000000"/>
          <w:sz w:val="32"/>
          <w:szCs w:val="32"/>
        </w:rPr>
        <w:t>9.教育（类）教育费附加安排的支出（款）农村中小学校舍建设（项）:指反映教育附加安排用于农村中小学校舍新建、改建、修缮和维护的支出。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0.教育（类）教育费附加安排的支出（款）农村中小学教学设施（项）:指教育费附加安排用于改善农村中小学教学设施和办学条件的支出。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1.教育（类）教育费附加安排的支出（款）城市中小学校舍建设（项）: 指反映教育附加安排用于城市中小学校舍新建、改建、修缮和维护的支出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2.教育（类）教育费附加安排的支出（款）城市中小学教学设施（项）:指教育费附加安排用于改善城市中小学教学设施和办学条件的支出。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3.教育（类）教育费附加安排的支出（款）其他教育费附加安排的支出（项）:指反映除上述项目以外其他用于教育费附加安排方面的支出。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4.教育（类）其他教育支出（款）其他教育支出（项）:指其他用于教育方面的支出。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w:t>
      </w:r>
      <w:r>
        <w:rPr>
          <w:rFonts w:eastAsia="仿宋_GB2312"/>
          <w:color w:val="000000"/>
          <w:sz w:val="32"/>
          <w:szCs w:val="32"/>
        </w:rPr>
        <w:t>5.社会保障和就业（类）行政事业单位离退休（款）未归口管理的行政单位离退休（项）:。指未实行归口管理的行政单位（包括实行公务员管理的事业单位）开支的离退休支出。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16</w:t>
      </w:r>
      <w:r>
        <w:rPr>
          <w:rFonts w:eastAsia="仿宋_GB2312"/>
          <w:color w:val="000000"/>
          <w:sz w:val="32"/>
          <w:szCs w:val="32"/>
        </w:rPr>
        <w:t>.社会保障和就业（类）行政事业单位离退休（款）机关事业单位基本养老保险缴费支出（项）:指机关事业单位实施养老保险制度由单位缴纳的基本养老保险费支出。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17</w:t>
      </w:r>
      <w:r>
        <w:rPr>
          <w:rFonts w:eastAsia="仿宋_GB2312"/>
          <w:color w:val="000000"/>
          <w:sz w:val="32"/>
          <w:szCs w:val="32"/>
        </w:rPr>
        <w:t>.社会保障和就业（类）行政事业单位离退休（款）其他行政事业单位离退休支出（项）:其他用于行政事业单位离退休方面的支出。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18</w:t>
      </w:r>
      <w:r>
        <w:rPr>
          <w:rFonts w:eastAsia="仿宋_GB2312"/>
          <w:color w:val="000000"/>
          <w:sz w:val="32"/>
          <w:szCs w:val="32"/>
        </w:rPr>
        <w:t>.社会保障和就业（类）抚恤（款）死亡抚恤（项）:指按规定用于烈士和牺牲、病故人员家属的一次性和定期抚恤金以及丧葬补助费。</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19</w:t>
      </w:r>
      <w:r>
        <w:rPr>
          <w:rFonts w:eastAsia="仿宋_GB2312"/>
          <w:color w:val="000000"/>
          <w:sz w:val="32"/>
          <w:szCs w:val="32"/>
        </w:rPr>
        <w:t>.社会保障和就业（类）残疾人事业（款）其他残疾人事业支出（项）:反映其他用于残疾人事业方面的支出。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20</w:t>
      </w:r>
      <w:r>
        <w:rPr>
          <w:rFonts w:eastAsia="仿宋_GB2312"/>
          <w:color w:val="000000"/>
          <w:sz w:val="32"/>
          <w:szCs w:val="32"/>
        </w:rPr>
        <w:t>.社会保障和就业（类）其他社会保障和就业支出（款）其他社会保障和就业支出（项）:指社会保障和就业方面的其他支出。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21</w:t>
      </w:r>
      <w:r>
        <w:rPr>
          <w:rFonts w:eastAsia="仿宋_GB2312"/>
          <w:color w:val="000000"/>
          <w:sz w:val="32"/>
          <w:szCs w:val="32"/>
        </w:rPr>
        <w:t>.医疗卫生与计划生育（类）医疗保障（款）事业单位医疗（项）:指财政部门集中安排的事业单位基本医疗保险缴费经费，未参加医疗保险的事业单位的公费医疗经费，按国家规定享受离休人员待遇人员的医疗经费。</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22</w:t>
      </w:r>
      <w:r>
        <w:rPr>
          <w:rFonts w:eastAsia="仿宋_GB2312"/>
          <w:color w:val="000000"/>
          <w:sz w:val="32"/>
          <w:szCs w:val="32"/>
        </w:rPr>
        <w:t>.住房保障（类）住房改革支出（款）住房公积金（项）:各单位按人力资源和社会保障部、财政部规定的基本工资和津贴补贴以及规定比例为职工缴纳的住房公积金。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23</w:t>
      </w:r>
      <w:r>
        <w:rPr>
          <w:rFonts w:eastAsia="仿宋_GB2312"/>
          <w:color w:val="000000"/>
          <w:sz w:val="32"/>
          <w:szCs w:val="32"/>
        </w:rPr>
        <w:t>.结余分配：指事业单位按规定提取的职工福利基金、事业基金和缴纳的所得税，以及建设单位按规定应交回的基本建设竣工项目结余资金。</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24</w:t>
      </w:r>
      <w:r>
        <w:rPr>
          <w:rFonts w:eastAsia="仿宋_GB2312"/>
          <w:color w:val="000000"/>
          <w:sz w:val="32"/>
          <w:szCs w:val="32"/>
        </w:rPr>
        <w:t>.年末结转和结余：指本年度或以前年度预算安排、因客观条件发生变化无法按原计划实施，需延迟到以后年度按有关规定继续使用的资金。</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25</w:t>
      </w:r>
      <w:r>
        <w:rPr>
          <w:rFonts w:eastAsia="仿宋_GB2312"/>
          <w:color w:val="000000"/>
          <w:sz w:val="32"/>
          <w:szCs w:val="32"/>
        </w:rPr>
        <w:t>.基本支出：指为保障机构正常运转、完成日常工作任务而发生的人员支出和公用支出。</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26</w:t>
      </w:r>
      <w:r>
        <w:rPr>
          <w:rFonts w:eastAsia="仿宋_GB2312"/>
          <w:color w:val="000000"/>
          <w:sz w:val="32"/>
          <w:szCs w:val="32"/>
        </w:rPr>
        <w:t xml:space="preserve">.项目支出：指在基本支出之外为完成特定行政任务和事业发展目标所发生的支出。 </w:t>
      </w:r>
    </w:p>
    <w:p>
      <w:pPr>
        <w:spacing w:line="600" w:lineRule="exact"/>
        <w:ind w:firstLine="640" w:firstLineChars="200"/>
        <w:rPr>
          <w:rFonts w:eastAsia="仿宋_GB2312"/>
          <w:color w:val="000000"/>
          <w:sz w:val="32"/>
          <w:szCs w:val="32"/>
        </w:rPr>
      </w:pPr>
      <w:r>
        <w:rPr>
          <w:rFonts w:hint="eastAsia" w:eastAsia="仿宋_GB2312"/>
          <w:color w:val="000000"/>
          <w:sz w:val="32"/>
          <w:szCs w:val="32"/>
          <w:lang w:val="en-US" w:eastAsia="zh-CN"/>
        </w:rPr>
        <w:t>27</w:t>
      </w:r>
      <w:r>
        <w:rPr>
          <w:rFonts w:eastAsia="仿宋_GB2312"/>
          <w:color w:val="000000"/>
          <w:sz w:val="32"/>
          <w:szCs w:val="32"/>
        </w:rPr>
        <w:t>.经营支出：指事业单位在专业业务活动及其辅助活动之外开展非独立核算经营活动发生的支出。</w:t>
      </w:r>
    </w:p>
    <w:p>
      <w:pPr>
        <w:pStyle w:val="22"/>
        <w:spacing w:line="600" w:lineRule="exact"/>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lang w:val="en-US" w:eastAsia="zh-CN"/>
        </w:rPr>
        <w:t>28</w:t>
      </w:r>
      <w:r>
        <w:rPr>
          <w:rFonts w:ascii="Times New Roman" w:hAnsi="Times New Roman" w:eastAsia="仿宋_GB2312" w:cs="Times New Roman"/>
          <w:sz w:val="32"/>
          <w:szCs w:val="32"/>
        </w:rPr>
        <w:t>.“三公”经费：纳入省级财政预决算管理的“三公”经费，是指部门用财政拨款安排的因公出国（境）费、公务用车购置及运行费和公务接待费。其中，因公出国（境）费反映单位公务出国（境）的国际旅费、国外城市间交通费、住宿费、伙食费、培训费、公杂费等支出；公务用车购置及运行费反映单位公务用车车辆购置支出（含车辆购置税）及租用费、燃料费、维修费、过路过桥费、保险费、安全奖励费用等支出；公务接待费反映单位按规定开支的各类公务接待（含外宾接待）支出。</w:t>
      </w:r>
    </w:p>
    <w:p>
      <w:pPr>
        <w:pStyle w:val="22"/>
        <w:spacing w:line="600" w:lineRule="exact"/>
        <w:ind w:firstLine="480" w:firstLineChars="200"/>
        <w:rPr>
          <w:rFonts w:ascii="Times New Roman" w:hAnsi="Times New Roman" w:cs="Times New Roman"/>
        </w:rPr>
      </w:pPr>
    </w:p>
    <w:p>
      <w:pPr>
        <w:spacing w:line="600" w:lineRule="exact"/>
        <w:jc w:val="center"/>
        <w:outlineLvl w:val="0"/>
        <w:rPr>
          <w:rStyle w:val="24"/>
          <w:rFonts w:ascii="黑体" w:hAnsi="黑体" w:eastAsia="黑体"/>
          <w:b w:val="0"/>
        </w:rPr>
      </w:pPr>
      <w:bookmarkStart w:id="53" w:name="_Toc15377226"/>
      <w:r>
        <w:rPr>
          <w:rFonts w:ascii="宋体"/>
          <w:b/>
          <w:sz w:val="44"/>
          <w:szCs w:val="44"/>
        </w:rPr>
        <w:br w:type="page"/>
      </w:r>
      <w:bookmarkStart w:id="54" w:name="_Toc15396614"/>
      <w:r>
        <w:rPr>
          <w:rFonts w:hint="eastAsia" w:ascii="黑体" w:hAnsi="黑体" w:eastAsia="黑体"/>
          <w:sz w:val="44"/>
          <w:szCs w:val="44"/>
        </w:rPr>
        <w:t>第</w:t>
      </w:r>
      <w:r>
        <w:rPr>
          <w:rStyle w:val="24"/>
          <w:rFonts w:hint="eastAsia" w:ascii="黑体" w:hAnsi="黑体" w:eastAsia="黑体"/>
          <w:b w:val="0"/>
        </w:rPr>
        <w:t>四部分 附件</w:t>
      </w:r>
      <w:bookmarkEnd w:id="54"/>
    </w:p>
    <w:p>
      <w:pPr>
        <w:spacing w:line="572" w:lineRule="exact"/>
        <w:jc w:val="left"/>
        <w:outlineLvl w:val="0"/>
        <w:rPr>
          <w:rFonts w:ascii="仿宋_GB2312" w:hAnsi="仿宋_GB2312" w:eastAsia="仿宋_GB2312" w:cs="仿宋_GB2312"/>
          <w:sz w:val="32"/>
          <w:szCs w:val="32"/>
        </w:rPr>
      </w:pPr>
      <w:r>
        <w:rPr>
          <w:rFonts w:hint="eastAsia" w:ascii="黑体" w:hAnsi="黑体" w:eastAsia="黑体" w:cs="黑体"/>
          <w:sz w:val="32"/>
          <w:szCs w:val="32"/>
        </w:rPr>
        <w:t>附件</w:t>
      </w:r>
    </w:p>
    <w:tbl>
      <w:tblPr>
        <w:tblStyle w:val="12"/>
        <w:tblpPr w:leftFromText="180" w:rightFromText="180" w:vertAnchor="text" w:horzAnchor="margin" w:tblpY="389"/>
        <w:tblOverlap w:val="never"/>
        <w:tblW w:w="9575" w:type="dxa"/>
        <w:tblInd w:w="0" w:type="dxa"/>
        <w:tblLayout w:type="fixed"/>
        <w:tblCellMar>
          <w:top w:w="0" w:type="dxa"/>
          <w:left w:w="108" w:type="dxa"/>
          <w:bottom w:w="0" w:type="dxa"/>
          <w:right w:w="108" w:type="dxa"/>
        </w:tblCellMar>
      </w:tblPr>
      <w:tblGrid>
        <w:gridCol w:w="1976"/>
        <w:gridCol w:w="1142"/>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widowControl/>
              <w:jc w:val="center"/>
              <w:textAlignment w:val="center"/>
              <w:rPr>
                <w:rFonts w:ascii="宋体" w:hAnsi="宋体" w:cs="宋体"/>
                <w:b/>
                <w:sz w:val="32"/>
                <w:szCs w:val="32"/>
              </w:rPr>
            </w:pPr>
            <w:bookmarkStart w:id="55" w:name="_Toc15396618"/>
            <w:r>
              <w:rPr>
                <w:rFonts w:hint="eastAsia" w:ascii="宋体" w:hAnsi="宋体" w:cs="宋体"/>
                <w:b/>
                <w:sz w:val="32"/>
                <w:szCs w:val="32"/>
              </w:rPr>
              <w:t>2021年特定目标类部门预算项目绩效目标自评</w:t>
            </w:r>
          </w:p>
          <w:p>
            <w:pPr>
              <w:widowControl/>
              <w:jc w:val="center"/>
              <w:rPr>
                <w:rFonts w:ascii="宋体" w:hAnsi="宋体" w:cs="宋体"/>
                <w:b/>
                <w:sz w:val="32"/>
                <w:szCs w:val="32"/>
              </w:rPr>
            </w:pPr>
            <w:r>
              <w:rPr>
                <w:rFonts w:hint="eastAsia" w:ascii="宋体" w:hAnsi="宋体" w:cs="宋体"/>
                <w:b/>
                <w:bCs/>
                <w:color w:val="000000"/>
                <w:kern w:val="0"/>
                <w:sz w:val="31"/>
                <w:szCs w:val="31"/>
                <w:lang w:bidi="ar"/>
              </w:rPr>
              <w:t>（校园安保项目）</w:t>
            </w: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rPr>
                <w:rFonts w:ascii="华文仿宋" w:hAnsi="华文仿宋" w:eastAsia="华文仿宋" w:cs="华文仿宋"/>
                <w:sz w:val="24"/>
              </w:rPr>
            </w:pPr>
            <w:r>
              <w:rPr>
                <w:rFonts w:hint="eastAsia" w:ascii="华文仿宋" w:hAnsi="华文仿宋" w:eastAsia="华文仿宋" w:cs="华文仿宋"/>
                <w:color w:val="000000"/>
                <w:kern w:val="0"/>
                <w:sz w:val="24"/>
                <w:lang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乐山市市中区土主镇初级中学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项目预算</w:t>
            </w:r>
          </w:p>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执行情况</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7.66</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7.66</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left"/>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其中：</w:t>
            </w:r>
          </w:p>
          <w:p>
            <w:pPr>
              <w:widowControl/>
              <w:spacing w:line="28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7.66</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left"/>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其中：</w:t>
            </w:r>
          </w:p>
          <w:p>
            <w:pPr>
              <w:widowControl/>
              <w:spacing w:line="28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7.66</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p>
        </w:tc>
      </w:tr>
      <w:tr>
        <w:tblPrEx>
          <w:tblCellMar>
            <w:top w:w="0" w:type="dxa"/>
            <w:left w:w="108" w:type="dxa"/>
            <w:bottom w:w="0" w:type="dxa"/>
            <w:right w:w="108" w:type="dxa"/>
          </w:tblCellMar>
        </w:tblPrEx>
        <w:trPr>
          <w:trHeight w:val="510" w:hRule="atLeast"/>
        </w:trPr>
        <w:tc>
          <w:tcPr>
            <w:tcW w:w="197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年度总体目标</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完成情况</w:t>
            </w: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目标实际完成情况</w:t>
            </w:r>
          </w:p>
        </w:tc>
      </w:tr>
      <w:tr>
        <w:tblPrEx>
          <w:tblCellMar>
            <w:top w:w="0" w:type="dxa"/>
            <w:left w:w="108" w:type="dxa"/>
            <w:bottom w:w="0" w:type="dxa"/>
            <w:right w:w="108" w:type="dxa"/>
          </w:tblCellMar>
        </w:tblPrEx>
        <w:trPr>
          <w:trHeight w:val="1335" w:hRule="atLeast"/>
        </w:trPr>
        <w:tc>
          <w:tcPr>
            <w:tcW w:w="197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3966"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20" w:lineRule="exact"/>
              <w:ind w:firstLine="480" w:firstLineChars="200"/>
              <w:jc w:val="left"/>
              <w:rPr>
                <w:rFonts w:ascii="华文仿宋" w:hAnsi="华文仿宋" w:eastAsia="华文仿宋" w:cs="华文仿宋"/>
                <w:sz w:val="24"/>
              </w:rPr>
            </w:pPr>
            <w:r>
              <w:rPr>
                <w:rFonts w:hint="eastAsia" w:ascii="华文仿宋" w:hAnsi="华文仿宋" w:eastAsia="华文仿宋" w:cs="华文仿宋"/>
                <w:color w:val="000000"/>
                <w:kern w:val="0"/>
                <w:sz w:val="24"/>
                <w:lang w:bidi="ar"/>
              </w:rPr>
              <w:t>通过劳务派遣形式聘用校园安保人员2名，确保2名安保人员的劳务费正常按时发放，维护校园秩序，保障师生生命财产安全。</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top"/>
              <w:rPr>
                <w:rFonts w:ascii="华文仿宋" w:hAnsi="华文仿宋" w:eastAsia="华文仿宋" w:cs="华文仿宋"/>
                <w:sz w:val="24"/>
              </w:rPr>
            </w:pPr>
            <w:r>
              <w:rPr>
                <w:rFonts w:hint="eastAsia" w:ascii="华文仿宋" w:hAnsi="华文仿宋" w:eastAsia="华文仿宋" w:cs="华文仿宋"/>
                <w:sz w:val="24"/>
              </w:rPr>
              <w:t>全部完成，情况良好</w:t>
            </w:r>
          </w:p>
        </w:tc>
      </w:tr>
      <w:tr>
        <w:tblPrEx>
          <w:tblCellMar>
            <w:top w:w="0" w:type="dxa"/>
            <w:left w:w="108" w:type="dxa"/>
            <w:bottom w:w="0" w:type="dxa"/>
            <w:right w:w="108" w:type="dxa"/>
          </w:tblCellMar>
        </w:tblPrEx>
        <w:trPr>
          <w:trHeight w:val="693" w:hRule="atLeast"/>
        </w:trPr>
        <w:tc>
          <w:tcPr>
            <w:tcW w:w="1976" w:type="dxa"/>
            <w:vMerge w:val="restart"/>
            <w:tcBorders>
              <w:top w:val="single" w:color="000000" w:sz="4" w:space="0"/>
              <w:left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年度绩效指标完成情况</w:t>
            </w:r>
          </w:p>
        </w:tc>
        <w:tc>
          <w:tcPr>
            <w:tcW w:w="1142" w:type="dxa"/>
            <w:tcBorders>
              <w:top w:val="single" w:color="000000" w:sz="4" w:space="0"/>
              <w:left w:val="nil"/>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一级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二级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三级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预期</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实际完成指标值</w:t>
            </w:r>
          </w:p>
        </w:tc>
      </w:tr>
      <w:tr>
        <w:tblPrEx>
          <w:tblCellMar>
            <w:top w:w="0" w:type="dxa"/>
            <w:left w:w="108" w:type="dxa"/>
            <w:bottom w:w="0" w:type="dxa"/>
            <w:right w:w="108" w:type="dxa"/>
          </w:tblCellMar>
        </w:tblPrEx>
        <w:trPr>
          <w:trHeight w:val="759"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完成</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ascii="仿宋" w:hAnsi="仿宋" w:eastAsia="仿宋" w:cs="仿宋"/>
                <w:color w:val="000000"/>
                <w:kern w:val="0"/>
                <w:sz w:val="24"/>
                <w:lang w:bidi="ar"/>
              </w:rPr>
              <w:t>校园安保</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2</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ascii="仿宋" w:hAnsi="仿宋" w:eastAsia="仿宋" w:cs="仿宋"/>
                <w:color w:val="000000"/>
                <w:kern w:val="0"/>
                <w:sz w:val="24"/>
                <w:lang w:bidi="ar"/>
              </w:rPr>
              <w:t>工资发放</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100%</w:t>
            </w:r>
          </w:p>
        </w:tc>
      </w:tr>
      <w:tr>
        <w:tblPrEx>
          <w:tblCellMar>
            <w:top w:w="0" w:type="dxa"/>
            <w:left w:w="108" w:type="dxa"/>
            <w:bottom w:w="0" w:type="dxa"/>
            <w:right w:w="108" w:type="dxa"/>
          </w:tblCellMar>
        </w:tblPrEx>
        <w:trPr>
          <w:trHeight w:val="415"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ascii="仿宋" w:hAnsi="仿宋" w:eastAsia="仿宋" w:cs="仿宋"/>
                <w:color w:val="000000"/>
                <w:kern w:val="0"/>
                <w:sz w:val="24"/>
                <w:lang w:bidi="ar"/>
              </w:rPr>
              <w:t>工资发放</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时间周期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12</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ascii="仿宋" w:hAnsi="仿宋" w:eastAsia="仿宋" w:cs="仿宋"/>
                <w:color w:val="000000"/>
                <w:kern w:val="0"/>
                <w:sz w:val="24"/>
                <w:lang w:bidi="ar"/>
              </w:rPr>
              <w:t>校园安保</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经费</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7.66</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7.66</w:t>
            </w: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效益</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ascii="仿宋" w:hAnsi="仿宋" w:eastAsia="仿宋" w:cs="仿宋"/>
                <w:color w:val="000000"/>
                <w:kern w:val="0"/>
                <w:sz w:val="24"/>
                <w:lang w:bidi="ar"/>
              </w:rPr>
              <w:t>校园安全</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事故发生率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0%</w:t>
            </w:r>
          </w:p>
        </w:tc>
      </w:tr>
      <w:tr>
        <w:tblPrEx>
          <w:tblCellMar>
            <w:top w:w="0" w:type="dxa"/>
            <w:left w:w="108" w:type="dxa"/>
            <w:bottom w:w="0" w:type="dxa"/>
            <w:right w:w="108" w:type="dxa"/>
          </w:tblCellMar>
        </w:tblPrEx>
        <w:trPr>
          <w:trHeight w:val="577"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3" w:leftChars="87" w:hanging="240" w:hangingChars="100"/>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480" w:hRule="atLeast"/>
        </w:trPr>
        <w:tc>
          <w:tcPr>
            <w:tcW w:w="1976"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530" w:hRule="atLeast"/>
        </w:trPr>
        <w:tc>
          <w:tcPr>
            <w:tcW w:w="1976" w:type="dxa"/>
            <w:vMerge w:val="continue"/>
            <w:tcBorders>
              <w:left w:val="single" w:color="000000" w:sz="4" w:space="0"/>
              <w:bottom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14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满意</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满意度</w:t>
            </w:r>
          </w:p>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sz w:val="24"/>
              </w:rPr>
            </w:pPr>
            <w:r>
              <w:rPr>
                <w:rFonts w:hint="eastAsia" w:ascii="仿宋" w:hAnsi="仿宋" w:eastAsia="仿宋" w:cs="仿宋"/>
                <w:color w:val="000000"/>
                <w:kern w:val="0"/>
                <w:sz w:val="24"/>
                <w:lang w:bidi="ar"/>
              </w:rPr>
              <w:t>师生</w:t>
            </w:r>
          </w:p>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≥98%</w:t>
            </w:r>
          </w:p>
        </w:tc>
      </w:tr>
    </w:tbl>
    <w:p>
      <w:pPr>
        <w:pStyle w:val="2"/>
        <w:spacing w:before="93"/>
        <w:jc w:val="center"/>
        <w:rPr>
          <w:rFonts w:ascii="宋体" w:hAnsi="宋体" w:eastAsia="宋体"/>
          <w:b/>
          <w:sz w:val="32"/>
          <w:szCs w:val="32"/>
        </w:rPr>
      </w:pPr>
      <w:r>
        <w:rPr>
          <w:rFonts w:hint="eastAsia" w:ascii="宋体" w:hAnsi="宋体" w:eastAsia="宋体"/>
          <w:b/>
          <w:sz w:val="32"/>
          <w:szCs w:val="32"/>
        </w:rPr>
        <w:t>2021年特定目标类部门预算项目绩效目标自评</w:t>
      </w:r>
    </w:p>
    <w:tbl>
      <w:tblPr>
        <w:tblStyle w:val="12"/>
        <w:tblpPr w:leftFromText="180" w:rightFromText="180" w:vertAnchor="text" w:horzAnchor="margin" w:tblpY="863"/>
        <w:tblOverlap w:val="never"/>
        <w:tblW w:w="9575" w:type="dxa"/>
        <w:tblInd w:w="0" w:type="dxa"/>
        <w:tblLayout w:type="fixed"/>
        <w:tblCellMar>
          <w:top w:w="0" w:type="dxa"/>
          <w:left w:w="108" w:type="dxa"/>
          <w:bottom w:w="0" w:type="dxa"/>
          <w:right w:w="108" w:type="dxa"/>
        </w:tblCellMar>
      </w:tblPr>
      <w:tblGrid>
        <w:gridCol w:w="1809"/>
        <w:gridCol w:w="1309"/>
        <w:gridCol w:w="1492"/>
        <w:gridCol w:w="1332"/>
        <w:gridCol w:w="1224"/>
        <w:gridCol w:w="2409"/>
      </w:tblGrid>
      <w:tr>
        <w:tblPrEx>
          <w:tblCellMar>
            <w:top w:w="0" w:type="dxa"/>
            <w:left w:w="108" w:type="dxa"/>
            <w:bottom w:w="0" w:type="dxa"/>
            <w:right w:w="108" w:type="dxa"/>
          </w:tblCellMar>
        </w:tblPrEx>
        <w:trPr>
          <w:trHeight w:val="675" w:hRule="atLeast"/>
        </w:trPr>
        <w:tc>
          <w:tcPr>
            <w:tcW w:w="9575" w:type="dxa"/>
            <w:gridSpan w:val="6"/>
            <w:tcBorders>
              <w:top w:val="nil"/>
              <w:left w:val="nil"/>
              <w:bottom w:val="nil"/>
              <w:right w:val="nil"/>
            </w:tcBorders>
            <w:shd w:val="clear" w:color="auto" w:fill="auto"/>
            <w:vAlign w:val="center"/>
          </w:tcPr>
          <w:p>
            <w:pPr>
              <w:pStyle w:val="2"/>
              <w:spacing w:before="93"/>
              <w:rPr>
                <w:rFonts w:hint="eastAsia"/>
              </w:rPr>
            </w:pPr>
          </w:p>
        </w:tc>
      </w:tr>
      <w:tr>
        <w:tblPrEx>
          <w:tblCellMar>
            <w:top w:w="0" w:type="dxa"/>
            <w:left w:w="108" w:type="dxa"/>
            <w:bottom w:w="0" w:type="dxa"/>
            <w:right w:w="108" w:type="dxa"/>
          </w:tblCellMar>
        </w:tblPrEx>
        <w:trPr>
          <w:trHeight w:val="509" w:hRule="atLeast"/>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主管部门及代码</w:t>
            </w:r>
          </w:p>
        </w:tc>
        <w:tc>
          <w:tcPr>
            <w:tcW w:w="2824"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rPr>
                <w:rFonts w:ascii="华文仿宋" w:hAnsi="华文仿宋" w:eastAsia="华文仿宋" w:cs="华文仿宋"/>
                <w:sz w:val="24"/>
              </w:rPr>
            </w:pPr>
            <w:r>
              <w:rPr>
                <w:rFonts w:hint="eastAsia" w:ascii="华文仿宋" w:hAnsi="华文仿宋" w:eastAsia="华文仿宋" w:cs="华文仿宋"/>
                <w:color w:val="000000"/>
                <w:kern w:val="0"/>
                <w:sz w:val="24"/>
                <w:lang w:bidi="ar"/>
              </w:rPr>
              <w:t>乐山市市中区教育局</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实施单位</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40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乐山市市中区土主镇初级中学</w:t>
            </w:r>
          </w:p>
        </w:tc>
      </w:tr>
      <w:tr>
        <w:tblPrEx>
          <w:tblCellMar>
            <w:top w:w="0" w:type="dxa"/>
            <w:left w:w="108" w:type="dxa"/>
            <w:bottom w:w="0" w:type="dxa"/>
            <w:right w:w="108" w:type="dxa"/>
          </w:tblCellMar>
        </w:tblPrEx>
        <w:trPr>
          <w:trHeight w:val="436" w:hRule="atLeast"/>
        </w:trPr>
        <w:tc>
          <w:tcPr>
            <w:tcW w:w="3118" w:type="dxa"/>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项目预算</w:t>
            </w:r>
          </w:p>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执行情况</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（万元）</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 xml:space="preserve"> 预算数：</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0.45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 xml:space="preserve"> 执行数：</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0.45</w:t>
            </w:r>
          </w:p>
        </w:tc>
      </w:tr>
      <w:tr>
        <w:tblPrEx>
          <w:tblCellMar>
            <w:top w:w="0" w:type="dxa"/>
            <w:left w:w="108" w:type="dxa"/>
            <w:bottom w:w="0" w:type="dxa"/>
            <w:right w:w="108" w:type="dxa"/>
          </w:tblCellMar>
        </w:tblPrEx>
        <w:trPr>
          <w:trHeight w:val="555"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left"/>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其中：</w:t>
            </w:r>
          </w:p>
          <w:p>
            <w:pPr>
              <w:widowControl/>
              <w:spacing w:line="28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财政拨款</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0.45</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left"/>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其中：</w:t>
            </w:r>
          </w:p>
          <w:p>
            <w:pPr>
              <w:widowControl/>
              <w:spacing w:line="28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财政拨款</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sz w:val="24"/>
              </w:rPr>
              <w:t>0.45</w:t>
            </w:r>
          </w:p>
        </w:tc>
      </w:tr>
      <w:tr>
        <w:tblPrEx>
          <w:tblCellMar>
            <w:top w:w="0" w:type="dxa"/>
            <w:left w:w="108" w:type="dxa"/>
            <w:bottom w:w="0" w:type="dxa"/>
            <w:right w:w="108" w:type="dxa"/>
          </w:tblCellMar>
        </w:tblPrEx>
        <w:trPr>
          <w:trHeight w:val="451" w:hRule="atLeast"/>
        </w:trPr>
        <w:tc>
          <w:tcPr>
            <w:tcW w:w="3118" w:type="dxa"/>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其他资金</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left"/>
              <w:textAlignment w:val="center"/>
              <w:rPr>
                <w:rFonts w:ascii="华文仿宋" w:hAnsi="华文仿宋" w:eastAsia="华文仿宋" w:cs="华文仿宋"/>
                <w:sz w:val="24"/>
              </w:rPr>
            </w:pPr>
            <w:r>
              <w:rPr>
                <w:rFonts w:hint="eastAsia" w:ascii="华文仿宋" w:hAnsi="华文仿宋" w:eastAsia="华文仿宋" w:cs="华文仿宋"/>
                <w:kern w:val="0"/>
                <w:sz w:val="24"/>
              </w:rPr>
              <w:t>其他资金</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p>
        </w:tc>
      </w:tr>
      <w:tr>
        <w:tblPrEx>
          <w:tblCellMar>
            <w:top w:w="0" w:type="dxa"/>
            <w:left w:w="108" w:type="dxa"/>
            <w:bottom w:w="0" w:type="dxa"/>
            <w:right w:w="108" w:type="dxa"/>
          </w:tblCellMar>
        </w:tblPrEx>
        <w:trPr>
          <w:trHeight w:val="510" w:hRule="atLeast"/>
        </w:trPr>
        <w:tc>
          <w:tcPr>
            <w:tcW w:w="18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年度总体目标</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完成情况</w:t>
            </w:r>
          </w:p>
        </w:tc>
        <w:tc>
          <w:tcPr>
            <w:tcW w:w="4133" w:type="dxa"/>
            <w:gridSpan w:val="3"/>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预期目标</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目标实际完成情况</w:t>
            </w:r>
          </w:p>
        </w:tc>
      </w:tr>
      <w:tr>
        <w:tblPrEx>
          <w:tblCellMar>
            <w:top w:w="0" w:type="dxa"/>
            <w:left w:w="108" w:type="dxa"/>
            <w:bottom w:w="0" w:type="dxa"/>
            <w:right w:w="108" w:type="dxa"/>
          </w:tblCellMar>
        </w:tblPrEx>
        <w:trPr>
          <w:trHeight w:val="1317" w:hRule="atLeast"/>
        </w:trPr>
        <w:tc>
          <w:tcPr>
            <w:tcW w:w="18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spacing w:line="320" w:lineRule="exact"/>
              <w:jc w:val="center"/>
              <w:rPr>
                <w:rFonts w:ascii="华文仿宋" w:hAnsi="华文仿宋" w:eastAsia="华文仿宋" w:cs="华文仿宋"/>
                <w:sz w:val="24"/>
              </w:rPr>
            </w:pPr>
          </w:p>
        </w:tc>
        <w:tc>
          <w:tcPr>
            <w:tcW w:w="4133" w:type="dxa"/>
            <w:gridSpan w:val="3"/>
            <w:tcBorders>
              <w:top w:val="single" w:color="000000" w:sz="4" w:space="0"/>
              <w:left w:val="single" w:color="000000" w:sz="4" w:space="0"/>
              <w:bottom w:val="single" w:color="000000" w:sz="4" w:space="0"/>
              <w:right w:val="single" w:color="000000" w:sz="4" w:space="0"/>
            </w:tcBorders>
            <w:shd w:val="clear" w:color="auto" w:fill="auto"/>
          </w:tcPr>
          <w:p>
            <w:pPr>
              <w:widowControl/>
              <w:spacing w:line="360" w:lineRule="exact"/>
              <w:ind w:firstLine="480" w:firstLineChars="200"/>
              <w:rPr>
                <w:rFonts w:ascii="华文仿宋" w:hAnsi="华文仿宋" w:eastAsia="华文仿宋" w:cs="华文仿宋"/>
                <w:sz w:val="24"/>
              </w:rPr>
            </w:pPr>
            <w:r>
              <w:rPr>
                <w:rFonts w:hint="eastAsia" w:ascii="华文仿宋" w:hAnsi="华文仿宋" w:eastAsia="华文仿宋" w:cs="华文仿宋"/>
                <w:kern w:val="0"/>
                <w:sz w:val="24"/>
              </w:rPr>
              <w:t>认真落实义务教育阶段学生“三免一补”政策，促进教育均衡，加快基础教育发展，共享社会发展成果。</w:t>
            </w:r>
          </w:p>
        </w:tc>
        <w:tc>
          <w:tcPr>
            <w:tcW w:w="3633" w:type="dxa"/>
            <w:gridSpan w:val="2"/>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top"/>
              <w:rPr>
                <w:rFonts w:ascii="华文仿宋" w:hAnsi="华文仿宋" w:eastAsia="华文仿宋" w:cs="华文仿宋"/>
                <w:sz w:val="24"/>
              </w:rPr>
            </w:pPr>
            <w:r>
              <w:rPr>
                <w:rFonts w:hint="eastAsia" w:ascii="华文仿宋" w:hAnsi="华文仿宋" w:eastAsia="华文仿宋" w:cs="华文仿宋"/>
                <w:sz w:val="24"/>
              </w:rPr>
              <w:t>全部完成，情况良好</w:t>
            </w:r>
          </w:p>
        </w:tc>
      </w:tr>
      <w:tr>
        <w:tblPrEx>
          <w:tblCellMar>
            <w:top w:w="0" w:type="dxa"/>
            <w:left w:w="108" w:type="dxa"/>
            <w:bottom w:w="0" w:type="dxa"/>
            <w:right w:w="108" w:type="dxa"/>
          </w:tblCellMar>
        </w:tblPrEx>
        <w:trPr>
          <w:trHeight w:val="693" w:hRule="atLeast"/>
        </w:trPr>
        <w:tc>
          <w:tcPr>
            <w:tcW w:w="1809" w:type="dxa"/>
            <w:vMerge w:val="restart"/>
            <w:tcBorders>
              <w:top w:val="single" w:color="000000" w:sz="4" w:space="0"/>
              <w:left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年度绩效指标完成情况</w:t>
            </w:r>
          </w:p>
        </w:tc>
        <w:tc>
          <w:tcPr>
            <w:tcW w:w="1309" w:type="dxa"/>
            <w:tcBorders>
              <w:top w:val="single" w:color="000000" w:sz="4" w:space="0"/>
              <w:left w:val="nil"/>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一级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二级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三级</w:t>
            </w:r>
          </w:p>
          <w:p>
            <w:pPr>
              <w:widowControl/>
              <w:spacing w:line="30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kern w:val="0"/>
                <w:sz w:val="24"/>
              </w:rPr>
            </w:pPr>
            <w:r>
              <w:rPr>
                <w:rFonts w:hint="eastAsia" w:ascii="华文仿宋" w:hAnsi="华文仿宋" w:eastAsia="华文仿宋" w:cs="华文仿宋"/>
                <w:kern w:val="0"/>
                <w:sz w:val="24"/>
              </w:rPr>
              <w:t>预期</w:t>
            </w:r>
          </w:p>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指标值</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center"/>
              <w:rPr>
                <w:rFonts w:ascii="华文仿宋" w:hAnsi="华文仿宋" w:eastAsia="华文仿宋" w:cs="华文仿宋"/>
                <w:sz w:val="24"/>
              </w:rPr>
            </w:pPr>
            <w:r>
              <w:rPr>
                <w:rFonts w:hint="eastAsia" w:ascii="华文仿宋" w:hAnsi="华文仿宋" w:eastAsia="华文仿宋" w:cs="华文仿宋"/>
                <w:kern w:val="0"/>
                <w:sz w:val="24"/>
              </w:rPr>
              <w:t>实际完成指标值</w:t>
            </w:r>
          </w:p>
        </w:tc>
      </w:tr>
      <w:tr>
        <w:tblPrEx>
          <w:tblCellMar>
            <w:top w:w="0" w:type="dxa"/>
            <w:left w:w="108" w:type="dxa"/>
            <w:bottom w:w="0" w:type="dxa"/>
            <w:right w:w="108" w:type="dxa"/>
          </w:tblCellMar>
        </w:tblPrEx>
        <w:trPr>
          <w:trHeight w:val="759"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完成</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数量指标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 w:leftChars="-20" w:right="-42" w:rightChars="-20"/>
              <w:jc w:val="center"/>
              <w:rPr>
                <w:rFonts w:ascii="华文仿宋" w:hAnsi="华文仿宋" w:eastAsia="华文仿宋" w:cs="华文仿宋"/>
                <w:sz w:val="24"/>
              </w:rPr>
            </w:pPr>
            <w:r>
              <w:rPr>
                <w:rFonts w:hint="eastAsia" w:ascii="仿宋" w:hAnsi="仿宋" w:eastAsia="仿宋" w:cs="仿宋"/>
                <w:color w:val="000000"/>
                <w:kern w:val="0"/>
                <w:sz w:val="24"/>
                <w:lang w:bidi="ar"/>
              </w:rPr>
              <w:t>免作业本费学生人数</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ind w:left="-42" w:leftChars="-20" w:right="-42" w:rightChars="-20"/>
              <w:jc w:val="center"/>
              <w:textAlignment w:val="bottom"/>
              <w:rPr>
                <w:rFonts w:ascii="华文仿宋" w:hAnsi="华文仿宋" w:eastAsia="华文仿宋" w:cs="华文仿宋"/>
                <w:sz w:val="24"/>
              </w:rPr>
            </w:pPr>
            <w:r>
              <w:rPr>
                <w:rFonts w:hint="eastAsia" w:ascii="华文仿宋" w:hAnsi="华文仿宋" w:eastAsia="华文仿宋" w:cs="华文仿宋"/>
                <w:sz w:val="24"/>
              </w:rPr>
              <w:t>288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288</w:t>
            </w:r>
          </w:p>
        </w:tc>
      </w:tr>
      <w:tr>
        <w:tblPrEx>
          <w:tblCellMar>
            <w:top w:w="0" w:type="dxa"/>
            <w:left w:w="108" w:type="dxa"/>
            <w:bottom w:w="0" w:type="dxa"/>
            <w:right w:w="108" w:type="dxa"/>
          </w:tblCellMar>
        </w:tblPrEx>
        <w:trPr>
          <w:trHeight w:val="415"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质量指标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作业本</w:t>
            </w:r>
            <w:r>
              <w:rPr>
                <w:rFonts w:ascii="仿宋" w:hAnsi="仿宋" w:eastAsia="仿宋" w:cs="仿宋"/>
                <w:color w:val="000000"/>
                <w:kern w:val="0"/>
                <w:sz w:val="24"/>
                <w:lang w:bidi="ar"/>
              </w:rPr>
              <w:t>发放</w:t>
            </w:r>
            <w:r>
              <w:rPr>
                <w:rFonts w:hint="eastAsia" w:ascii="仿宋" w:hAnsi="仿宋" w:eastAsia="仿宋" w:cs="仿宋"/>
                <w:color w:val="000000"/>
                <w:kern w:val="0"/>
                <w:sz w:val="24"/>
                <w:lang w:bidi="ar"/>
              </w:rPr>
              <w:t>准确率</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100%</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100%</w:t>
            </w:r>
          </w:p>
        </w:tc>
      </w:tr>
      <w:tr>
        <w:tblPrEx>
          <w:tblCellMar>
            <w:top w:w="0" w:type="dxa"/>
            <w:left w:w="108" w:type="dxa"/>
            <w:bottom w:w="0" w:type="dxa"/>
            <w:right w:w="108" w:type="dxa"/>
          </w:tblCellMar>
        </w:tblPrEx>
        <w:trPr>
          <w:trHeight w:val="415"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时效指标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 w:leftChars="-20" w:right="-42" w:rightChars="-20"/>
              <w:jc w:val="center"/>
              <w:rPr>
                <w:rFonts w:ascii="华文仿宋" w:hAnsi="华文仿宋" w:eastAsia="华文仿宋" w:cs="华文仿宋"/>
                <w:sz w:val="24"/>
              </w:rPr>
            </w:pPr>
            <w:r>
              <w:rPr>
                <w:rFonts w:hint="eastAsia" w:ascii="仿宋" w:hAnsi="仿宋" w:eastAsia="仿宋" w:cs="仿宋"/>
                <w:color w:val="000000"/>
                <w:kern w:val="0"/>
                <w:sz w:val="24"/>
                <w:lang w:bidi="ar"/>
              </w:rPr>
              <w:t>免作业本费时间学期</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2</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2</w:t>
            </w:r>
          </w:p>
        </w:tc>
      </w:tr>
      <w:tr>
        <w:tblPrEx>
          <w:tblCellMar>
            <w:top w:w="0" w:type="dxa"/>
            <w:left w:w="108" w:type="dxa"/>
            <w:bottom w:w="0" w:type="dxa"/>
            <w:right w:w="108" w:type="dxa"/>
          </w:tblCellMar>
        </w:tblPrEx>
        <w:trPr>
          <w:trHeight w:val="480"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成本指标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 w:leftChars="-20" w:right="-42" w:rightChars="-20"/>
              <w:jc w:val="center"/>
              <w:rPr>
                <w:rFonts w:ascii="华文仿宋" w:hAnsi="华文仿宋" w:eastAsia="华文仿宋" w:cs="华文仿宋"/>
                <w:sz w:val="24"/>
              </w:rPr>
            </w:pPr>
            <w:r>
              <w:rPr>
                <w:rFonts w:hint="eastAsia" w:ascii="仿宋" w:hAnsi="仿宋" w:eastAsia="仿宋" w:cs="仿宋"/>
                <w:color w:val="000000"/>
                <w:kern w:val="0"/>
                <w:sz w:val="24"/>
                <w:lang w:bidi="ar"/>
              </w:rPr>
              <w:t>免作业本费金额</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0.45</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0.45</w:t>
            </w:r>
          </w:p>
        </w:tc>
      </w:tr>
      <w:tr>
        <w:tblPrEx>
          <w:tblCellMar>
            <w:top w:w="0" w:type="dxa"/>
            <w:left w:w="108" w:type="dxa"/>
            <w:bottom w:w="0" w:type="dxa"/>
            <w:right w:w="108" w:type="dxa"/>
          </w:tblCellMar>
        </w:tblPrEx>
        <w:trPr>
          <w:trHeight w:val="480"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效益</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经济效益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480"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社会效益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 w:leftChars="-20" w:right="-42" w:rightChars="-20"/>
              <w:jc w:val="center"/>
              <w:rPr>
                <w:rFonts w:ascii="华文仿宋" w:hAnsi="华文仿宋" w:eastAsia="华文仿宋" w:cs="华文仿宋"/>
                <w:sz w:val="24"/>
              </w:rPr>
            </w:pPr>
            <w:r>
              <w:rPr>
                <w:rFonts w:hint="eastAsia" w:ascii="仿宋" w:hAnsi="仿宋" w:eastAsia="仿宋" w:cs="仿宋"/>
                <w:color w:val="000000"/>
                <w:kern w:val="0"/>
                <w:sz w:val="24"/>
                <w:lang w:bidi="ar"/>
              </w:rPr>
              <w:t>免费作业本质量</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良</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良</w:t>
            </w:r>
          </w:p>
        </w:tc>
      </w:tr>
      <w:tr>
        <w:tblPrEx>
          <w:tblCellMar>
            <w:top w:w="0" w:type="dxa"/>
            <w:left w:w="108" w:type="dxa"/>
            <w:bottom w:w="0" w:type="dxa"/>
            <w:right w:w="108" w:type="dxa"/>
          </w:tblCellMar>
        </w:tblPrEx>
        <w:trPr>
          <w:trHeight w:val="577"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ind w:left="423" w:leftChars="87" w:hanging="240" w:hangingChars="100"/>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生态效益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480" w:hRule="atLeast"/>
        </w:trPr>
        <w:tc>
          <w:tcPr>
            <w:tcW w:w="1809" w:type="dxa"/>
            <w:vMerge w:val="continue"/>
            <w:tcBorders>
              <w:left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rPr>
                <w:rFonts w:ascii="华文仿宋" w:hAnsi="华文仿宋" w:eastAsia="华文仿宋" w:cs="华文仿宋"/>
                <w:sz w:val="24"/>
              </w:rPr>
            </w:pP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可持续影响 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sz w:val="24"/>
              </w:rPr>
            </w:pP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p>
        </w:tc>
      </w:tr>
      <w:tr>
        <w:tblPrEx>
          <w:tblCellMar>
            <w:top w:w="0" w:type="dxa"/>
            <w:left w:w="108" w:type="dxa"/>
            <w:bottom w:w="0" w:type="dxa"/>
            <w:right w:w="108" w:type="dxa"/>
          </w:tblCellMar>
        </w:tblPrEx>
        <w:trPr>
          <w:trHeight w:val="530" w:hRule="atLeast"/>
        </w:trPr>
        <w:tc>
          <w:tcPr>
            <w:tcW w:w="1809" w:type="dxa"/>
            <w:vMerge w:val="continue"/>
            <w:tcBorders>
              <w:left w:val="single" w:color="000000" w:sz="4" w:space="0"/>
              <w:bottom w:val="single" w:color="000000" w:sz="4" w:space="0"/>
              <w:right w:val="single" w:color="000000" w:sz="4" w:space="0"/>
            </w:tcBorders>
            <w:shd w:val="clear" w:color="auto" w:fill="auto"/>
            <w:vAlign w:val="center"/>
          </w:tcPr>
          <w:p>
            <w:pPr>
              <w:spacing w:line="300" w:lineRule="exact"/>
              <w:jc w:val="center"/>
              <w:rPr>
                <w:rFonts w:ascii="华文仿宋" w:hAnsi="华文仿宋" w:eastAsia="华文仿宋" w:cs="华文仿宋"/>
                <w:sz w:val="24"/>
              </w:rPr>
            </w:pPr>
          </w:p>
        </w:tc>
        <w:tc>
          <w:tcPr>
            <w:tcW w:w="13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0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满意</w:t>
            </w:r>
          </w:p>
          <w:p>
            <w:pPr>
              <w:widowControl/>
              <w:spacing w:line="30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度指标</w:t>
            </w:r>
          </w:p>
        </w:tc>
        <w:tc>
          <w:tcPr>
            <w:tcW w:w="149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textAlignment w:val="bottom"/>
              <w:rPr>
                <w:rFonts w:ascii="华文仿宋" w:hAnsi="华文仿宋" w:eastAsia="华文仿宋" w:cs="华文仿宋"/>
                <w:kern w:val="0"/>
                <w:sz w:val="24"/>
              </w:rPr>
            </w:pPr>
            <w:r>
              <w:rPr>
                <w:rFonts w:hint="eastAsia" w:ascii="华文仿宋" w:hAnsi="华文仿宋" w:eastAsia="华文仿宋" w:cs="华文仿宋"/>
                <w:kern w:val="0"/>
                <w:sz w:val="24"/>
              </w:rPr>
              <w:t>满意度</w:t>
            </w:r>
          </w:p>
          <w:p>
            <w:pPr>
              <w:widowControl/>
              <w:spacing w:line="280" w:lineRule="exact"/>
              <w:jc w:val="center"/>
              <w:textAlignment w:val="bottom"/>
              <w:rPr>
                <w:rFonts w:ascii="华文仿宋" w:hAnsi="华文仿宋" w:eastAsia="华文仿宋" w:cs="华文仿宋"/>
                <w:sz w:val="24"/>
              </w:rPr>
            </w:pPr>
            <w:r>
              <w:rPr>
                <w:rFonts w:hint="eastAsia" w:ascii="华文仿宋" w:hAnsi="华文仿宋" w:eastAsia="华文仿宋" w:cs="华文仿宋"/>
                <w:kern w:val="0"/>
                <w:sz w:val="24"/>
              </w:rPr>
              <w:t>指标</w:t>
            </w:r>
          </w:p>
        </w:tc>
        <w:tc>
          <w:tcPr>
            <w:tcW w:w="1332"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280" w:lineRule="exact"/>
              <w:jc w:val="center"/>
              <w:rPr>
                <w:rFonts w:ascii="华文仿宋" w:hAnsi="华文仿宋" w:eastAsia="华文仿宋" w:cs="华文仿宋"/>
                <w:sz w:val="24"/>
              </w:rPr>
            </w:pPr>
            <w:r>
              <w:rPr>
                <w:rFonts w:hint="eastAsia" w:ascii="仿宋" w:hAnsi="仿宋" w:eastAsia="仿宋" w:cs="仿宋"/>
                <w:color w:val="000000"/>
                <w:kern w:val="0"/>
                <w:sz w:val="24"/>
                <w:lang w:bidi="ar"/>
              </w:rPr>
              <w:t>家长学生满意度</w:t>
            </w:r>
          </w:p>
        </w:tc>
        <w:tc>
          <w:tcPr>
            <w:tcW w:w="1224"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≥98%</w:t>
            </w:r>
          </w:p>
        </w:tc>
        <w:tc>
          <w:tcPr>
            <w:tcW w:w="2409" w:type="dxa"/>
            <w:tcBorders>
              <w:top w:val="single" w:color="000000" w:sz="4" w:space="0"/>
              <w:left w:val="single" w:color="000000" w:sz="4" w:space="0"/>
              <w:bottom w:val="single" w:color="000000" w:sz="4" w:space="0"/>
              <w:right w:val="single" w:color="000000" w:sz="4" w:space="0"/>
            </w:tcBorders>
            <w:shd w:val="clear" w:color="auto" w:fill="auto"/>
            <w:vAlign w:val="center"/>
          </w:tcPr>
          <w:p>
            <w:pPr>
              <w:widowControl/>
              <w:spacing w:line="320" w:lineRule="exact"/>
              <w:jc w:val="center"/>
              <w:textAlignment w:val="bottom"/>
              <w:rPr>
                <w:rFonts w:ascii="华文仿宋" w:hAnsi="华文仿宋" w:eastAsia="华文仿宋" w:cs="华文仿宋"/>
                <w:sz w:val="24"/>
              </w:rPr>
            </w:pPr>
            <w:r>
              <w:rPr>
                <w:rFonts w:hint="eastAsia" w:ascii="华文仿宋" w:hAnsi="华文仿宋" w:eastAsia="华文仿宋" w:cs="华文仿宋"/>
                <w:sz w:val="24"/>
              </w:rPr>
              <w:t>≥98%</w:t>
            </w:r>
          </w:p>
        </w:tc>
      </w:tr>
    </w:tbl>
    <w:p>
      <w:pPr>
        <w:pStyle w:val="2"/>
        <w:spacing w:before="93"/>
        <w:jc w:val="center"/>
        <w:rPr>
          <w:rFonts w:hint="eastAsia" w:ascii="宋体" w:hAnsi="宋体" w:eastAsia="宋体"/>
          <w:sz w:val="32"/>
          <w:szCs w:val="32"/>
        </w:rPr>
      </w:pPr>
      <w:r>
        <w:rPr>
          <w:rFonts w:hint="eastAsia" w:ascii="宋体" w:hAnsi="宋体" w:eastAsia="宋体"/>
          <w:b/>
          <w:bCs/>
          <w:sz w:val="32"/>
          <w:szCs w:val="32"/>
        </w:rPr>
        <w:t>（义务教育免作业本费项目）</w:t>
      </w:r>
    </w:p>
    <w:p>
      <w:pPr>
        <w:widowControl/>
        <w:adjustRightInd w:val="0"/>
        <w:snapToGrid w:val="0"/>
        <w:spacing w:line="580" w:lineRule="exact"/>
        <w:contextualSpacing/>
        <w:jc w:val="left"/>
      </w:pPr>
      <w:r>
        <w:rPr>
          <w:rFonts w:hint="eastAsia" w:ascii="仿宋_GB2312" w:hAnsi="宋体" w:eastAsia="仿宋_GB2312" w:cs="宋体"/>
          <w:color w:val="000000"/>
          <w:kern w:val="0"/>
          <w:sz w:val="32"/>
          <w:szCs w:val="32"/>
          <w:shd w:val="clear" w:color="auto" w:fill="FFFFFF"/>
        </w:rPr>
        <w:t>（注：有两个及以上特定目标类部门预算项目的，需分别开展绩效目标自评并填写附表）</w:t>
      </w:r>
    </w:p>
    <w:p>
      <w:pPr>
        <w:spacing w:line="600" w:lineRule="exact"/>
        <w:jc w:val="center"/>
        <w:outlineLvl w:val="0"/>
        <w:rPr>
          <w:rFonts w:hint="eastAsia" w:ascii="黑体" w:hAnsi="黑体" w:eastAsia="黑体"/>
          <w:sz w:val="44"/>
          <w:szCs w:val="44"/>
        </w:rPr>
      </w:pPr>
    </w:p>
    <w:p>
      <w:pPr>
        <w:spacing w:line="600" w:lineRule="exact"/>
        <w:jc w:val="center"/>
        <w:outlineLvl w:val="0"/>
        <w:rPr>
          <w:rFonts w:ascii="仿宋" w:hAnsi="仿宋" w:eastAsia="仿宋"/>
        </w:rPr>
      </w:pPr>
      <w:r>
        <w:rPr>
          <w:rFonts w:hint="eastAsia" w:ascii="黑体" w:hAnsi="黑体" w:eastAsia="黑体"/>
          <w:sz w:val="44"/>
          <w:szCs w:val="44"/>
        </w:rPr>
        <w:t>第</w:t>
      </w:r>
      <w:r>
        <w:rPr>
          <w:rStyle w:val="24"/>
          <w:rFonts w:hint="eastAsia" w:ascii="黑体" w:hAnsi="黑体" w:eastAsia="黑体"/>
          <w:b w:val="0"/>
        </w:rPr>
        <w:t>五部分 附表</w:t>
      </w:r>
      <w:bookmarkEnd w:id="53"/>
      <w:bookmarkEnd w:id="55"/>
      <w:bookmarkStart w:id="56" w:name="_Toc15396619"/>
    </w:p>
    <w:p>
      <w:pPr>
        <w:pStyle w:val="4"/>
        <w:rPr>
          <w:rStyle w:val="25"/>
          <w:rFonts w:ascii="仿宋" w:hAnsi="仿宋" w:eastAsia="仿宋"/>
          <w:b w:val="0"/>
          <w:bCs w:val="0"/>
        </w:rPr>
      </w:pPr>
      <w:r>
        <w:rPr>
          <w:rFonts w:hint="eastAsia" w:ascii="仿宋" w:hAnsi="仿宋" w:eastAsia="仿宋"/>
          <w:b w:val="0"/>
        </w:rPr>
        <w:t>一、收</w:t>
      </w:r>
      <w:r>
        <w:rPr>
          <w:rStyle w:val="25"/>
          <w:rFonts w:hint="eastAsia" w:ascii="仿宋" w:hAnsi="仿宋" w:eastAsia="仿宋"/>
          <w:b w:val="0"/>
          <w:bCs w:val="0"/>
        </w:rPr>
        <w:t>入支出决算总表</w:t>
      </w:r>
      <w:bookmarkEnd w:id="56"/>
    </w:p>
    <w:p>
      <w:pPr>
        <w:rPr>
          <w:rStyle w:val="25"/>
          <w:rFonts w:ascii="仿宋" w:hAnsi="仿宋" w:eastAsia="仿宋"/>
          <w:b w:val="0"/>
          <w:bCs w:val="0"/>
        </w:rPr>
      </w:pPr>
      <w:r>
        <w:rPr>
          <w:rStyle w:val="25"/>
          <w:rFonts w:ascii="仿宋" w:hAnsi="仿宋" w:eastAsia="仿宋"/>
          <w:b w:val="0"/>
          <w:bCs w:val="0"/>
        </w:rPr>
        <w:drawing>
          <wp:inline distT="0" distB="0" distL="0" distR="0">
            <wp:extent cx="5274310" cy="73945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74310" cy="7394575"/>
                    </a:xfrm>
                    <a:prstGeom prst="rect">
                      <a:avLst/>
                    </a:prstGeom>
                    <a:noFill/>
                    <a:ln>
                      <a:noFill/>
                    </a:ln>
                  </pic:spPr>
                </pic:pic>
              </a:graphicData>
            </a:graphic>
          </wp:inline>
        </w:drawing>
      </w:r>
    </w:p>
    <w:p>
      <w:pPr>
        <w:pStyle w:val="4"/>
        <w:rPr>
          <w:rStyle w:val="25"/>
          <w:rFonts w:ascii="仿宋" w:hAnsi="仿宋" w:eastAsia="仿宋"/>
          <w:b w:val="0"/>
          <w:bCs w:val="0"/>
        </w:rPr>
      </w:pPr>
      <w:bookmarkStart w:id="57" w:name="_Toc15396620"/>
      <w:r>
        <w:rPr>
          <w:rFonts w:hint="eastAsia" w:ascii="仿宋" w:hAnsi="仿宋" w:eastAsia="仿宋"/>
          <w:b w:val="0"/>
        </w:rPr>
        <w:t>二、收</w:t>
      </w:r>
      <w:r>
        <w:rPr>
          <w:rStyle w:val="25"/>
          <w:rFonts w:hint="eastAsia" w:ascii="仿宋" w:hAnsi="仿宋" w:eastAsia="仿宋"/>
          <w:b w:val="0"/>
          <w:bCs w:val="0"/>
        </w:rPr>
        <w:t>入决算表</w:t>
      </w:r>
      <w:bookmarkEnd w:id="57"/>
    </w:p>
    <w:p>
      <w:r>
        <w:drawing>
          <wp:inline distT="0" distB="0" distL="0" distR="0">
            <wp:extent cx="5274310" cy="741997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4310" cy="7419975"/>
                    </a:xfrm>
                    <a:prstGeom prst="rect">
                      <a:avLst/>
                    </a:prstGeom>
                    <a:noFill/>
                    <a:ln>
                      <a:noFill/>
                    </a:ln>
                  </pic:spPr>
                </pic:pic>
              </a:graphicData>
            </a:graphic>
          </wp:inline>
        </w:drawing>
      </w:r>
    </w:p>
    <w:p>
      <w:pPr>
        <w:pStyle w:val="2"/>
        <w:spacing w:before="93"/>
      </w:pPr>
    </w:p>
    <w:p>
      <w:pPr>
        <w:pStyle w:val="4"/>
        <w:rPr>
          <w:rStyle w:val="25"/>
          <w:rFonts w:ascii="仿宋" w:hAnsi="仿宋" w:eastAsia="仿宋"/>
          <w:b w:val="0"/>
          <w:bCs w:val="0"/>
        </w:rPr>
      </w:pPr>
      <w:r>
        <w:rPr>
          <w:rStyle w:val="25"/>
          <w:rFonts w:hint="eastAsia" w:ascii="仿宋" w:hAnsi="仿宋" w:eastAsia="仿宋"/>
          <w:b w:val="0"/>
          <w:bCs w:val="0"/>
        </w:rPr>
        <w:t>三、</w:t>
      </w:r>
      <w:bookmarkStart w:id="58" w:name="_Toc15396621"/>
      <w:r>
        <w:rPr>
          <w:rFonts w:hint="eastAsia" w:ascii="仿宋" w:hAnsi="仿宋" w:eastAsia="仿宋"/>
          <w:b w:val="0"/>
        </w:rPr>
        <w:t>支</w:t>
      </w:r>
      <w:r>
        <w:rPr>
          <w:rStyle w:val="25"/>
          <w:rFonts w:hint="eastAsia" w:ascii="仿宋" w:hAnsi="仿宋" w:eastAsia="仿宋"/>
          <w:b w:val="0"/>
          <w:bCs w:val="0"/>
        </w:rPr>
        <w:t>出决算表</w:t>
      </w:r>
      <w:bookmarkEnd w:id="58"/>
    </w:p>
    <w:p>
      <w:r>
        <w:drawing>
          <wp:inline distT="0" distB="0" distL="0" distR="0">
            <wp:extent cx="5274310" cy="744347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4310" cy="7443470"/>
                    </a:xfrm>
                    <a:prstGeom prst="rect">
                      <a:avLst/>
                    </a:prstGeom>
                    <a:noFill/>
                    <a:ln>
                      <a:noFill/>
                    </a:ln>
                  </pic:spPr>
                </pic:pic>
              </a:graphicData>
            </a:graphic>
          </wp:inline>
        </w:drawing>
      </w:r>
    </w:p>
    <w:p>
      <w:pPr>
        <w:pStyle w:val="2"/>
        <w:spacing w:before="93"/>
      </w:pPr>
    </w:p>
    <w:p>
      <w:pPr>
        <w:pStyle w:val="4"/>
        <w:rPr>
          <w:rFonts w:ascii="仿宋" w:hAnsi="仿宋" w:eastAsia="仿宋"/>
          <w:b w:val="0"/>
        </w:rPr>
      </w:pPr>
      <w:bookmarkStart w:id="59" w:name="_Toc15396622"/>
      <w:r>
        <w:rPr>
          <w:rStyle w:val="25"/>
          <w:rFonts w:hint="eastAsia" w:ascii="仿宋" w:hAnsi="仿宋" w:eastAsia="仿宋"/>
          <w:b w:val="0"/>
          <w:bCs w:val="0"/>
        </w:rPr>
        <w:t>四、</w:t>
      </w:r>
      <w:r>
        <w:rPr>
          <w:rFonts w:hint="eastAsia" w:ascii="仿宋" w:hAnsi="仿宋" w:eastAsia="仿宋"/>
          <w:b w:val="0"/>
        </w:rPr>
        <w:t>财</w:t>
      </w:r>
      <w:r>
        <w:rPr>
          <w:rStyle w:val="25"/>
          <w:rFonts w:hint="eastAsia" w:ascii="仿宋" w:hAnsi="仿宋" w:eastAsia="仿宋"/>
          <w:b w:val="0"/>
          <w:bCs w:val="0"/>
        </w:rPr>
        <w:t>政拨款收入支出决算总表</w:t>
      </w:r>
      <w:bookmarkEnd w:id="59"/>
    </w:p>
    <w:p>
      <w:pPr>
        <w:pStyle w:val="4"/>
        <w:rPr>
          <w:rStyle w:val="25"/>
          <w:rFonts w:ascii="仿宋" w:hAnsi="仿宋" w:eastAsia="仿宋"/>
          <w:b w:val="0"/>
          <w:bCs w:val="0"/>
        </w:rPr>
      </w:pPr>
      <w:bookmarkStart w:id="60" w:name="_Toc15396623"/>
      <w:r>
        <w:rPr>
          <w:rStyle w:val="25"/>
          <w:rFonts w:ascii="仿宋" w:hAnsi="仿宋" w:eastAsia="仿宋"/>
          <w:b w:val="0"/>
          <w:bCs w:val="0"/>
        </w:rPr>
        <w:drawing>
          <wp:inline distT="0" distB="0" distL="0" distR="0">
            <wp:extent cx="5274310" cy="740156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4310" cy="740156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hint="eastAsia" w:ascii="仿宋" w:hAnsi="仿宋" w:eastAsia="仿宋"/>
          <w:b w:val="0"/>
          <w:bCs w:val="0"/>
        </w:rPr>
        <w:t>五、</w:t>
      </w:r>
      <w:r>
        <w:rPr>
          <w:rFonts w:hint="eastAsia" w:ascii="仿宋" w:hAnsi="仿宋" w:eastAsia="仿宋"/>
          <w:b w:val="0"/>
        </w:rPr>
        <w:t>财</w:t>
      </w:r>
      <w:r>
        <w:rPr>
          <w:rStyle w:val="25"/>
          <w:rFonts w:hint="eastAsia" w:ascii="仿宋" w:hAnsi="仿宋" w:eastAsia="仿宋"/>
          <w:b w:val="0"/>
          <w:bCs w:val="0"/>
        </w:rPr>
        <w:t>政拨款支出决算明细表</w:t>
      </w:r>
      <w:bookmarkEnd w:id="60"/>
      <w:bookmarkStart w:id="61" w:name="_Toc15396624"/>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4601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4310" cy="744601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345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4310" cy="743458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0727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274310" cy="740727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六、</w:t>
      </w:r>
      <w:r>
        <w:rPr>
          <w:rFonts w:hint="eastAsia" w:ascii="仿宋" w:hAnsi="仿宋" w:eastAsia="仿宋"/>
          <w:b w:val="0"/>
        </w:rPr>
        <w:t>一</w:t>
      </w:r>
      <w:r>
        <w:rPr>
          <w:rStyle w:val="25"/>
          <w:rFonts w:hint="eastAsia" w:ascii="仿宋" w:hAnsi="仿宋" w:eastAsia="仿宋"/>
          <w:b w:val="0"/>
          <w:bCs w:val="0"/>
        </w:rPr>
        <w:t>般公共预算财政拨款支出决算表</w:t>
      </w:r>
      <w:bookmarkEnd w:id="61"/>
    </w:p>
    <w:p>
      <w:pPr>
        <w:pStyle w:val="4"/>
        <w:rPr>
          <w:rStyle w:val="25"/>
          <w:rFonts w:ascii="仿宋" w:hAnsi="仿宋" w:eastAsia="仿宋"/>
          <w:b w:val="0"/>
          <w:bCs w:val="0"/>
        </w:rPr>
      </w:pPr>
      <w:bookmarkStart w:id="62" w:name="_Toc15396625"/>
      <w:r>
        <w:rPr>
          <w:rStyle w:val="25"/>
          <w:rFonts w:ascii="仿宋" w:hAnsi="仿宋" w:eastAsia="仿宋"/>
          <w:b w:val="0"/>
          <w:bCs w:val="0"/>
        </w:rPr>
        <w:drawing>
          <wp:inline distT="0" distB="0" distL="0" distR="0">
            <wp:extent cx="5274310" cy="743267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74310" cy="743267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七、</w:t>
      </w:r>
      <w:r>
        <w:rPr>
          <w:rFonts w:hint="eastAsia" w:ascii="仿宋" w:hAnsi="仿宋" w:eastAsia="仿宋"/>
          <w:b w:val="0"/>
        </w:rPr>
        <w:t>一</w:t>
      </w:r>
      <w:r>
        <w:rPr>
          <w:rStyle w:val="25"/>
          <w:rFonts w:hint="eastAsia" w:ascii="仿宋" w:hAnsi="仿宋" w:eastAsia="仿宋"/>
          <w:b w:val="0"/>
          <w:bCs w:val="0"/>
        </w:rPr>
        <w:t>般公共预算财政拨款支出决算明细表</w:t>
      </w:r>
      <w:bookmarkEnd w:id="62"/>
    </w:p>
    <w:p>
      <w:pPr>
        <w:pStyle w:val="4"/>
        <w:rPr>
          <w:rStyle w:val="25"/>
          <w:rFonts w:ascii="仿宋" w:hAnsi="仿宋" w:eastAsia="仿宋"/>
          <w:b w:val="0"/>
          <w:bCs w:val="0"/>
        </w:rPr>
      </w:pPr>
      <w:bookmarkStart w:id="63" w:name="_Toc15396626"/>
      <w:r>
        <w:rPr>
          <w:rStyle w:val="25"/>
          <w:rFonts w:ascii="仿宋" w:hAnsi="仿宋" w:eastAsia="仿宋"/>
          <w:b w:val="0"/>
          <w:bCs w:val="0"/>
        </w:rPr>
        <w:drawing>
          <wp:inline distT="0" distB="0" distL="0" distR="0">
            <wp:extent cx="5274310" cy="744728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4310" cy="744728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415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4310" cy="744156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2823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74310" cy="742823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472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4310" cy="744728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2378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274310" cy="7423785"/>
                    </a:xfrm>
                    <a:prstGeom prst="rect">
                      <a:avLst/>
                    </a:prstGeom>
                    <a:noFill/>
                    <a:ln>
                      <a:noFill/>
                    </a:ln>
                  </pic:spPr>
                </pic:pic>
              </a:graphicData>
            </a:graphic>
          </wp:inline>
        </w:drawing>
      </w:r>
    </w:p>
    <w:p/>
    <w:p>
      <w:pPr>
        <w:pStyle w:val="2"/>
        <w:spacing w:before="93"/>
      </w:pPr>
    </w:p>
    <w:p>
      <w:pPr>
        <w:pStyle w:val="2"/>
        <w:spacing w:before="93"/>
      </w:pPr>
    </w:p>
    <w:p>
      <w:pPr>
        <w:pStyle w:val="2"/>
        <w:spacing w:before="93"/>
      </w:pPr>
      <w:r>
        <w:drawing>
          <wp:inline distT="0" distB="0" distL="0" distR="0">
            <wp:extent cx="5274310" cy="737806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4310" cy="7378065"/>
                    </a:xfrm>
                    <a:prstGeom prst="rect">
                      <a:avLst/>
                    </a:prstGeom>
                    <a:noFill/>
                    <a:ln>
                      <a:noFill/>
                    </a:ln>
                  </pic:spPr>
                </pic:pic>
              </a:graphicData>
            </a:graphic>
          </wp:inline>
        </w:drawing>
      </w:r>
    </w:p>
    <w:p>
      <w:pPr>
        <w:pStyle w:val="2"/>
        <w:spacing w:before="93"/>
        <w:rPr>
          <w:rFonts w:hint="eastAsia"/>
        </w:rPr>
      </w:pPr>
    </w:p>
    <w:p>
      <w:pPr>
        <w:pStyle w:val="4"/>
        <w:rPr>
          <w:rStyle w:val="25"/>
          <w:rFonts w:ascii="仿宋" w:hAnsi="仿宋" w:eastAsia="仿宋"/>
          <w:b w:val="0"/>
          <w:bCs w:val="0"/>
        </w:rPr>
      </w:pPr>
      <w:r>
        <w:rPr>
          <w:rStyle w:val="25"/>
          <w:rFonts w:ascii="仿宋" w:hAnsi="仿宋" w:eastAsia="仿宋"/>
          <w:b w:val="0"/>
          <w:bCs w:val="0"/>
        </w:rPr>
        <w:drawing>
          <wp:inline distT="0" distB="0" distL="0" distR="0">
            <wp:extent cx="5274310" cy="74498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4310" cy="7449820"/>
                    </a:xfrm>
                    <a:prstGeom prst="rect">
                      <a:avLst/>
                    </a:prstGeom>
                    <a:noFill/>
                    <a:ln>
                      <a:noFill/>
                    </a:ln>
                  </pic:spPr>
                </pic:pic>
              </a:graphicData>
            </a:graphic>
          </wp:inline>
        </w:drawing>
      </w:r>
    </w:p>
    <w:p/>
    <w:p>
      <w:pPr>
        <w:pStyle w:val="2"/>
        <w:spacing w:before="93"/>
      </w:pPr>
    </w:p>
    <w:p>
      <w:pPr>
        <w:pStyle w:val="2"/>
        <w:spacing w:before="93"/>
      </w:pPr>
    </w:p>
    <w:p>
      <w:pPr>
        <w:pStyle w:val="2"/>
        <w:spacing w:before="93"/>
      </w:pPr>
      <w:r>
        <w:drawing>
          <wp:inline distT="0" distB="0" distL="0" distR="0">
            <wp:extent cx="5274310" cy="74434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4310" cy="7443470"/>
                    </a:xfrm>
                    <a:prstGeom prst="rect">
                      <a:avLst/>
                    </a:prstGeom>
                    <a:noFill/>
                    <a:ln>
                      <a:noFill/>
                    </a:ln>
                  </pic:spPr>
                </pic:pic>
              </a:graphicData>
            </a:graphic>
          </wp:inline>
        </w:drawing>
      </w:r>
    </w:p>
    <w:p>
      <w:pPr>
        <w:pStyle w:val="2"/>
        <w:spacing w:before="93"/>
      </w:pPr>
    </w:p>
    <w:p>
      <w:pPr>
        <w:pStyle w:val="2"/>
        <w:spacing w:before="93"/>
      </w:pPr>
    </w:p>
    <w:p>
      <w:pPr>
        <w:pStyle w:val="2"/>
        <w:spacing w:before="93"/>
      </w:pPr>
    </w:p>
    <w:p>
      <w:pPr>
        <w:pStyle w:val="4"/>
        <w:rPr>
          <w:rFonts w:ascii="仿宋" w:hAnsi="仿宋" w:eastAsia="仿宋"/>
        </w:rPr>
      </w:pPr>
      <w:r>
        <w:rPr>
          <w:rStyle w:val="25"/>
          <w:rFonts w:hint="eastAsia" w:ascii="仿宋" w:hAnsi="仿宋" w:eastAsia="仿宋"/>
          <w:b w:val="0"/>
          <w:bCs w:val="0"/>
        </w:rPr>
        <w:t>八、</w:t>
      </w:r>
      <w:r>
        <w:rPr>
          <w:rFonts w:hint="eastAsia" w:ascii="仿宋" w:hAnsi="仿宋" w:eastAsia="仿宋"/>
          <w:b w:val="0"/>
        </w:rPr>
        <w:t>一</w:t>
      </w:r>
      <w:r>
        <w:rPr>
          <w:rStyle w:val="25"/>
          <w:rFonts w:hint="eastAsia" w:ascii="仿宋" w:hAnsi="仿宋" w:eastAsia="仿宋"/>
          <w:b w:val="0"/>
          <w:bCs w:val="0"/>
        </w:rPr>
        <w:t>般公共预算财政拨款基本支出决算表</w:t>
      </w:r>
      <w:bookmarkEnd w:id="63"/>
    </w:p>
    <w:p>
      <w:pPr>
        <w:pStyle w:val="4"/>
        <w:rPr>
          <w:rStyle w:val="25"/>
          <w:rFonts w:ascii="仿宋" w:hAnsi="仿宋" w:eastAsia="仿宋"/>
          <w:b w:val="0"/>
          <w:bCs w:val="0"/>
        </w:rPr>
      </w:pPr>
      <w:bookmarkStart w:id="64" w:name="_Toc15396627"/>
      <w:r>
        <w:rPr>
          <w:rStyle w:val="25"/>
          <w:rFonts w:ascii="仿宋" w:hAnsi="仿宋" w:eastAsia="仿宋"/>
          <w:b w:val="0"/>
          <w:bCs w:val="0"/>
        </w:rPr>
        <w:drawing>
          <wp:inline distT="0" distB="0" distL="0" distR="0">
            <wp:extent cx="5274310" cy="743077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274310" cy="743077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九、</w:t>
      </w:r>
      <w:r>
        <w:rPr>
          <w:rFonts w:hint="eastAsia" w:ascii="仿宋" w:hAnsi="仿宋" w:eastAsia="仿宋"/>
          <w:b w:val="0"/>
        </w:rPr>
        <w:t>一</w:t>
      </w:r>
      <w:r>
        <w:rPr>
          <w:rStyle w:val="25"/>
          <w:rFonts w:hint="eastAsia" w:ascii="仿宋" w:hAnsi="仿宋" w:eastAsia="仿宋"/>
          <w:b w:val="0"/>
          <w:bCs w:val="0"/>
        </w:rPr>
        <w:t>般公共预算财政拨款项目支出决算表</w:t>
      </w:r>
      <w:bookmarkEnd w:id="64"/>
    </w:p>
    <w:p>
      <w:pPr>
        <w:pStyle w:val="4"/>
        <w:rPr>
          <w:rStyle w:val="25"/>
          <w:rFonts w:ascii="仿宋" w:hAnsi="仿宋" w:eastAsia="仿宋"/>
          <w:b w:val="0"/>
          <w:bCs w:val="0"/>
        </w:rPr>
      </w:pPr>
      <w:bookmarkStart w:id="65" w:name="_Toc15396628"/>
      <w:r>
        <w:rPr>
          <w:rStyle w:val="25"/>
          <w:rFonts w:ascii="仿宋" w:hAnsi="仿宋" w:eastAsia="仿宋"/>
          <w:b w:val="0"/>
          <w:bCs w:val="0"/>
        </w:rPr>
        <w:drawing>
          <wp:inline distT="0" distB="0" distL="0" distR="0">
            <wp:extent cx="5274310" cy="740537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74310" cy="7405370"/>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十、</w:t>
      </w:r>
      <w:r>
        <w:rPr>
          <w:rFonts w:hint="eastAsia" w:ascii="仿宋" w:hAnsi="仿宋" w:eastAsia="仿宋"/>
          <w:b w:val="0"/>
        </w:rPr>
        <w:t>一</w:t>
      </w:r>
      <w:r>
        <w:rPr>
          <w:rStyle w:val="25"/>
          <w:rFonts w:hint="eastAsia" w:ascii="仿宋" w:hAnsi="仿宋" w:eastAsia="仿宋"/>
          <w:b w:val="0"/>
          <w:bCs w:val="0"/>
        </w:rPr>
        <w:t>般公共预算财政拨款“三公”经费支出决算表</w:t>
      </w:r>
      <w:bookmarkEnd w:id="65"/>
    </w:p>
    <w:p>
      <w:pPr>
        <w:pStyle w:val="4"/>
        <w:rPr>
          <w:rStyle w:val="25"/>
          <w:rFonts w:ascii="仿宋" w:hAnsi="仿宋" w:eastAsia="仿宋"/>
          <w:b w:val="0"/>
          <w:bCs w:val="0"/>
        </w:rPr>
      </w:pPr>
      <w:bookmarkStart w:id="66" w:name="_Toc15396629"/>
      <w:r>
        <w:rPr>
          <w:rStyle w:val="25"/>
          <w:rFonts w:ascii="仿宋" w:hAnsi="仿宋" w:eastAsia="仿宋"/>
          <w:b w:val="0"/>
          <w:bCs w:val="0"/>
        </w:rPr>
        <w:drawing>
          <wp:inline distT="0" distB="0" distL="0" distR="0">
            <wp:extent cx="5274310" cy="739584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74310" cy="739584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十一、</w:t>
      </w:r>
      <w:r>
        <w:rPr>
          <w:rFonts w:hint="eastAsia" w:ascii="仿宋" w:hAnsi="仿宋" w:eastAsia="仿宋"/>
          <w:b w:val="0"/>
        </w:rPr>
        <w:t>政</w:t>
      </w:r>
      <w:r>
        <w:rPr>
          <w:rStyle w:val="25"/>
          <w:rFonts w:hint="eastAsia" w:ascii="仿宋" w:hAnsi="仿宋" w:eastAsia="仿宋"/>
          <w:b w:val="0"/>
          <w:bCs w:val="0"/>
        </w:rPr>
        <w:t>府性基金预算财政拨款收入支出决算表</w:t>
      </w:r>
      <w:bookmarkEnd w:id="66"/>
    </w:p>
    <w:p>
      <w:pPr>
        <w:pStyle w:val="4"/>
        <w:rPr>
          <w:rStyle w:val="25"/>
          <w:rFonts w:ascii="仿宋" w:hAnsi="仿宋" w:eastAsia="仿宋"/>
          <w:b w:val="0"/>
          <w:bCs w:val="0"/>
        </w:rPr>
      </w:pPr>
      <w:bookmarkStart w:id="67" w:name="_Toc15396630"/>
      <w:r>
        <w:rPr>
          <w:rStyle w:val="25"/>
          <w:rFonts w:ascii="仿宋" w:hAnsi="仿宋" w:eastAsia="仿宋"/>
          <w:b w:val="0"/>
          <w:bCs w:val="0"/>
        </w:rPr>
        <w:drawing>
          <wp:inline distT="0" distB="0" distL="0" distR="0">
            <wp:extent cx="5274310" cy="740854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74310" cy="740854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Fonts w:ascii="仿宋" w:hAnsi="仿宋" w:eastAsia="仿宋"/>
        </w:rPr>
      </w:pPr>
      <w:r>
        <w:rPr>
          <w:rStyle w:val="25"/>
          <w:rFonts w:hint="eastAsia" w:ascii="仿宋" w:hAnsi="仿宋" w:eastAsia="仿宋"/>
          <w:b w:val="0"/>
          <w:bCs w:val="0"/>
        </w:rPr>
        <w:t>十二、</w:t>
      </w:r>
      <w:r>
        <w:rPr>
          <w:rFonts w:hint="eastAsia" w:ascii="仿宋" w:hAnsi="仿宋" w:eastAsia="仿宋"/>
          <w:b w:val="0"/>
        </w:rPr>
        <w:t>政</w:t>
      </w:r>
      <w:r>
        <w:rPr>
          <w:rStyle w:val="25"/>
          <w:rFonts w:hint="eastAsia" w:ascii="仿宋" w:hAnsi="仿宋" w:eastAsia="仿宋"/>
          <w:b w:val="0"/>
          <w:bCs w:val="0"/>
        </w:rPr>
        <w:t>府性基金预算财政拨款“三公”经费支出决算表</w:t>
      </w:r>
      <w:bookmarkEnd w:id="67"/>
    </w:p>
    <w:p>
      <w:pPr>
        <w:pStyle w:val="4"/>
        <w:rPr>
          <w:rStyle w:val="25"/>
          <w:rFonts w:ascii="仿宋" w:hAnsi="仿宋" w:eastAsia="仿宋"/>
          <w:b w:val="0"/>
          <w:bCs w:val="0"/>
        </w:rPr>
      </w:pPr>
      <w:bookmarkStart w:id="68" w:name="_Toc15396631"/>
      <w:r>
        <w:rPr>
          <w:rStyle w:val="25"/>
          <w:rFonts w:ascii="仿宋" w:hAnsi="仿宋" w:eastAsia="仿宋"/>
          <w:b w:val="0"/>
          <w:bCs w:val="0"/>
        </w:rPr>
        <w:drawing>
          <wp:inline distT="0" distB="0" distL="0" distR="0">
            <wp:extent cx="5274310" cy="736917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310" cy="7369175"/>
                    </a:xfrm>
                    <a:prstGeom prst="rect">
                      <a:avLst/>
                    </a:prstGeom>
                    <a:noFill/>
                    <a:ln>
                      <a:noFill/>
                    </a:ln>
                  </pic:spPr>
                </pic:pic>
              </a:graphicData>
            </a:graphic>
          </wp:inline>
        </w:drawing>
      </w:r>
    </w:p>
    <w:p>
      <w:pPr>
        <w:pStyle w:val="4"/>
        <w:rPr>
          <w:rStyle w:val="25"/>
          <w:rFonts w:ascii="仿宋" w:hAnsi="仿宋" w:eastAsia="仿宋"/>
          <w:b w:val="0"/>
          <w:bCs w:val="0"/>
        </w:rPr>
      </w:pPr>
    </w:p>
    <w:p>
      <w:pPr>
        <w:pStyle w:val="4"/>
        <w:rPr>
          <w:rStyle w:val="25"/>
          <w:rFonts w:ascii="仿宋" w:hAnsi="仿宋" w:eastAsia="仿宋"/>
          <w:b w:val="0"/>
          <w:bCs w:val="0"/>
        </w:rPr>
      </w:pPr>
      <w:r>
        <w:rPr>
          <w:rStyle w:val="25"/>
          <w:rFonts w:hint="eastAsia" w:ascii="仿宋" w:hAnsi="仿宋" w:eastAsia="仿宋"/>
          <w:b w:val="0"/>
          <w:bCs w:val="0"/>
        </w:rPr>
        <w:t>十三、</w:t>
      </w:r>
      <w:r>
        <w:rPr>
          <w:rFonts w:hint="eastAsia" w:ascii="仿宋" w:hAnsi="仿宋" w:eastAsia="仿宋"/>
          <w:b w:val="0"/>
        </w:rPr>
        <w:t>国</w:t>
      </w:r>
      <w:r>
        <w:rPr>
          <w:rStyle w:val="25"/>
          <w:rFonts w:hint="eastAsia" w:ascii="仿宋" w:hAnsi="仿宋" w:eastAsia="仿宋"/>
          <w:b w:val="0"/>
          <w:bCs w:val="0"/>
        </w:rPr>
        <w:t>有资本经营预算财政拨款收入支出决算表</w:t>
      </w:r>
      <w:bookmarkEnd w:id="68"/>
    </w:p>
    <w:p>
      <w:pPr>
        <w:rPr>
          <w:rStyle w:val="25"/>
          <w:rFonts w:ascii="仿宋" w:hAnsi="仿宋" w:eastAsia="仿宋"/>
          <w:b w:val="0"/>
          <w:bCs w:val="0"/>
        </w:rPr>
      </w:pPr>
      <w:r>
        <w:rPr>
          <w:rStyle w:val="25"/>
          <w:rFonts w:ascii="仿宋" w:hAnsi="仿宋" w:eastAsia="仿宋"/>
          <w:b w:val="0"/>
          <w:bCs w:val="0"/>
        </w:rPr>
        <w:drawing>
          <wp:inline distT="0" distB="0" distL="0" distR="0">
            <wp:extent cx="5274310" cy="744474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4310" cy="7444740"/>
                    </a:xfrm>
                    <a:prstGeom prst="rect">
                      <a:avLst/>
                    </a:prstGeom>
                    <a:noFill/>
                    <a:ln>
                      <a:noFill/>
                    </a:ln>
                  </pic:spPr>
                </pic:pic>
              </a:graphicData>
            </a:graphic>
          </wp:inline>
        </w:drawing>
      </w:r>
    </w:p>
    <w:p>
      <w:pPr>
        <w:rPr>
          <w:rStyle w:val="25"/>
          <w:rFonts w:ascii="仿宋" w:hAnsi="仿宋" w:eastAsia="仿宋"/>
          <w:b w:val="0"/>
          <w:bCs w:val="0"/>
        </w:rPr>
      </w:pPr>
    </w:p>
    <w:p>
      <w:pPr>
        <w:rPr>
          <w:rStyle w:val="25"/>
          <w:rFonts w:ascii="仿宋" w:hAnsi="仿宋" w:eastAsia="仿宋"/>
          <w:b w:val="0"/>
          <w:bCs w:val="0"/>
        </w:rPr>
      </w:pPr>
    </w:p>
    <w:p>
      <w:pPr>
        <w:rPr>
          <w:rStyle w:val="25"/>
          <w:rFonts w:ascii="仿宋" w:hAnsi="仿宋" w:eastAsia="仿宋"/>
          <w:b w:val="0"/>
          <w:bCs w:val="0"/>
        </w:rPr>
      </w:pPr>
      <w:r>
        <w:rPr>
          <w:rStyle w:val="25"/>
          <w:rFonts w:hint="eastAsia" w:ascii="仿宋" w:hAnsi="仿宋" w:eastAsia="仿宋"/>
          <w:b w:val="0"/>
          <w:bCs w:val="0"/>
        </w:rPr>
        <w:t>十四、国有资本经营预算财政拨款支出决算表</w:t>
      </w:r>
    </w:p>
    <w:p>
      <w:pPr>
        <w:pStyle w:val="2"/>
        <w:spacing w:before="93"/>
        <w:rPr>
          <w:rFonts w:hint="eastAsia"/>
        </w:rPr>
      </w:pPr>
      <w:r>
        <w:drawing>
          <wp:inline distT="0" distB="0" distL="0" distR="0">
            <wp:extent cx="5274310" cy="736917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274310" cy="7369175"/>
                    </a:xfrm>
                    <a:prstGeom prst="rect">
                      <a:avLst/>
                    </a:prstGeom>
                    <a:noFill/>
                    <a:ln>
                      <a:noFill/>
                    </a:ln>
                  </pic:spPr>
                </pic:pic>
              </a:graphicData>
            </a:graphic>
          </wp:inline>
        </w:drawing>
      </w:r>
    </w:p>
    <w:sectPr>
      <w:headerReference r:id="rId3" w:type="default"/>
      <w:footerReference r:id="rId4" w:type="default"/>
      <w:pgSz w:w="11906" w:h="16838"/>
      <w:pgMar w:top="1440" w:right="1800" w:bottom="1440" w:left="1800" w:header="851" w:footer="992" w:gutter="0"/>
      <w:pgNumType w:start="1"/>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华文仿宋">
    <w:altName w:val="仿宋"/>
    <w:panose1 w:val="02010600040101010101"/>
    <w:charset w:val="86"/>
    <w:family w:val="auto"/>
    <w:pitch w:val="default"/>
    <w:sig w:usb0="00000000" w:usb1="00000000" w:usb2="00000010" w:usb3="00000000" w:csb0="0004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94781956"/>
    </w:sdtPr>
    <w:sdtContent>
      <w:p>
        <w:pPr>
          <w:pStyle w:val="8"/>
          <w:jc w:val="center"/>
        </w:pPr>
        <w:r>
          <w:fldChar w:fldCharType="begin"/>
        </w:r>
        <w:r>
          <w:instrText xml:space="preserve">PAGE   \* MERGEFORMAT</w:instrText>
        </w:r>
        <w:r>
          <w:fldChar w:fldCharType="separate"/>
        </w:r>
        <w:r>
          <w:rPr>
            <w:lang w:val="zh-CN"/>
          </w:rPr>
          <w:t>3</w:t>
        </w:r>
        <w:r>
          <w:fldChar w:fldCharType="end"/>
        </w:r>
      </w:p>
    </w:sdtContent>
  </w:sdt>
  <w:p>
    <w:pPr>
      <w:pStyle w:val="8"/>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CF652CEC"/>
    <w:multiLevelType w:val="singleLevel"/>
    <w:tmpl w:val="CF652CEC"/>
    <w:lvl w:ilvl="0" w:tentative="0">
      <w:start w:val="9"/>
      <w:numFmt w:val="chineseCounting"/>
      <w:suff w:val="nothing"/>
      <w:lvlText w:val="%1、"/>
      <w:lvlJc w:val="left"/>
      <w:rPr>
        <w:rFonts w:hint="eastAsia"/>
      </w:rPr>
    </w:lvl>
  </w:abstractNum>
  <w:abstractNum w:abstractNumId="1">
    <w:nsid w:val="D50D1E72"/>
    <w:multiLevelType w:val="singleLevel"/>
    <w:tmpl w:val="D50D1E72"/>
    <w:lvl w:ilvl="0" w:tentative="0">
      <w:start w:val="3"/>
      <w:numFmt w:val="decimal"/>
      <w:lvlText w:val="%1."/>
      <w:lvlJc w:val="left"/>
      <w:pPr>
        <w:tabs>
          <w:tab w:val="left" w:pos="312"/>
        </w:tabs>
      </w:pPr>
    </w:lvl>
  </w:abstractNum>
  <w:abstractNum w:abstractNumId="2">
    <w:nsid w:val="E2FA047D"/>
    <w:multiLevelType w:val="singleLevel"/>
    <w:tmpl w:val="E2FA047D"/>
    <w:lvl w:ilvl="0" w:tentative="0">
      <w:start w:val="3"/>
      <w:numFmt w:val="chineseCounting"/>
      <w:suff w:val="space"/>
      <w:lvlText w:val="第%1部分"/>
      <w:lvlJc w:val="left"/>
      <w:rPr>
        <w:rFonts w:hint="eastAsia" w:ascii="黑体" w:hAnsi="黑体" w:eastAsia="黑体" w:cs="黑体"/>
        <w:sz w:val="44"/>
        <w:szCs w:val="44"/>
      </w:rPr>
    </w:lvl>
  </w:abstractNum>
  <w:abstractNum w:abstractNumId="3">
    <w:nsid w:val="1272550B"/>
    <w:multiLevelType w:val="multilevel"/>
    <w:tmpl w:val="1272550B"/>
    <w:lvl w:ilvl="0" w:tentative="0">
      <w:start w:val="1"/>
      <w:numFmt w:val="japaneseCounting"/>
      <w:lvlText w:val="%1、"/>
      <w:lvlJc w:val="left"/>
      <w:pPr>
        <w:ind w:left="1360" w:hanging="720"/>
      </w:pPr>
      <w:rPr>
        <w:rFonts w:hint="default"/>
        <w:b w:val="0"/>
      </w:rPr>
    </w:lvl>
    <w:lvl w:ilvl="1" w:tentative="0">
      <w:start w:val="1"/>
      <w:numFmt w:val="lowerLetter"/>
      <w:lvlText w:val="%2)"/>
      <w:lvlJc w:val="left"/>
      <w:pPr>
        <w:ind w:left="1480" w:hanging="420"/>
      </w:pPr>
    </w:lvl>
    <w:lvl w:ilvl="2" w:tentative="0">
      <w:start w:val="1"/>
      <w:numFmt w:val="lowerRoman"/>
      <w:lvlText w:val="%3."/>
      <w:lvlJc w:val="right"/>
      <w:pPr>
        <w:ind w:left="1900" w:hanging="420"/>
      </w:pPr>
    </w:lvl>
    <w:lvl w:ilvl="3" w:tentative="0">
      <w:start w:val="1"/>
      <w:numFmt w:val="decimal"/>
      <w:lvlText w:val="%4."/>
      <w:lvlJc w:val="left"/>
      <w:pPr>
        <w:ind w:left="2320" w:hanging="420"/>
      </w:pPr>
    </w:lvl>
    <w:lvl w:ilvl="4" w:tentative="0">
      <w:start w:val="1"/>
      <w:numFmt w:val="lowerLetter"/>
      <w:lvlText w:val="%5)"/>
      <w:lvlJc w:val="left"/>
      <w:pPr>
        <w:ind w:left="2740" w:hanging="420"/>
      </w:pPr>
    </w:lvl>
    <w:lvl w:ilvl="5" w:tentative="0">
      <w:start w:val="1"/>
      <w:numFmt w:val="lowerRoman"/>
      <w:lvlText w:val="%6."/>
      <w:lvlJc w:val="right"/>
      <w:pPr>
        <w:ind w:left="3160" w:hanging="420"/>
      </w:pPr>
    </w:lvl>
    <w:lvl w:ilvl="6" w:tentative="0">
      <w:start w:val="1"/>
      <w:numFmt w:val="decimal"/>
      <w:lvlText w:val="%7."/>
      <w:lvlJc w:val="left"/>
      <w:pPr>
        <w:ind w:left="3580" w:hanging="420"/>
      </w:pPr>
    </w:lvl>
    <w:lvl w:ilvl="7" w:tentative="0">
      <w:start w:val="1"/>
      <w:numFmt w:val="lowerLetter"/>
      <w:lvlText w:val="%8)"/>
      <w:lvlJc w:val="left"/>
      <w:pPr>
        <w:ind w:left="4000" w:hanging="420"/>
      </w:pPr>
    </w:lvl>
    <w:lvl w:ilvl="8" w:tentative="0">
      <w:start w:val="1"/>
      <w:numFmt w:val="lowerRoman"/>
      <w:lvlText w:val="%9."/>
      <w:lvlJc w:val="right"/>
      <w:pPr>
        <w:ind w:left="4420" w:hanging="420"/>
      </w:pPr>
    </w:lvl>
  </w:abstractNum>
  <w:abstractNum w:abstractNumId="4">
    <w:nsid w:val="3BD80BF3"/>
    <w:multiLevelType w:val="singleLevel"/>
    <w:tmpl w:val="3BD80BF3"/>
    <w:lvl w:ilvl="0" w:tentative="0">
      <w:start w:val="1"/>
      <w:numFmt w:val="chineseCounting"/>
      <w:suff w:val="nothing"/>
      <w:lvlText w:val="%1、"/>
      <w:lvlJc w:val="left"/>
      <w:rPr>
        <w:rFonts w:hint="eastAsia"/>
      </w:rPr>
    </w:lvl>
  </w:abstractNum>
  <w:num w:numId="1">
    <w:abstractNumId w:val="4"/>
  </w:num>
  <w:num w:numId="2">
    <w:abstractNumId w:val="3"/>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2"/>
  </w:compat>
  <w:rsids>
    <w:rsidRoot w:val="00F1361C"/>
    <w:rsid w:val="000222C6"/>
    <w:rsid w:val="0002549F"/>
    <w:rsid w:val="000468DB"/>
    <w:rsid w:val="0006487A"/>
    <w:rsid w:val="00065F8F"/>
    <w:rsid w:val="00070A43"/>
    <w:rsid w:val="000768F2"/>
    <w:rsid w:val="0009184B"/>
    <w:rsid w:val="00094236"/>
    <w:rsid w:val="0009593C"/>
    <w:rsid w:val="00097322"/>
    <w:rsid w:val="000A6A92"/>
    <w:rsid w:val="000B047F"/>
    <w:rsid w:val="000B5923"/>
    <w:rsid w:val="000B5A48"/>
    <w:rsid w:val="000B6FF3"/>
    <w:rsid w:val="000C3467"/>
    <w:rsid w:val="000C3CA6"/>
    <w:rsid w:val="000D1267"/>
    <w:rsid w:val="000D1D50"/>
    <w:rsid w:val="000D5782"/>
    <w:rsid w:val="000E6613"/>
    <w:rsid w:val="000E7119"/>
    <w:rsid w:val="00114E9B"/>
    <w:rsid w:val="00142216"/>
    <w:rsid w:val="00144D6A"/>
    <w:rsid w:val="0014729F"/>
    <w:rsid w:val="00157BAB"/>
    <w:rsid w:val="001654D1"/>
    <w:rsid w:val="00174518"/>
    <w:rsid w:val="00174E20"/>
    <w:rsid w:val="0018106D"/>
    <w:rsid w:val="001877A7"/>
    <w:rsid w:val="00191536"/>
    <w:rsid w:val="00196687"/>
    <w:rsid w:val="001C0962"/>
    <w:rsid w:val="001D7531"/>
    <w:rsid w:val="001E737D"/>
    <w:rsid w:val="001F0592"/>
    <w:rsid w:val="001F7506"/>
    <w:rsid w:val="002006CD"/>
    <w:rsid w:val="00202B36"/>
    <w:rsid w:val="00204B7A"/>
    <w:rsid w:val="00204CDE"/>
    <w:rsid w:val="0021101A"/>
    <w:rsid w:val="00220536"/>
    <w:rsid w:val="00235629"/>
    <w:rsid w:val="00260C38"/>
    <w:rsid w:val="002616C0"/>
    <w:rsid w:val="00265372"/>
    <w:rsid w:val="002662AA"/>
    <w:rsid w:val="00280496"/>
    <w:rsid w:val="00294DC9"/>
    <w:rsid w:val="00295495"/>
    <w:rsid w:val="002A31DE"/>
    <w:rsid w:val="002B2613"/>
    <w:rsid w:val="002D6D05"/>
    <w:rsid w:val="002F1818"/>
    <w:rsid w:val="002F567B"/>
    <w:rsid w:val="003216A9"/>
    <w:rsid w:val="00335A74"/>
    <w:rsid w:val="0036561B"/>
    <w:rsid w:val="0037013F"/>
    <w:rsid w:val="00371908"/>
    <w:rsid w:val="00380C92"/>
    <w:rsid w:val="00392D20"/>
    <w:rsid w:val="003A484F"/>
    <w:rsid w:val="003A4883"/>
    <w:rsid w:val="003B0BE0"/>
    <w:rsid w:val="003B0C1B"/>
    <w:rsid w:val="003B688C"/>
    <w:rsid w:val="003C0291"/>
    <w:rsid w:val="003C39AE"/>
    <w:rsid w:val="003C7B60"/>
    <w:rsid w:val="003D0C0F"/>
    <w:rsid w:val="003D1FB2"/>
    <w:rsid w:val="003D66DA"/>
    <w:rsid w:val="003E1310"/>
    <w:rsid w:val="003E5CB4"/>
    <w:rsid w:val="003E6F55"/>
    <w:rsid w:val="00401FAE"/>
    <w:rsid w:val="00406254"/>
    <w:rsid w:val="004223DE"/>
    <w:rsid w:val="00434489"/>
    <w:rsid w:val="00437085"/>
    <w:rsid w:val="00443880"/>
    <w:rsid w:val="004464F4"/>
    <w:rsid w:val="00471401"/>
    <w:rsid w:val="00473F31"/>
    <w:rsid w:val="0048263A"/>
    <w:rsid w:val="00487E5D"/>
    <w:rsid w:val="004A711F"/>
    <w:rsid w:val="004B199D"/>
    <w:rsid w:val="004B4690"/>
    <w:rsid w:val="004E0A2D"/>
    <w:rsid w:val="004E206B"/>
    <w:rsid w:val="004E6DF7"/>
    <w:rsid w:val="004F0FBD"/>
    <w:rsid w:val="00505A47"/>
    <w:rsid w:val="00512FDA"/>
    <w:rsid w:val="00520DA0"/>
    <w:rsid w:val="005664BB"/>
    <w:rsid w:val="00566FFA"/>
    <w:rsid w:val="0057481D"/>
    <w:rsid w:val="0058486E"/>
    <w:rsid w:val="00585B33"/>
    <w:rsid w:val="0059014D"/>
    <w:rsid w:val="005B5C64"/>
    <w:rsid w:val="005C5337"/>
    <w:rsid w:val="005C5677"/>
    <w:rsid w:val="005C6BD0"/>
    <w:rsid w:val="005D1C8B"/>
    <w:rsid w:val="005D468D"/>
    <w:rsid w:val="005D5CED"/>
    <w:rsid w:val="005F1A4C"/>
    <w:rsid w:val="00605688"/>
    <w:rsid w:val="006070AF"/>
    <w:rsid w:val="00607E6C"/>
    <w:rsid w:val="006101B1"/>
    <w:rsid w:val="00614E44"/>
    <w:rsid w:val="0062270A"/>
    <w:rsid w:val="00622830"/>
    <w:rsid w:val="00623DA0"/>
    <w:rsid w:val="00630AEF"/>
    <w:rsid w:val="006325F8"/>
    <w:rsid w:val="00633463"/>
    <w:rsid w:val="00634C9A"/>
    <w:rsid w:val="006440E4"/>
    <w:rsid w:val="0066343B"/>
    <w:rsid w:val="00664777"/>
    <w:rsid w:val="006748A4"/>
    <w:rsid w:val="00681A31"/>
    <w:rsid w:val="00683E73"/>
    <w:rsid w:val="006A3141"/>
    <w:rsid w:val="006A5E34"/>
    <w:rsid w:val="006B2422"/>
    <w:rsid w:val="006B2B9A"/>
    <w:rsid w:val="006C1937"/>
    <w:rsid w:val="006F020C"/>
    <w:rsid w:val="007127B7"/>
    <w:rsid w:val="0071798E"/>
    <w:rsid w:val="007349A1"/>
    <w:rsid w:val="007416B6"/>
    <w:rsid w:val="00746F48"/>
    <w:rsid w:val="0075404D"/>
    <w:rsid w:val="0076182A"/>
    <w:rsid w:val="00767B7E"/>
    <w:rsid w:val="007770C3"/>
    <w:rsid w:val="00784D24"/>
    <w:rsid w:val="00785FBA"/>
    <w:rsid w:val="00786E4A"/>
    <w:rsid w:val="007875EB"/>
    <w:rsid w:val="0079426B"/>
    <w:rsid w:val="007D1682"/>
    <w:rsid w:val="007D312A"/>
    <w:rsid w:val="007D3F19"/>
    <w:rsid w:val="007E23B0"/>
    <w:rsid w:val="007E23E5"/>
    <w:rsid w:val="007F1991"/>
    <w:rsid w:val="007F2C2F"/>
    <w:rsid w:val="007F55FC"/>
    <w:rsid w:val="007F5665"/>
    <w:rsid w:val="00800112"/>
    <w:rsid w:val="00813348"/>
    <w:rsid w:val="008253BB"/>
    <w:rsid w:val="0083706E"/>
    <w:rsid w:val="008408F6"/>
    <w:rsid w:val="008423A5"/>
    <w:rsid w:val="00850625"/>
    <w:rsid w:val="00853718"/>
    <w:rsid w:val="00855221"/>
    <w:rsid w:val="00860645"/>
    <w:rsid w:val="008609F9"/>
    <w:rsid w:val="00871F71"/>
    <w:rsid w:val="00872FD8"/>
    <w:rsid w:val="00885AF4"/>
    <w:rsid w:val="008939CD"/>
    <w:rsid w:val="008B768C"/>
    <w:rsid w:val="008C4DB1"/>
    <w:rsid w:val="008C4EAF"/>
    <w:rsid w:val="008C5176"/>
    <w:rsid w:val="008C7FD0"/>
    <w:rsid w:val="008E1DE7"/>
    <w:rsid w:val="008E707C"/>
    <w:rsid w:val="008F4605"/>
    <w:rsid w:val="008F66B7"/>
    <w:rsid w:val="00900B08"/>
    <w:rsid w:val="00902155"/>
    <w:rsid w:val="00902FA3"/>
    <w:rsid w:val="00923564"/>
    <w:rsid w:val="0092392E"/>
    <w:rsid w:val="009315F9"/>
    <w:rsid w:val="00933499"/>
    <w:rsid w:val="00935C98"/>
    <w:rsid w:val="00946945"/>
    <w:rsid w:val="00951248"/>
    <w:rsid w:val="0095152F"/>
    <w:rsid w:val="00954C49"/>
    <w:rsid w:val="00955E37"/>
    <w:rsid w:val="0097099F"/>
    <w:rsid w:val="00971997"/>
    <w:rsid w:val="00971FFC"/>
    <w:rsid w:val="0098660A"/>
    <w:rsid w:val="009931C3"/>
    <w:rsid w:val="009B2C43"/>
    <w:rsid w:val="009B4EAE"/>
    <w:rsid w:val="009B7573"/>
    <w:rsid w:val="009C22F4"/>
    <w:rsid w:val="009C2A4B"/>
    <w:rsid w:val="009C2E98"/>
    <w:rsid w:val="009D3447"/>
    <w:rsid w:val="009D4711"/>
    <w:rsid w:val="009F1185"/>
    <w:rsid w:val="009F18CD"/>
    <w:rsid w:val="009F2A13"/>
    <w:rsid w:val="009F7527"/>
    <w:rsid w:val="00A04EB0"/>
    <w:rsid w:val="00A13CC1"/>
    <w:rsid w:val="00A16847"/>
    <w:rsid w:val="00A237D8"/>
    <w:rsid w:val="00A268C4"/>
    <w:rsid w:val="00A307CD"/>
    <w:rsid w:val="00A331C8"/>
    <w:rsid w:val="00A40A00"/>
    <w:rsid w:val="00A4142F"/>
    <w:rsid w:val="00A422EB"/>
    <w:rsid w:val="00A45BB7"/>
    <w:rsid w:val="00A56DF2"/>
    <w:rsid w:val="00A56E6E"/>
    <w:rsid w:val="00A57CE8"/>
    <w:rsid w:val="00A67AB5"/>
    <w:rsid w:val="00A733B2"/>
    <w:rsid w:val="00A741C2"/>
    <w:rsid w:val="00A774A1"/>
    <w:rsid w:val="00A91760"/>
    <w:rsid w:val="00A93B00"/>
    <w:rsid w:val="00A93C21"/>
    <w:rsid w:val="00AB64C9"/>
    <w:rsid w:val="00AC3C6A"/>
    <w:rsid w:val="00AD5620"/>
    <w:rsid w:val="00AD656B"/>
    <w:rsid w:val="00AD7C1B"/>
    <w:rsid w:val="00AE16BA"/>
    <w:rsid w:val="00AE1EBE"/>
    <w:rsid w:val="00B03C9D"/>
    <w:rsid w:val="00B060AE"/>
    <w:rsid w:val="00B10517"/>
    <w:rsid w:val="00B14E76"/>
    <w:rsid w:val="00B161B8"/>
    <w:rsid w:val="00B2048C"/>
    <w:rsid w:val="00B310B9"/>
    <w:rsid w:val="00B35F3F"/>
    <w:rsid w:val="00B36CBB"/>
    <w:rsid w:val="00B425E0"/>
    <w:rsid w:val="00B440AA"/>
    <w:rsid w:val="00B44B70"/>
    <w:rsid w:val="00B53C56"/>
    <w:rsid w:val="00B57DAF"/>
    <w:rsid w:val="00B61070"/>
    <w:rsid w:val="00B77EA6"/>
    <w:rsid w:val="00B81598"/>
    <w:rsid w:val="00B841F1"/>
    <w:rsid w:val="00B944D6"/>
    <w:rsid w:val="00BB4DF0"/>
    <w:rsid w:val="00BC289F"/>
    <w:rsid w:val="00BC2D50"/>
    <w:rsid w:val="00BC5361"/>
    <w:rsid w:val="00BC5460"/>
    <w:rsid w:val="00BC6B50"/>
    <w:rsid w:val="00BD0E25"/>
    <w:rsid w:val="00BF5BD6"/>
    <w:rsid w:val="00C03E31"/>
    <w:rsid w:val="00C33E72"/>
    <w:rsid w:val="00C354B2"/>
    <w:rsid w:val="00C35554"/>
    <w:rsid w:val="00C42709"/>
    <w:rsid w:val="00C533CC"/>
    <w:rsid w:val="00C5751C"/>
    <w:rsid w:val="00C61BFC"/>
    <w:rsid w:val="00C62B85"/>
    <w:rsid w:val="00C65438"/>
    <w:rsid w:val="00C65748"/>
    <w:rsid w:val="00C87FD8"/>
    <w:rsid w:val="00C91381"/>
    <w:rsid w:val="00C91CBB"/>
    <w:rsid w:val="00CA6A66"/>
    <w:rsid w:val="00CB4E70"/>
    <w:rsid w:val="00CC09B6"/>
    <w:rsid w:val="00CC666F"/>
    <w:rsid w:val="00CD1E3F"/>
    <w:rsid w:val="00CE44F6"/>
    <w:rsid w:val="00CE49DA"/>
    <w:rsid w:val="00CE7B61"/>
    <w:rsid w:val="00D00095"/>
    <w:rsid w:val="00D114F0"/>
    <w:rsid w:val="00D20620"/>
    <w:rsid w:val="00D254F7"/>
    <w:rsid w:val="00D26091"/>
    <w:rsid w:val="00D2685C"/>
    <w:rsid w:val="00D34E7C"/>
    <w:rsid w:val="00D35489"/>
    <w:rsid w:val="00D36AFE"/>
    <w:rsid w:val="00D51276"/>
    <w:rsid w:val="00D7035F"/>
    <w:rsid w:val="00DA634F"/>
    <w:rsid w:val="00DA65AC"/>
    <w:rsid w:val="00DB1913"/>
    <w:rsid w:val="00DB6D64"/>
    <w:rsid w:val="00DC410D"/>
    <w:rsid w:val="00DC5A81"/>
    <w:rsid w:val="00DC68CA"/>
    <w:rsid w:val="00DC7CBA"/>
    <w:rsid w:val="00DD73B7"/>
    <w:rsid w:val="00DF28BC"/>
    <w:rsid w:val="00DF34B9"/>
    <w:rsid w:val="00E01053"/>
    <w:rsid w:val="00E07ACF"/>
    <w:rsid w:val="00E331A1"/>
    <w:rsid w:val="00E33202"/>
    <w:rsid w:val="00E336A9"/>
    <w:rsid w:val="00E472B1"/>
    <w:rsid w:val="00E50624"/>
    <w:rsid w:val="00E568DF"/>
    <w:rsid w:val="00E64269"/>
    <w:rsid w:val="00E82267"/>
    <w:rsid w:val="00E853CE"/>
    <w:rsid w:val="00E867B6"/>
    <w:rsid w:val="00EA010F"/>
    <w:rsid w:val="00ED1B63"/>
    <w:rsid w:val="00ED3C1F"/>
    <w:rsid w:val="00ED4085"/>
    <w:rsid w:val="00ED420E"/>
    <w:rsid w:val="00ED6FBE"/>
    <w:rsid w:val="00EE2F57"/>
    <w:rsid w:val="00EF4C34"/>
    <w:rsid w:val="00EF77C6"/>
    <w:rsid w:val="00F05438"/>
    <w:rsid w:val="00F1361C"/>
    <w:rsid w:val="00F156F0"/>
    <w:rsid w:val="00F160C7"/>
    <w:rsid w:val="00F2408F"/>
    <w:rsid w:val="00F240E9"/>
    <w:rsid w:val="00F36D8F"/>
    <w:rsid w:val="00F417B1"/>
    <w:rsid w:val="00F45853"/>
    <w:rsid w:val="00F602DF"/>
    <w:rsid w:val="00F754A1"/>
    <w:rsid w:val="00F81FD9"/>
    <w:rsid w:val="00F841AA"/>
    <w:rsid w:val="00F84A94"/>
    <w:rsid w:val="00F87E96"/>
    <w:rsid w:val="00FA23E8"/>
    <w:rsid w:val="00FD3CC1"/>
    <w:rsid w:val="00FF1E02"/>
    <w:rsid w:val="00FF30B4"/>
    <w:rsid w:val="04D95F23"/>
    <w:rsid w:val="0A2032A3"/>
    <w:rsid w:val="0B8A37D8"/>
    <w:rsid w:val="10C055FF"/>
    <w:rsid w:val="118107EC"/>
    <w:rsid w:val="11DD6519"/>
    <w:rsid w:val="13754337"/>
    <w:rsid w:val="16BB723D"/>
    <w:rsid w:val="18015F3F"/>
    <w:rsid w:val="1BE8440E"/>
    <w:rsid w:val="1D155CEE"/>
    <w:rsid w:val="20F57F95"/>
    <w:rsid w:val="240371BF"/>
    <w:rsid w:val="25C741E6"/>
    <w:rsid w:val="27842671"/>
    <w:rsid w:val="29FD04D3"/>
    <w:rsid w:val="2ABE7A3E"/>
    <w:rsid w:val="2EFA178C"/>
    <w:rsid w:val="30B46D73"/>
    <w:rsid w:val="319F7F4E"/>
    <w:rsid w:val="39AE70AB"/>
    <w:rsid w:val="3C0C0783"/>
    <w:rsid w:val="3F9F3A96"/>
    <w:rsid w:val="493C27E9"/>
    <w:rsid w:val="496F39ED"/>
    <w:rsid w:val="49FF41D3"/>
    <w:rsid w:val="4A407CA5"/>
    <w:rsid w:val="4BE068DB"/>
    <w:rsid w:val="4BF6002B"/>
    <w:rsid w:val="4ECE2238"/>
    <w:rsid w:val="51DB4B86"/>
    <w:rsid w:val="55333C3E"/>
    <w:rsid w:val="64CA39A1"/>
    <w:rsid w:val="66FE71E5"/>
    <w:rsid w:val="6C4A05C8"/>
    <w:rsid w:val="72734D90"/>
    <w:rsid w:val="79E7B28D"/>
    <w:rsid w:val="7F9F20EE"/>
    <w:rsid w:val="9E3A10E2"/>
    <w:rsid w:val="F2E1F9D4"/>
    <w:rsid w:val="F7880819"/>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nhideWhenUsed="0" w:uiPriority="99"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99"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1"/>
    <w:basedOn w:val="1"/>
    <w:next w:val="1"/>
    <w:link w:val="24"/>
    <w:qFormat/>
    <w:uiPriority w:val="9"/>
    <w:pPr>
      <w:keepNext/>
      <w:keepLines/>
      <w:spacing w:before="340" w:after="330" w:line="578" w:lineRule="auto"/>
      <w:outlineLvl w:val="0"/>
    </w:pPr>
    <w:rPr>
      <w:b/>
      <w:bCs/>
      <w:kern w:val="44"/>
      <w:sz w:val="44"/>
      <w:szCs w:val="44"/>
    </w:rPr>
  </w:style>
  <w:style w:type="paragraph" w:styleId="4">
    <w:name w:val="heading 2"/>
    <w:basedOn w:val="1"/>
    <w:next w:val="1"/>
    <w:link w:val="2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5">
    <w:name w:val="heading 3"/>
    <w:basedOn w:val="1"/>
    <w:next w:val="1"/>
    <w:link w:val="28"/>
    <w:unhideWhenUsed/>
    <w:qFormat/>
    <w:uiPriority w:val="9"/>
    <w:pPr>
      <w:keepNext/>
      <w:keepLines/>
      <w:spacing w:before="260" w:after="260" w:line="416" w:lineRule="auto"/>
      <w:outlineLvl w:val="2"/>
    </w:pPr>
    <w:rPr>
      <w:b/>
      <w:bCs/>
      <w:sz w:val="32"/>
      <w:szCs w:val="32"/>
    </w:rPr>
  </w:style>
  <w:style w:type="character" w:default="1" w:styleId="13">
    <w:name w:val="Default Paragraph Font"/>
    <w:unhideWhenUsed/>
    <w:uiPriority w:val="1"/>
  </w:style>
  <w:style w:type="table" w:default="1" w:styleId="12">
    <w:name w:val="Normal Table"/>
    <w:semiHidden/>
    <w:unhideWhenUsed/>
    <w:qFormat/>
    <w:uiPriority w:val="99"/>
    <w:tblPr>
      <w:tblCellMar>
        <w:top w:w="0" w:type="dxa"/>
        <w:left w:w="108" w:type="dxa"/>
        <w:bottom w:w="0" w:type="dxa"/>
        <w:right w:w="108" w:type="dxa"/>
      </w:tblCellMar>
    </w:tblPr>
  </w:style>
  <w:style w:type="paragraph" w:styleId="2">
    <w:name w:val="Body Text"/>
    <w:basedOn w:val="1"/>
    <w:link w:val="21"/>
    <w:qFormat/>
    <w:uiPriority w:val="99"/>
    <w:pPr>
      <w:spacing w:beforeLines="30"/>
    </w:pPr>
    <w:rPr>
      <w:rFonts w:ascii="仿宋_GB2312" w:eastAsia="仿宋_GB2312"/>
      <w:kern w:val="0"/>
      <w:sz w:val="30"/>
    </w:rPr>
  </w:style>
  <w:style w:type="paragraph" w:styleId="6">
    <w:name w:val="toc 3"/>
    <w:basedOn w:val="1"/>
    <w:next w:val="1"/>
    <w:unhideWhenUsed/>
    <w:qFormat/>
    <w:uiPriority w:val="39"/>
    <w:pPr>
      <w:tabs>
        <w:tab w:val="right" w:leader="dot" w:pos="8296"/>
      </w:tabs>
      <w:ind w:left="840" w:leftChars="400"/>
    </w:pPr>
  </w:style>
  <w:style w:type="paragraph" w:styleId="7">
    <w:name w:val="Balloon Text"/>
    <w:basedOn w:val="1"/>
    <w:link w:val="27"/>
    <w:semiHidden/>
    <w:unhideWhenUsed/>
    <w:qFormat/>
    <w:uiPriority w:val="99"/>
    <w:rPr>
      <w:sz w:val="18"/>
      <w:szCs w:val="18"/>
    </w:rPr>
  </w:style>
  <w:style w:type="paragraph" w:styleId="8">
    <w:name w:val="footer"/>
    <w:basedOn w:val="1"/>
    <w:link w:val="19"/>
    <w:qFormat/>
    <w:uiPriority w:val="99"/>
    <w:pPr>
      <w:tabs>
        <w:tab w:val="center" w:pos="4153"/>
        <w:tab w:val="right" w:pos="8306"/>
      </w:tabs>
      <w:snapToGrid w:val="0"/>
      <w:jc w:val="left"/>
    </w:pPr>
    <w:rPr>
      <w:rFonts w:ascii="Calibri" w:hAnsi="Calibri"/>
      <w:kern w:val="0"/>
      <w:sz w:val="18"/>
      <w:szCs w:val="18"/>
    </w:rPr>
  </w:style>
  <w:style w:type="paragraph" w:styleId="9">
    <w:name w:val="header"/>
    <w:basedOn w:val="1"/>
    <w:link w:val="17"/>
    <w:semiHidden/>
    <w:qFormat/>
    <w:uiPriority w:val="99"/>
    <w:pPr>
      <w:pBdr>
        <w:bottom w:val="single" w:color="auto" w:sz="6" w:space="1"/>
      </w:pBdr>
      <w:tabs>
        <w:tab w:val="center" w:pos="4153"/>
        <w:tab w:val="right" w:pos="8306"/>
      </w:tabs>
      <w:snapToGrid w:val="0"/>
      <w:jc w:val="center"/>
    </w:pPr>
    <w:rPr>
      <w:rFonts w:ascii="Calibri" w:hAnsi="Calibri"/>
      <w:kern w:val="0"/>
      <w:sz w:val="18"/>
      <w:szCs w:val="18"/>
    </w:rPr>
  </w:style>
  <w:style w:type="paragraph" w:styleId="10">
    <w:name w:val="toc 1"/>
    <w:basedOn w:val="1"/>
    <w:next w:val="1"/>
    <w:unhideWhenUsed/>
    <w:qFormat/>
    <w:uiPriority w:val="39"/>
    <w:pPr>
      <w:tabs>
        <w:tab w:val="right" w:leader="dot" w:pos="8296"/>
      </w:tabs>
      <w:spacing w:before="93"/>
      <w:jc w:val="center"/>
    </w:pPr>
    <w:rPr>
      <w:rFonts w:ascii="仿宋" w:hAnsi="仿宋" w:eastAsia="仿宋"/>
      <w:sz w:val="28"/>
      <w:szCs w:val="28"/>
    </w:rPr>
  </w:style>
  <w:style w:type="paragraph" w:styleId="11">
    <w:name w:val="toc 2"/>
    <w:basedOn w:val="1"/>
    <w:next w:val="1"/>
    <w:unhideWhenUsed/>
    <w:qFormat/>
    <w:uiPriority w:val="39"/>
    <w:pPr>
      <w:tabs>
        <w:tab w:val="right" w:leader="dot" w:pos="8296"/>
      </w:tabs>
      <w:ind w:left="420" w:leftChars="200"/>
    </w:pPr>
  </w:style>
  <w:style w:type="character" w:styleId="14">
    <w:name w:val="Strong"/>
    <w:basedOn w:val="13"/>
    <w:qFormat/>
    <w:uiPriority w:val="99"/>
    <w:rPr>
      <w:b/>
    </w:rPr>
  </w:style>
  <w:style w:type="character" w:styleId="15">
    <w:name w:val="Hyperlink"/>
    <w:basedOn w:val="13"/>
    <w:unhideWhenUsed/>
    <w:qFormat/>
    <w:uiPriority w:val="99"/>
    <w:rPr>
      <w:color w:val="0000FF" w:themeColor="hyperlink"/>
      <w:u w:val="single"/>
    </w:rPr>
  </w:style>
  <w:style w:type="character" w:customStyle="1" w:styleId="16">
    <w:name w:val="Header Char"/>
    <w:basedOn w:val="13"/>
    <w:semiHidden/>
    <w:qFormat/>
    <w:uiPriority w:val="99"/>
    <w:rPr>
      <w:rFonts w:ascii="Times New Roman" w:hAnsi="Times New Roman"/>
      <w:sz w:val="18"/>
      <w:szCs w:val="18"/>
    </w:rPr>
  </w:style>
  <w:style w:type="character" w:customStyle="1" w:styleId="17">
    <w:name w:val="页眉 字符"/>
    <w:link w:val="9"/>
    <w:semiHidden/>
    <w:qFormat/>
    <w:locked/>
    <w:uiPriority w:val="99"/>
    <w:rPr>
      <w:sz w:val="18"/>
    </w:rPr>
  </w:style>
  <w:style w:type="character" w:customStyle="1" w:styleId="18">
    <w:name w:val="Footer Char"/>
    <w:basedOn w:val="13"/>
    <w:semiHidden/>
    <w:qFormat/>
    <w:uiPriority w:val="99"/>
    <w:rPr>
      <w:rFonts w:ascii="Times New Roman" w:hAnsi="Times New Roman"/>
      <w:sz w:val="18"/>
      <w:szCs w:val="18"/>
    </w:rPr>
  </w:style>
  <w:style w:type="character" w:customStyle="1" w:styleId="19">
    <w:name w:val="页脚 字符"/>
    <w:link w:val="8"/>
    <w:qFormat/>
    <w:locked/>
    <w:uiPriority w:val="99"/>
    <w:rPr>
      <w:sz w:val="18"/>
    </w:rPr>
  </w:style>
  <w:style w:type="character" w:customStyle="1" w:styleId="20">
    <w:name w:val="Body Text Char"/>
    <w:basedOn w:val="13"/>
    <w:semiHidden/>
    <w:qFormat/>
    <w:uiPriority w:val="99"/>
    <w:rPr>
      <w:rFonts w:ascii="Times New Roman" w:hAnsi="Times New Roman"/>
      <w:szCs w:val="24"/>
    </w:rPr>
  </w:style>
  <w:style w:type="character" w:customStyle="1" w:styleId="21">
    <w:name w:val="正文文本 字符"/>
    <w:link w:val="2"/>
    <w:qFormat/>
    <w:locked/>
    <w:uiPriority w:val="99"/>
    <w:rPr>
      <w:rFonts w:ascii="仿宋_GB2312" w:hAnsi="Times New Roman" w:eastAsia="仿宋_GB2312"/>
      <w:sz w:val="24"/>
    </w:rPr>
  </w:style>
  <w:style w:type="paragraph" w:customStyle="1" w:styleId="22">
    <w:name w:val="Default"/>
    <w:qFormat/>
    <w:uiPriority w:val="99"/>
    <w:pPr>
      <w:widowControl w:val="0"/>
      <w:autoSpaceDE w:val="0"/>
      <w:autoSpaceDN w:val="0"/>
      <w:adjustRightInd w:val="0"/>
    </w:pPr>
    <w:rPr>
      <w:rFonts w:ascii="仿宋" w:hAnsi="Calibri" w:eastAsia="仿宋" w:cs="仿宋"/>
      <w:color w:val="000000"/>
      <w:sz w:val="24"/>
      <w:szCs w:val="24"/>
      <w:lang w:val="en-US" w:eastAsia="zh-CN" w:bidi="ar-SA"/>
    </w:rPr>
  </w:style>
  <w:style w:type="paragraph" w:styleId="23">
    <w:name w:val="List Paragraph"/>
    <w:basedOn w:val="1"/>
    <w:qFormat/>
    <w:uiPriority w:val="34"/>
    <w:pPr>
      <w:ind w:firstLine="420" w:firstLineChars="200"/>
    </w:pPr>
  </w:style>
  <w:style w:type="character" w:customStyle="1" w:styleId="24">
    <w:name w:val="标题 1 字符"/>
    <w:basedOn w:val="13"/>
    <w:link w:val="3"/>
    <w:qFormat/>
    <w:uiPriority w:val="9"/>
    <w:rPr>
      <w:rFonts w:ascii="Times New Roman" w:hAnsi="Times New Roman"/>
      <w:b/>
      <w:bCs/>
      <w:kern w:val="44"/>
      <w:sz w:val="44"/>
      <w:szCs w:val="44"/>
    </w:rPr>
  </w:style>
  <w:style w:type="character" w:customStyle="1" w:styleId="25">
    <w:name w:val="标题 2 字符"/>
    <w:basedOn w:val="13"/>
    <w:link w:val="4"/>
    <w:qFormat/>
    <w:uiPriority w:val="9"/>
    <w:rPr>
      <w:rFonts w:asciiTheme="majorHAnsi" w:hAnsiTheme="majorHAnsi" w:eastAsiaTheme="majorEastAsia" w:cstheme="majorBidi"/>
      <w:b/>
      <w:bCs/>
      <w:kern w:val="2"/>
      <w:sz w:val="32"/>
      <w:szCs w:val="32"/>
    </w:rPr>
  </w:style>
  <w:style w:type="paragraph" w:customStyle="1" w:styleId="26">
    <w:name w:val="TOC 标题1"/>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 w:type="character" w:customStyle="1" w:styleId="27">
    <w:name w:val="批注框文本 字符"/>
    <w:basedOn w:val="13"/>
    <w:link w:val="7"/>
    <w:semiHidden/>
    <w:qFormat/>
    <w:uiPriority w:val="99"/>
    <w:rPr>
      <w:rFonts w:ascii="Times New Roman" w:hAnsi="Times New Roman"/>
      <w:kern w:val="2"/>
      <w:sz w:val="18"/>
      <w:szCs w:val="18"/>
    </w:rPr>
  </w:style>
  <w:style w:type="character" w:customStyle="1" w:styleId="28">
    <w:name w:val="标题 3 字符"/>
    <w:basedOn w:val="13"/>
    <w:link w:val="5"/>
    <w:qFormat/>
    <w:uiPriority w:val="9"/>
    <w:rPr>
      <w:rFonts w:ascii="Times New Roman" w:hAnsi="Times New Roman"/>
      <w:b/>
      <w:bCs/>
      <w:kern w:val="2"/>
      <w:sz w:val="32"/>
      <w:szCs w:val="32"/>
    </w:rPr>
  </w:style>
  <w:style w:type="paragraph" w:customStyle="1" w:styleId="29">
    <w:name w:val="TOC 标题2"/>
    <w:basedOn w:val="3"/>
    <w:next w:val="1"/>
    <w:unhideWhenUsed/>
    <w:qFormat/>
    <w:uiPriority w:val="39"/>
    <w:pPr>
      <w:widowControl/>
      <w:spacing w:before="480" w:after="0" w:line="276" w:lineRule="auto"/>
      <w:jc w:val="left"/>
      <w:outlineLvl w:val="9"/>
    </w:pPr>
    <w:rPr>
      <w:rFonts w:asciiTheme="majorHAnsi" w:hAnsiTheme="majorHAnsi" w:eastAsiaTheme="majorEastAsia" w:cstheme="majorBidi"/>
      <w:color w:val="366091" w:themeColor="accent1" w:themeShade="BF"/>
      <w:kern w:val="0"/>
      <w:sz w:val="28"/>
      <w:szCs w:val="28"/>
    </w:rPr>
  </w:style>
</w:styles>
</file>

<file path=word/_rels/document.xml.rels><?xml version="1.0" encoding="UTF-8" standalone="yes"?>
<Relationships xmlns="http://schemas.openxmlformats.org/package/2006/relationships"><Relationship Id="rId9" Type="http://schemas.openxmlformats.org/officeDocument/2006/relationships/chart" Target="charts/chart4.xml"/><Relationship Id="rId8" Type="http://schemas.openxmlformats.org/officeDocument/2006/relationships/chart" Target="charts/chart3.xml"/><Relationship Id="rId7" Type="http://schemas.openxmlformats.org/officeDocument/2006/relationships/chart" Target="charts/chart2.xml"/><Relationship Id="rId6" Type="http://schemas.openxmlformats.org/officeDocument/2006/relationships/chart" Target="charts/chart1.xml"/><Relationship Id="rId5" Type="http://schemas.openxmlformats.org/officeDocument/2006/relationships/theme" Target="theme/theme1.xml"/><Relationship Id="rId4" Type="http://schemas.openxmlformats.org/officeDocument/2006/relationships/footer" Target="footer1.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jpeg"/><Relationship Id="rId30" Type="http://schemas.openxmlformats.org/officeDocument/2006/relationships/image" Target="media/image18.jpeg"/><Relationship Id="rId3" Type="http://schemas.openxmlformats.org/officeDocument/2006/relationships/header" Target="header1.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jpeg"/><Relationship Id="rId16" Type="http://schemas.openxmlformats.org/officeDocument/2006/relationships/image" Target="media/image4.jpeg"/><Relationship Id="rId15" Type="http://schemas.openxmlformats.org/officeDocument/2006/relationships/image" Target="media/image3.jpeg"/><Relationship Id="rId14" Type="http://schemas.openxmlformats.org/officeDocument/2006/relationships/image" Target="media/image2.jpeg"/><Relationship Id="rId13" Type="http://schemas.openxmlformats.org/officeDocument/2006/relationships/image" Target="media/image1.jpeg"/><Relationship Id="rId12" Type="http://schemas.openxmlformats.org/officeDocument/2006/relationships/chart" Target="charts/chart7.xml"/><Relationship Id="rId11" Type="http://schemas.openxmlformats.org/officeDocument/2006/relationships/chart" Target="charts/chart6.xml"/><Relationship Id="rId10" Type="http://schemas.openxmlformats.org/officeDocument/2006/relationships/chart" Target="charts/chart5.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F:\2021&#24180;&#20915;&#31639;\&#38468;&#20214;4&#65306;2021&#24180;&#20915;&#31639;&#20844;&#24320;&#38468;&#22270;(&#27169;&#26495;)&#20165;&#20379;&#21442;&#3277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1</a:t>
            </a:r>
            <a:r>
              <a:rPr lang="zh-CN"/>
              <a:t>：收、支决算总计变动情况图</a:t>
            </a:r>
            <a:endParaRPr lang="zh-CN"/>
          </a:p>
        </c:rich>
      </c:tx>
      <c:layout/>
      <c:overlay val="0"/>
    </c:title>
    <c:autoTitleDeleted val="0"/>
    <c:plotArea>
      <c:layout/>
      <c:barChart>
        <c:barDir val="col"/>
        <c:grouping val="clustered"/>
        <c:varyColors val="0"/>
        <c:ser>
          <c:idx val="0"/>
          <c:order val="0"/>
          <c:tx>
            <c:strRef>
              <c:f>'[附件4：2021年决算公开附图(模板)仅供参考.xlsx]收、支决算总体变动情况图1'!$C$13</c:f>
              <c:strCache>
                <c:ptCount val="1"/>
                <c:pt idx="0">
                  <c:v>金额</c:v>
                </c:pt>
              </c:strCache>
            </c:strRef>
          </c:tx>
          <c:invertIfNegative val="0"/>
          <c:dPt>
            <c:idx val="1"/>
            <c:invertIfNegative val="0"/>
            <c:bubble3D val="0"/>
            <c:spPr>
              <a:solidFill>
                <a:schemeClr val="accent2"/>
              </a:solidFill>
              <a:ln w="25400" cap="flat" cmpd="sng" algn="ctr">
                <a:solidFill>
                  <a:schemeClr val="accent2">
                    <a:shade val="50000"/>
                  </a:schemeClr>
                </a:solidFill>
                <a:prstDash val="solid"/>
              </a:ln>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'[附件4：2021年决算公开附图(模板)仅供参考.xlsx]收、支决算总体变动情况图1'!$B$14:$B$15</c:f>
              <c:strCache>
                <c:ptCount val="2"/>
                <c:pt idx="0">
                  <c:v>2021年</c:v>
                </c:pt>
                <c:pt idx="1">
                  <c:v>2020年</c:v>
                </c:pt>
              </c:strCache>
            </c:strRef>
          </c:cat>
          <c:val>
            <c:numRef>
              <c:f>'[附件4：2021年决算公开附图(模板)仅供参考.xlsx]收、支决算总体变动情况图1'!$C$14:$C$15</c:f>
              <c:numCache>
                <c:formatCode>#,##0.00</c:formatCode>
                <c:ptCount val="2"/>
                <c:pt idx="0">
                  <c:v>664.95</c:v>
                </c:pt>
                <c:pt idx="1">
                  <c:v>692.11</c:v>
                </c:pt>
              </c:numCache>
            </c:numRef>
          </c:val>
        </c:ser>
        <c:dLbls>
          <c:showLegendKey val="0"/>
          <c:showVal val="1"/>
          <c:showCatName val="0"/>
          <c:showSerName val="0"/>
          <c:showPercent val="0"/>
          <c:showBubbleSize val="0"/>
        </c:dLbls>
        <c:gapWidth val="150"/>
        <c:axId val="73265920"/>
        <c:axId val="73267456"/>
      </c:barChart>
      <c:catAx>
        <c:axId val="73265920"/>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7456"/>
        <c:crosses val="autoZero"/>
        <c:auto val="1"/>
        <c:lblAlgn val="ctr"/>
        <c:lblOffset val="100"/>
        <c:noMultiLvlLbl val="0"/>
      </c:catAx>
      <c:valAx>
        <c:axId val="73267456"/>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73265920"/>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2</a:t>
            </a:r>
            <a:r>
              <a:rPr lang="zh-CN"/>
              <a:t>：</a:t>
            </a:r>
            <a:r>
              <a:rPr lang="en-US"/>
              <a:t>2021</a:t>
            </a:r>
            <a:r>
              <a:rPr lang="zh-CN"/>
              <a:t>年收入决算结构图</a:t>
            </a:r>
            <a:endParaRPr lang="zh-CN"/>
          </a:p>
        </c:rich>
      </c:tx>
      <c:layout/>
      <c:overlay val="0"/>
    </c:title>
    <c:autoTitleDeleted val="0"/>
    <c:plotArea>
      <c:layout/>
      <c:pieChart>
        <c:varyColors val="1"/>
        <c:ser>
          <c:idx val="0"/>
          <c:order val="0"/>
          <c:tx>
            <c:strRef>
              <c:f>'[附件4：2021年决算公开附图(模板)仅供参考.xlsx]收入决算结构图2'!$B$6</c:f>
              <c:strCache>
                <c:ptCount val="1"/>
                <c:pt idx="0">
                  <c:v>占比</c:v>
                </c:pt>
              </c:strCache>
            </c:strRef>
          </c:tx>
          <c:explosion val="0"/>
          <c:dPt>
            <c:idx val="0"/>
            <c:bubble3D val="0"/>
          </c:dPt>
          <c:dPt>
            <c:idx val="1"/>
            <c:bubble3D val="0"/>
          </c:dPt>
          <c:dPt>
            <c:idx val="2"/>
            <c:bubble3D val="0"/>
          </c:dPt>
          <c:dPt>
            <c:idx val="3"/>
            <c:bubble3D val="0"/>
          </c:dPt>
          <c:dLbls>
            <c:dLbl>
              <c:idx val="1"/>
              <c:layout>
                <c:manualLayout>
                  <c:x val="-0.0167753458752465"/>
                  <c:y val="-0.0412493660885495"/>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 val="0.0750471494345391"/>
                  <c:y val="-0.0162085918724544"/>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'[附件4：2021年决算公开附图(模板)仅供参考.xlsx]收入决算结构图2'!$A$7:$A$10</c:f>
              <c:strCache>
                <c:ptCount val="4"/>
                <c:pt idx="0">
                  <c:v>一般公共预算财政拨款收入664.95万元</c:v>
                </c:pt>
                <c:pt idx="1">
                  <c:v>政府性基金预算财政拨款23万元</c:v>
                </c:pt>
                <c:pt idx="2">
                  <c:v>事业收入0万元</c:v>
                </c:pt>
                <c:pt idx="3">
                  <c:v>其他收入0万元</c:v>
                </c:pt>
              </c:strCache>
            </c:strRef>
          </c:cat>
          <c:val>
            <c:numRef>
              <c:f>'[附件4：2021年决算公开附图(模板)仅供参考.xlsx]收入决算结构图2'!$B$7:$B$10</c:f>
              <c:numCache>
                <c:formatCode>0.00%</c:formatCode>
                <c:ptCount val="4"/>
                <c:pt idx="0">
                  <c:v>1</c:v>
                </c:pt>
                <c:pt idx="1">
                  <c:v>0</c:v>
                </c:pt>
                <c:pt idx="2">
                  <c:v>0</c:v>
                </c:pt>
                <c:pt idx="3">
                  <c:v>0</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manualLayout>
          <c:xMode val="edge"/>
          <c:yMode val="edge"/>
          <c:x val="0.650658857979502"/>
          <c:y val="0.3375"/>
        </c:manualLayout>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t>图</a:t>
            </a:r>
            <a:r>
              <a:rPr lang="en-US"/>
              <a:t>3</a:t>
            </a:r>
            <a:r>
              <a:rPr lang="zh-CN"/>
              <a:t>：</a:t>
            </a:r>
            <a:r>
              <a:rPr lang="en-US"/>
              <a:t>2021</a:t>
            </a:r>
            <a:r>
              <a:rPr lang="zh-CN"/>
              <a:t>年支出决算结构图</a:t>
            </a:r>
            <a:endParaRPr lang="zh-CN"/>
          </a:p>
        </c:rich>
      </c:tx>
      <c:layout>
        <c:manualLayout>
          <c:xMode val="edge"/>
          <c:yMode val="edge"/>
          <c:x val="0.224852767962309"/>
          <c:y val="0.0234604105571848"/>
        </c:manualLayout>
      </c:layout>
      <c:overlay val="0"/>
    </c:title>
    <c:autoTitleDeleted val="0"/>
    <c:plotArea>
      <c:layout/>
      <c:pieChart>
        <c:varyColors val="1"/>
        <c:ser>
          <c:idx val="0"/>
          <c:order val="0"/>
          <c:tx>
            <c:strRef>
              <c:f>'[附件4：2021年决算公开附图(模板)仅供参考.xlsx]支出决算结构图3'!$B$9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'[附件4：2021年决算公开附图(模板)仅供参考.xlsx]支出决算结构图3'!$A$10:$A$11</c:f>
              <c:strCache>
                <c:ptCount val="2"/>
                <c:pt idx="0">
                  <c:v>基本支出659.1万元</c:v>
                </c:pt>
                <c:pt idx="1">
                  <c:v>项目支出14.36万元</c:v>
                </c:pt>
              </c:strCache>
            </c:strRef>
          </c:cat>
          <c:val>
            <c:numRef>
              <c:f>'[附件4：2021年决算公开附图(模板)仅供参考.xlsx]支出决算结构图3'!$B$10:$B$11</c:f>
              <c:numCache>
                <c:formatCode>0.00%</c:formatCode>
                <c:ptCount val="2"/>
                <c:pt idx="0">
                  <c:v>0.9786</c:v>
                </c:pt>
                <c:pt idx="1">
                  <c:v>0.0214</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4</a:t>
            </a:r>
            <a:r>
              <a:rPr lang="zh-CN" altLang="en-US"/>
              <a:t>：财政拨款收、支决算总计变动情况图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'[附件4：2021年决算公开附图(模板)仅供参考.xlsx]财政拨款收、支决算总计变动情况图4'!$C$4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'[附件4：2021年决算公开附图(模板)仅供参考.xlsx]财政拨款收、支决算总计变动情况图4'!$B$5:$B$6</c:f>
              <c:strCache>
                <c:ptCount val="2"/>
                <c:pt idx="0">
                  <c:v>2021年</c:v>
                </c:pt>
                <c:pt idx="1">
                  <c:v>2020年</c:v>
                </c:pt>
              </c:strCache>
            </c:strRef>
          </c:cat>
          <c:val>
            <c:numRef>
              <c:f>'[附件4：2021年决算公开附图(模板)仅供参考.xlsx]财政拨款收、支决算总计变动情况图4'!$C$5:$C$6</c:f>
              <c:numCache>
                <c:formatCode>#,##0.00</c:formatCode>
                <c:ptCount val="2"/>
                <c:pt idx="0">
                  <c:v>664.95</c:v>
                </c:pt>
                <c:pt idx="1">
                  <c:v>692.11</c:v>
                </c:pt>
              </c:numCache>
            </c:numRef>
          </c:val>
        </c:ser>
        <c:dLbls>
          <c:showLegendKey val="0"/>
          <c:showVal val="1"/>
          <c:showCatName val="0"/>
          <c:showSerName val="0"/>
          <c:showPercent val="0"/>
          <c:showBubbleSize val="0"/>
        </c:dLbls>
        <c:gapWidth val="150"/>
        <c:axId val="91223168"/>
        <c:axId val="91224704"/>
      </c:barChart>
      <c:catAx>
        <c:axId val="91223168"/>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4704"/>
        <c:crosses val="autoZero"/>
        <c:auto val="1"/>
        <c:lblAlgn val="ctr"/>
        <c:lblOffset val="100"/>
        <c:noMultiLvlLbl val="0"/>
      </c:catAx>
      <c:valAx>
        <c:axId val="9122470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23168"/>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5</a:t>
            </a:r>
            <a:r>
              <a:rPr lang="zh-CN" altLang="en-US"/>
              <a:t>：一般公共预算财政拨款支出决算       变动情况图</a:t>
            </a:r>
            <a:endParaRPr lang="zh-CN" altLang="en-US"/>
          </a:p>
        </c:rich>
      </c:tx>
      <c:layout/>
      <c:overlay val="0"/>
    </c:title>
    <c:autoTitleDeleted val="0"/>
    <c:plotArea>
      <c:layout/>
      <c:barChart>
        <c:barDir val="col"/>
        <c:grouping val="clustered"/>
        <c:varyColors val="0"/>
        <c:ser>
          <c:idx val="0"/>
          <c:order val="0"/>
          <c:tx>
            <c:strRef>
              <c:f>'[附件4：2021年决算公开附图(模板)仅供参考.xlsx]一般公共预算财政拨款支出决算变动图5'!$C$4</c:f>
              <c:strCache>
                <c:ptCount val="1"/>
                <c:pt idx="0">
                  <c:v>金额</c:v>
                </c:pt>
              </c:strCache>
            </c:strRef>
          </c:tx>
          <c:invertIfNegative val="0"/>
          <c:dPt>
            <c:idx val="1"/>
            <c:invertIfNegative val="0"/>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w="9525" cap="flat" cmpd="sng" algn="ctr">
                <a:solidFill>
                  <a:schemeClr val="accent2">
                    <a:shade val="95000"/>
                    <a:satMod val="105000"/>
                  </a:schemeClr>
                </a:solidFill>
                <a:prstDash val="solid"/>
              </a:ln>
              <a:effectLst>
                <a:outerShdw blurRad="40000" dist="23000" dir="5400000" rotWithShape="0">
                  <a:srgbClr val="000000">
                    <a:alpha val="35000"/>
                  </a:srgbClr>
                </a:outerShdw>
              </a:effectLst>
            </c:spPr>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15:leaderLines/>
              </c:ext>
            </c:extLst>
          </c:dLbls>
          <c:cat>
            <c:strRef>
              <c:f>'[附件4：2021年决算公开附图(模板)仅供参考.xlsx]一般公共预算财政拨款支出决算变动图5'!$B$5:$B$6</c:f>
              <c:strCache>
                <c:ptCount val="2"/>
                <c:pt idx="0">
                  <c:v>2021年</c:v>
                </c:pt>
                <c:pt idx="1">
                  <c:v>2020年</c:v>
                </c:pt>
              </c:strCache>
            </c:strRef>
          </c:cat>
          <c:val>
            <c:numRef>
              <c:f>'[附件4：2021年决算公开附图(模板)仅供参考.xlsx]一般公共预算财政拨款支出决算变动图5'!$C$5:$C$6</c:f>
              <c:numCache>
                <c:formatCode>#,##0.00</c:formatCode>
                <c:ptCount val="2"/>
                <c:pt idx="0">
                  <c:v>664.95</c:v>
                </c:pt>
                <c:pt idx="1">
                  <c:v>692.11</c:v>
                </c:pt>
              </c:numCache>
            </c:numRef>
          </c:val>
        </c:ser>
        <c:dLbls>
          <c:showLegendKey val="0"/>
          <c:showVal val="1"/>
          <c:showCatName val="0"/>
          <c:showSerName val="0"/>
          <c:showPercent val="0"/>
          <c:showBubbleSize val="0"/>
        </c:dLbls>
        <c:gapWidth val="150"/>
        <c:axId val="91241856"/>
        <c:axId val="91268224"/>
      </c:barChart>
      <c:catAx>
        <c:axId val="91241856"/>
        <c:scaling>
          <c:orientation val="minMax"/>
        </c:scaling>
        <c:delete val="0"/>
        <c:axPos val="b"/>
        <c:numFmt formatCode="General" sourceLinked="0"/>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68224"/>
        <c:crosses val="autoZero"/>
        <c:auto val="1"/>
        <c:lblAlgn val="ctr"/>
        <c:lblOffset val="100"/>
        <c:noMultiLvlLbl val="0"/>
      </c:catAx>
      <c:valAx>
        <c:axId val="91268224"/>
        <c:scaling>
          <c:orientation val="minMax"/>
        </c:scaling>
        <c:delete val="0"/>
        <c:axPos val="l"/>
        <c:majorGridlines/>
        <c:numFmt formatCode="#,##0.00" sourceLinked="1"/>
        <c:majorTickMark val="out"/>
        <c:minorTickMark val="none"/>
        <c:tickLblPos val="nextTo"/>
        <c:txPr>
          <a:bodyPr rot="-6000000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crossAx val="91241856"/>
        <c:crosses val="autoZero"/>
        <c:crossBetween val="between"/>
      </c:valAx>
      <c:spPr>
        <a:gradFill rotWithShape="1">
          <a:gsLst>
            <a:gs pos="0">
              <a:schemeClr val="dk1">
                <a:tint val="50000"/>
                <a:satMod val="300000"/>
              </a:schemeClr>
            </a:gs>
            <a:gs pos="35000">
              <a:schemeClr val="dk1">
                <a:tint val="37000"/>
                <a:satMod val="300000"/>
              </a:schemeClr>
            </a:gs>
            <a:gs pos="100000">
              <a:schemeClr val="dk1">
                <a:tint val="15000"/>
                <a:satMod val="350000"/>
              </a:schemeClr>
            </a:gs>
          </a:gsLst>
          <a:lin ang="16200000" scaled="1"/>
        </a:gradFill>
        <a:ln w="9525" cap="flat" cmpd="sng" algn="ctr">
          <a:solidFill>
            <a:schemeClr val="dk1">
              <a:shade val="95000"/>
              <a:satMod val="105000"/>
            </a:schemeClr>
          </a:solidFill>
          <a:prstDash val="solid"/>
        </a:ln>
        <a:effectLst>
          <a:outerShdw blurRad="40000" dist="20000" dir="5400000" rotWithShape="0">
            <a:srgbClr val="000000">
              <a:alpha val="38000"/>
            </a:srgbClr>
          </a:outerShdw>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6</a:t>
            </a:r>
            <a:r>
              <a:rPr lang="zh-CN" altLang="en-US"/>
              <a:t>：一般公共预算财政拨款支出决算结构图</a:t>
            </a:r>
            <a:endParaRPr lang="zh-CN" altLang="en-US"/>
          </a:p>
        </c:rich>
      </c:tx>
      <c:layout/>
      <c:overlay val="0"/>
    </c:title>
    <c:autoTitleDeleted val="0"/>
    <c:plotArea>
      <c:layout>
        <c:manualLayout>
          <c:layoutTarget val="inner"/>
          <c:xMode val="edge"/>
          <c:yMode val="edge"/>
          <c:x val="0.0940233036326251"/>
          <c:y val="0.244618656943178"/>
          <c:w val="0.509463102581677"/>
          <c:h val="0.67758128228502"/>
        </c:manualLayout>
      </c:layout>
      <c:pieChart>
        <c:varyColors val="1"/>
        <c:ser>
          <c:idx val="0"/>
          <c:order val="0"/>
          <c:tx>
            <c:strRef>
              <c:f>'[附件4：2021年决算公开附图(模板)仅供参考.xlsx]一般公共预算财政拨款支出决算结构图6'!$C$18</c:f>
              <c:strCache>
                <c:ptCount val="1"/>
                <c:pt idx="0">
                  <c:v>占比</c:v>
                </c:pt>
              </c:strCache>
            </c:strRef>
          </c:tx>
          <c:explosion val="0"/>
          <c:dPt>
            <c:idx val="0"/>
            <c:bubble3D val="0"/>
          </c:dPt>
          <c:dPt>
            <c:idx val="1"/>
            <c:bubble3D val="0"/>
          </c:dPt>
          <c:dPt>
            <c:idx val="2"/>
            <c:bubble3D val="0"/>
          </c:dPt>
          <c:dPt>
            <c:idx val="3"/>
            <c:bubble3D val="0"/>
          </c:dPt>
          <c:dPt>
            <c:idx val="4"/>
            <c:bubble3D val="0"/>
          </c:dPt>
          <c:dPt>
            <c:idx val="5"/>
            <c:bubble3D val="0"/>
          </c:dPt>
          <c:dPt>
            <c:idx val="6"/>
            <c:bubble3D val="0"/>
          </c:dPt>
          <c:dLbls>
            <c:dLbl>
              <c:idx val="5"/>
              <c:layout>
                <c:manualLayout>
                  <c:x val="0.0569634882148239"/>
                  <c:y val="-0.0231827518809166"/>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dLbl>
              <c:idx val="6"/>
              <c:layout>
                <c:manualLayout>
                  <c:x val="-0.00305024618798017"/>
                  <c:y val="0.119045485645333"/>
                </c:manualLayout>
              </c:layout>
              <c:dLblPos val="bestFi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'[附件4：2021年决算公开附图(模板)仅供参考.xlsx]一般公共预算财政拨款支出决算结构图6'!$B$19:$B$25</c:f>
              <c:strCache>
                <c:ptCount val="7"/>
                <c:pt idx="0">
                  <c:v>其他支出</c:v>
                </c:pt>
                <c:pt idx="1">
                  <c:v>教育支出</c:v>
                </c:pt>
                <c:pt idx="2">
                  <c:v>文化旅游体育与传媒支出</c:v>
                </c:pt>
                <c:pt idx="3">
                  <c:v>社会保障和就业支出</c:v>
                </c:pt>
                <c:pt idx="4">
                  <c:v>卫生健康支出</c:v>
                </c:pt>
                <c:pt idx="5">
                  <c:v>农林水支出</c:v>
                </c:pt>
                <c:pt idx="6">
                  <c:v>住房保障支出</c:v>
                </c:pt>
              </c:strCache>
            </c:strRef>
          </c:cat>
          <c:val>
            <c:numRef>
              <c:f>'[附件4：2021年决算公开附图(模板)仅供参考.xlsx]一般公共预算财政拨款支出决算结构图6'!$C$19:$C$25</c:f>
              <c:numCache>
                <c:formatCode>0.00%</c:formatCode>
                <c:ptCount val="7"/>
                <c:pt idx="0">
                  <c:v>0</c:v>
                </c:pt>
                <c:pt idx="1">
                  <c:v>0.7573</c:v>
                </c:pt>
                <c:pt idx="2">
                  <c:v>2.61387603920544e-5</c:v>
                </c:pt>
                <c:pt idx="3">
                  <c:v>0.1426</c:v>
                </c:pt>
                <c:pt idx="4">
                  <c:v>0.0284</c:v>
                </c:pt>
                <c:pt idx="5">
                  <c:v>0</c:v>
                </c:pt>
                <c:pt idx="6">
                  <c:v>0.0718</c:v>
                </c:pt>
              </c:numCache>
            </c:numRef>
          </c:val>
        </c:ser>
        <c:dLbls>
          <c:showLegendKey val="0"/>
          <c:showVal val="0"/>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1800" b="1" i="0" u="none" strike="noStrike" kern="1200" baseline="0">
                <a:solidFill>
                  <a:schemeClr val="dk1"/>
                </a:solidFill>
                <a:latin typeface="+mn-lt"/>
                <a:ea typeface="+mn-ea"/>
                <a:cs typeface="+mn-cs"/>
              </a:defRPr>
            </a:pPr>
            <a:r>
              <a:rPr lang="zh-CN" altLang="en-US"/>
              <a:t>图</a:t>
            </a:r>
            <a:r>
              <a:rPr lang="en-US" altLang="zh-CN"/>
              <a:t>7</a:t>
            </a:r>
            <a:r>
              <a:rPr lang="zh-CN" altLang="en-US"/>
              <a:t>：</a:t>
            </a:r>
            <a:r>
              <a:rPr lang="en-US" altLang="zh-CN"/>
              <a:t>2021</a:t>
            </a:r>
            <a:r>
              <a:rPr lang="zh-CN" altLang="en-US"/>
              <a:t>年  </a:t>
            </a:r>
            <a:r>
              <a:rPr lang="en-US" altLang="zh-CN"/>
              <a:t>"</a:t>
            </a:r>
            <a:r>
              <a:rPr lang="zh-CN" altLang="en-US"/>
              <a:t>三公”经费财政拨款                  支出结构图</a:t>
            </a:r>
            <a:endParaRPr lang="zh-CN" altLang="en-US"/>
          </a:p>
        </c:rich>
      </c:tx>
      <c:layout/>
      <c:overlay val="0"/>
    </c:title>
    <c:autoTitleDeleted val="0"/>
    <c:plotArea>
      <c:layout/>
      <c:pieChart>
        <c:varyColors val="1"/>
        <c:ser>
          <c:idx val="0"/>
          <c:order val="0"/>
          <c:tx>
            <c:strRef>
              <c:f>'[附件4：2021年决算公开附图(模板)仅供参考.xlsx]“三公”经费财政拨款支出结构图7 '!$B$9</c:f>
              <c:strCache>
                <c:ptCount val="1"/>
                <c:pt idx="0">
                  <c:v>占比</c:v>
                </c:pt>
              </c:strCache>
            </c:strRef>
          </c:tx>
          <c:explosion val="0"/>
          <c:dPt>
            <c:idx val="0"/>
            <c:bubble3D val="0"/>
          </c:dPt>
          <c:dPt>
            <c:idx val="1"/>
            <c:bubble3D val="0"/>
          </c:dPt>
          <c:dLbls>
            <c:spPr>
              <a:noFill/>
              <a:ln>
                <a:noFill/>
              </a:ln>
              <a:effectLst/>
            </c:spPr>
            <c:txPr>
              <a:bodyPr rot="0" spcFirstLastPara="0" vertOverflow="ellipsis" vert="horz" wrap="square" lIns="38100" tIns="19050" rIns="38100" bIns="19050" anchor="ctr" anchorCtr="1"/>
              <a:lstStyle/>
              <a:p>
                <a:pPr>
                  <a:defRPr lang="zh-CN" sz="1000" b="0" i="0" u="none" strike="noStrike" kern="1200" baseline="0">
                    <a:solidFill>
                      <a:schemeClr val="dk1"/>
                    </a:solidFill>
                    <a:latin typeface="+mn-lt"/>
                    <a:ea typeface="+mn-ea"/>
                    <a:cs typeface="+mn-cs"/>
                  </a:defRPr>
                </a:pPr>
              </a:p>
            </c:txPr>
            <c:dLblPos val="bestFit"/>
            <c:showLegendKey val="0"/>
            <c:showVal val="1"/>
            <c:showCatName val="0"/>
            <c:showSerName val="0"/>
            <c:showPercent val="0"/>
            <c:showBubbleSize val="0"/>
            <c:showLeaderLines val="1"/>
            <c:extLst>
              <c:ext xmlns:c15="http://schemas.microsoft.com/office/drawing/2012/chart" uri="{CE6537A1-D6FC-4f65-9D91-7224C49458BB}">
                <c15:layout/>
                <c15:showLeaderLines val="1"/>
                <c15:leaderLines/>
              </c:ext>
            </c:extLst>
          </c:dLbls>
          <c:cat>
            <c:strRef>
              <c:f>'[附件4：2021年决算公开附图(模板)仅供参考.xlsx]“三公”经费财政拨款支出结构图7 '!$A$10:$A$11</c:f>
              <c:strCache>
                <c:ptCount val="2"/>
                <c:pt idx="0">
                  <c:v>公务用车购置及运行维护费支出0万元</c:v>
                </c:pt>
                <c:pt idx="1">
                  <c:v>公务接待费支出0万元</c:v>
                </c:pt>
              </c:strCache>
            </c:strRef>
          </c:cat>
          <c:val>
            <c:numRef>
              <c:f>'[附件4：2021年决算公开附图(模板)仅供参考.xlsx]“三公”经费财政拨款支出结构图7 '!$B$10:$B$11</c:f>
              <c:numCache>
                <c:formatCode>0.00%</c:formatCode>
                <c:ptCount val="2"/>
                <c:pt idx="0">
                  <c:v>0</c:v>
                </c:pt>
                <c:pt idx="1">
                  <c:v>0</c:v>
                </c:pt>
              </c:numCache>
            </c:numRef>
          </c:val>
        </c:ser>
        <c:dLbls>
          <c:showLegendKey val="0"/>
          <c:showVal val="1"/>
          <c:showCatName val="0"/>
          <c:showSerName val="0"/>
          <c:showPercent val="0"/>
          <c:showBubbleSize val="0"/>
          <c:showLeaderLines val="1"/>
        </c:dLbls>
        <c:firstSliceAng val="15"/>
      </c:pieChart>
      <c:spPr>
        <a:noFill/>
        <a:ln>
          <a:noFill/>
        </a:ln>
        <a:effectLst/>
      </c:spPr>
    </c:plotArea>
    <c:legend>
      <c:legendPos val="r"/>
      <c:layout/>
      <c:overlay val="0"/>
      <c:txPr>
        <a:bodyPr rot="0" spcFirstLastPara="0" vertOverflow="ellipsis" vert="horz" wrap="square" anchor="ctr" anchorCtr="1"/>
        <a:lstStyle/>
        <a:p>
          <a:pPr>
            <a:defRPr lang="zh-CN" sz="1000" b="0" i="0" u="none" strike="noStrike" kern="1200" baseline="0">
              <a:solidFill>
                <a:schemeClr val="dk1"/>
              </a:solidFill>
              <a:latin typeface="+mn-lt"/>
              <a:ea typeface="+mn-ea"/>
              <a:cs typeface="+mn-cs"/>
            </a:defRPr>
          </a:pPr>
        </a:p>
      </c:txPr>
    </c:legend>
    <c:plotVisOnly val="1"/>
    <c:dispBlanksAs val="gap"/>
    <c:showDLblsOverMax val="0"/>
  </c:chart>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atMod val="105000"/>
        </a:schemeClr>
      </a:solidFill>
      <a:prstDash val="solid"/>
      <a:round/>
    </a:ln>
    <a:effectLst>
      <a:outerShdw blurRad="40000" dist="20000" dir="5400000" rotWithShape="0">
        <a:srgbClr val="000000">
          <a:alpha val="38000"/>
        </a:srgbClr>
      </a:outerShdw>
    </a:effectLst>
  </c:spPr>
  <c:txPr>
    <a:bodyPr/>
    <a:lstStyle/>
    <a:p>
      <a:pPr>
        <a:defRPr lang="zh-CN">
          <a:solidFill>
            <a:schemeClr val="dk1"/>
          </a:solidFill>
          <a:latin typeface="+mn-lt"/>
          <a:ea typeface="+mn-ea"/>
          <a:cs typeface="+mn-cs"/>
        </a:defRPr>
      </a:pPr>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四川省财政厅</Company>
  <Pages>43</Pages>
  <Words>6677</Words>
  <Characters>1121</Characters>
  <Lines>9</Lines>
  <Paragraphs>15</Paragraphs>
  <TotalTime>9</TotalTime>
  <ScaleCrop>false</ScaleCrop>
  <LinksUpToDate>false</LinksUpToDate>
  <CharactersWithSpaces>7783</CharactersWithSpaces>
  <Application>WPS Office_11.8.2.9067_F1E327BC-269C-435d-A152-05C5408002CA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2022-09-13T01:18:00Z</dcterms:created>
  <dc:creator>曹颖</dc:creator>
  <cp:lastModifiedBy>Sunny</cp:lastModifiedBy>
  <cp:lastPrinted>2022-12-07T05:18:17Z</cp:lastPrinted>
  <dcterms:modified xsi:type="dcterms:W3CDTF">2022-12-07T05:21:54Z</dcterms:modified>
  <dc:title>四川省***</dc:title>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2052-11.8.2.9067</vt:lpwstr>
  </property>
</Properties>
</file>