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7425"/>
      <w:bookmarkStart w:id="3" w:name="_Toc15396475"/>
      <w:bookmarkStart w:id="4" w:name="_Toc15377193"/>
      <w:bookmarkStart w:id="5" w:name="_Toc15378441"/>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598"/>
      <w:bookmarkStart w:id="7" w:name="_Toc15377426"/>
      <w:bookmarkStart w:id="8" w:name="_Toc15396476"/>
      <w:bookmarkStart w:id="9" w:name="_Toc15378442"/>
      <w:bookmarkStart w:id="10" w:name="_Toc15377194"/>
      <w:r>
        <w:rPr>
          <w:rFonts w:hint="eastAsia" w:ascii="方正小标宋简体" w:hAnsi="方正小标宋简体" w:eastAsia="方正小标宋简体" w:cs="方正小标宋简体"/>
          <w:sz w:val="72"/>
          <w:szCs w:val="72"/>
        </w:rPr>
        <w:t>乐山市市中区</w:t>
      </w:r>
      <w:bookmarkEnd w:id="0"/>
      <w:bookmarkStart w:id="11" w:name="_Toc15306268"/>
      <w:r>
        <w:rPr>
          <w:rFonts w:hint="eastAsia" w:ascii="方正小标宋简体" w:hAnsi="方正小标宋简体" w:eastAsia="方正小标宋简体" w:cs="方正小标宋简体"/>
          <w:sz w:val="72"/>
          <w:szCs w:val="72"/>
          <w:lang w:eastAsia="zh-CN"/>
        </w:rPr>
        <w:t>龙泓路小学</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pPr>
        <w:adjustRightInd w:val="0"/>
        <w:snapToGrid w:val="0"/>
        <w:spacing w:line="360" w:lineRule="auto"/>
        <w:jc w:val="center"/>
        <w:outlineLvl w:val="0"/>
        <w:rPr>
          <w:rFonts w:ascii="方正小标宋简体" w:hAnsi="宋体" w:eastAsia="方正小标宋简体"/>
          <w:sz w:val="52"/>
          <w:szCs w:val="52"/>
        </w:rPr>
      </w:pP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 xml:space="preserve">公开时间：2022年 </w:t>
      </w:r>
      <w:r>
        <w:rPr>
          <w:rFonts w:hint="eastAsia"/>
          <w:lang w:val="en-US" w:eastAsia="zh-CN"/>
        </w:rPr>
        <w:t>10</w:t>
      </w:r>
      <w:r>
        <w:rPr>
          <w:rFonts w:hint="eastAsia"/>
        </w:rPr>
        <w:t>月</w:t>
      </w:r>
      <w:r>
        <w:rPr>
          <w:rFonts w:hint="eastAsia"/>
          <w:lang w:val="en-US" w:eastAsia="zh-CN"/>
        </w:rPr>
        <w:t>14</w:t>
      </w:r>
      <w:r>
        <w:rPr>
          <w:rFonts w:hint="eastAsia"/>
        </w:rPr>
        <w:t xml:space="preserve"> 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rFonts w:hint="eastAsia" w:eastAsia="宋体"/>
          <w:sz w:val="24"/>
          <w:lang w:val="en-US" w:eastAsia="zh-CN"/>
        </w:rPr>
      </w:pPr>
      <w:r>
        <w:rPr>
          <w:rFonts w:hint="eastAsia"/>
          <w:sz w:val="24"/>
        </w:rPr>
        <w:t xml:space="preserve">一、职能简介 </w:t>
      </w:r>
      <w:r>
        <w:rPr>
          <w:rFonts w:hint="eastAsia" w:ascii="宋体" w:hAnsi="宋体" w:cs="宋体"/>
          <w:sz w:val="24"/>
        </w:rPr>
        <w:t>……………………………………………………………………</w:t>
      </w:r>
      <w:r>
        <w:rPr>
          <w:rFonts w:hint="eastAsia" w:ascii="宋体" w:hAnsi="宋体" w:cs="宋体"/>
          <w:sz w:val="24"/>
          <w:lang w:val="en-US" w:eastAsia="zh-CN"/>
        </w:rPr>
        <w:t>4</w:t>
      </w:r>
    </w:p>
    <w:p>
      <w:pPr>
        <w:pStyle w:val="11"/>
        <w:adjustRightInd w:val="0"/>
        <w:snapToGrid w:val="0"/>
        <w:spacing w:line="440" w:lineRule="exact"/>
        <w:jc w:val="left"/>
        <w:rPr>
          <w:rFonts w:hint="eastAsia"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w:t>
      </w:r>
      <w:r>
        <w:rPr>
          <w:rFonts w:hint="eastAsia" w:ascii="宋体" w:hAnsi="宋体" w:cs="宋体"/>
          <w:sz w:val="24"/>
          <w:lang w:val="en-US" w:eastAsia="zh-CN"/>
        </w:rPr>
        <w:t>4</w:t>
      </w:r>
    </w:p>
    <w:p>
      <w:pPr>
        <w:pStyle w:val="10"/>
        <w:adjustRightInd w:val="0"/>
        <w:snapToGrid w:val="0"/>
        <w:spacing w:before="0" w:line="440" w:lineRule="exact"/>
        <w:jc w:val="left"/>
        <w:rPr>
          <w:rFonts w:hint="eastAsia" w:eastAsia="仿宋"/>
          <w:sz w:val="24"/>
          <w:szCs w:val="24"/>
          <w:lang w:val="en-US" w:eastAsia="zh-CN"/>
        </w:rPr>
      </w:pPr>
      <w:r>
        <w:rPr>
          <w:rFonts w:hint="eastAsia"/>
          <w:sz w:val="24"/>
        </w:rPr>
        <w:t>第二部分 2021年度单位决算情况说明</w:t>
      </w:r>
      <w:r>
        <w:rPr>
          <w:rFonts w:hint="eastAsia" w:ascii="宋体" w:hAnsi="宋体" w:cs="宋体"/>
          <w:sz w:val="24"/>
        </w:rPr>
        <w:t>……………………………………………</w:t>
      </w:r>
      <w:r>
        <w:rPr>
          <w:rFonts w:hint="eastAsia" w:ascii="宋体" w:hAnsi="宋体" w:cs="宋体"/>
          <w:sz w:val="24"/>
          <w:lang w:val="en-US" w:eastAsia="zh-CN"/>
        </w:rPr>
        <w:t>5</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一、收入支出决算总体情况说明</w:t>
      </w:r>
      <w:r>
        <w:rPr>
          <w:rFonts w:hint="eastAsia" w:ascii="宋体" w:hAnsi="宋体" w:cs="宋体"/>
          <w:sz w:val="24"/>
        </w:rPr>
        <w:t>………………………………………………</w:t>
      </w:r>
      <w:r>
        <w:rPr>
          <w:rFonts w:hint="eastAsia" w:ascii="宋体" w:hAnsi="宋体" w:cs="宋体"/>
          <w:sz w:val="24"/>
          <w:lang w:val="en-US" w:eastAsia="zh-CN"/>
        </w:rPr>
        <w:t>5</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二、收入决算情况说明</w:t>
      </w:r>
      <w:r>
        <w:rPr>
          <w:rFonts w:hint="eastAsia" w:ascii="宋体" w:hAnsi="宋体" w:cs="宋体"/>
          <w:sz w:val="24"/>
        </w:rPr>
        <w:t>…………………………………………………………</w:t>
      </w:r>
      <w:r>
        <w:rPr>
          <w:rFonts w:hint="eastAsia" w:ascii="宋体" w:hAnsi="宋体" w:cs="宋体"/>
          <w:sz w:val="24"/>
          <w:lang w:val="en-US" w:eastAsia="zh-CN"/>
        </w:rPr>
        <w:t>5</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三、支出决算情况说明</w:t>
      </w:r>
      <w:r>
        <w:rPr>
          <w:rFonts w:hint="eastAsia" w:ascii="宋体" w:hAnsi="宋体" w:cs="宋体"/>
          <w:sz w:val="24"/>
        </w:rPr>
        <w:t>…………………………………………………………</w:t>
      </w:r>
      <w:r>
        <w:rPr>
          <w:rFonts w:hint="eastAsia" w:ascii="宋体" w:hAnsi="宋体" w:cs="宋体"/>
          <w:sz w:val="24"/>
          <w:lang w:val="en-US" w:eastAsia="zh-CN"/>
        </w:rPr>
        <w:t>6</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四、财政拨款收入支出决算总体情况说明</w:t>
      </w:r>
      <w:r>
        <w:rPr>
          <w:rFonts w:hint="eastAsia" w:ascii="宋体" w:hAnsi="宋体" w:cs="宋体"/>
          <w:sz w:val="24"/>
        </w:rPr>
        <w:t>……………………………………</w:t>
      </w:r>
      <w:r>
        <w:rPr>
          <w:rFonts w:hint="eastAsia" w:ascii="宋体" w:hAnsi="宋体" w:cs="宋体"/>
          <w:sz w:val="24"/>
          <w:lang w:val="en-US" w:eastAsia="zh-CN"/>
        </w:rPr>
        <w:t>6</w:t>
      </w:r>
      <w:r>
        <w:rPr>
          <w:rFonts w:hint="eastAsia"/>
          <w:sz w:val="24"/>
        </w:rPr>
        <w:t>五、一般公共预算财政拨款支出决算情况说明</w:t>
      </w:r>
      <w:r>
        <w:rPr>
          <w:rFonts w:hint="eastAsia" w:ascii="宋体" w:hAnsi="宋体" w:cs="宋体"/>
          <w:sz w:val="24"/>
        </w:rPr>
        <w:t>………………………………</w:t>
      </w:r>
      <w:r>
        <w:rPr>
          <w:rFonts w:hint="eastAsia" w:ascii="宋体" w:hAnsi="宋体" w:cs="宋体"/>
          <w:sz w:val="24"/>
          <w:lang w:val="en-US" w:eastAsia="zh-CN"/>
        </w:rPr>
        <w:t>7</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六、一般公共预算财政拨款基本支出决算情况说明</w:t>
      </w:r>
      <w:r>
        <w:rPr>
          <w:rFonts w:hint="eastAsia" w:ascii="宋体" w:hAnsi="宋体" w:cs="宋体"/>
          <w:sz w:val="24"/>
        </w:rPr>
        <w:t>…………………………</w:t>
      </w:r>
      <w:r>
        <w:rPr>
          <w:rFonts w:hint="eastAsia" w:ascii="宋体" w:hAnsi="宋体" w:cs="宋体"/>
          <w:sz w:val="24"/>
          <w:lang w:val="en-US" w:eastAsia="zh-CN"/>
        </w:rPr>
        <w:t>8</w:t>
      </w:r>
    </w:p>
    <w:p>
      <w:pPr>
        <w:pStyle w:val="11"/>
        <w:adjustRightInd w:val="0"/>
        <w:snapToGrid w:val="0"/>
        <w:spacing w:line="440" w:lineRule="exact"/>
        <w:jc w:val="left"/>
        <w:rPr>
          <w:rFonts w:hint="eastAsia" w:ascii="仿宋" w:hAnsi="仿宋" w:eastAsia="宋体" w:cstheme="minorBidi"/>
          <w:sz w:val="24"/>
          <w:lang w:val="en-US" w:eastAsia="zh-CN"/>
        </w:rPr>
      </w:pPr>
      <w:r>
        <w:rPr>
          <w:rFonts w:hint="eastAsia"/>
          <w:sz w:val="24"/>
        </w:rPr>
        <w:t xml:space="preserve">七、“三公”经费财政拨款支出决算情况说明 </w:t>
      </w:r>
      <w:r>
        <w:rPr>
          <w:rFonts w:hint="eastAsia" w:ascii="宋体" w:hAnsi="宋体" w:cs="宋体"/>
          <w:sz w:val="24"/>
        </w:rPr>
        <w:t>………………………………</w:t>
      </w:r>
      <w:r>
        <w:rPr>
          <w:rFonts w:hint="eastAsia" w:ascii="宋体" w:hAnsi="宋体" w:cs="宋体"/>
          <w:sz w:val="24"/>
          <w:lang w:val="en-US" w:eastAsia="zh-CN"/>
        </w:rPr>
        <w:t>8</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ascii="宋体" w:hAnsi="宋体" w:cs="宋体"/>
          <w:sz w:val="24"/>
        </w:rPr>
        <w:t>………………………………………</w:t>
      </w:r>
      <w:r>
        <w:rPr>
          <w:rFonts w:hint="eastAsia" w:ascii="宋体" w:hAnsi="宋体" w:cs="宋体"/>
          <w:sz w:val="24"/>
          <w:lang w:val="en-US" w:eastAsia="zh-CN"/>
        </w:rPr>
        <w:t>10</w:t>
      </w:r>
    </w:p>
    <w:p>
      <w:pPr>
        <w:pStyle w:val="11"/>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ascii="宋体" w:hAnsi="宋体" w:cs="宋体"/>
          <w:sz w:val="24"/>
        </w:rPr>
        <w:t>……………………………………</w:t>
      </w:r>
      <w:r>
        <w:rPr>
          <w:rFonts w:hint="eastAsia" w:ascii="宋体" w:hAnsi="宋体" w:cs="宋体"/>
          <w:sz w:val="24"/>
          <w:lang w:val="en-US" w:eastAsia="zh-CN"/>
        </w:rPr>
        <w:t>10</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ascii="宋体" w:hAnsi="宋体" w:cs="宋体"/>
          <w:sz w:val="24"/>
        </w:rPr>
        <w:t>…………………………………………………</w:t>
      </w:r>
      <w:r>
        <w:rPr>
          <w:rFonts w:hint="eastAsia" w:ascii="宋体" w:hAnsi="宋体" w:cs="宋体"/>
          <w:sz w:val="24"/>
          <w:lang w:val="en-US" w:eastAsia="zh-CN"/>
        </w:rPr>
        <w:t>11</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w:t>
      </w:r>
      <w:r>
        <w:rPr>
          <w:rFonts w:hint="eastAsia" w:ascii="宋体" w:hAnsi="宋体" w:cs="宋体"/>
          <w:sz w:val="24"/>
          <w:lang w:val="en-US" w:eastAsia="zh-CN"/>
        </w:rPr>
        <w:t>21</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19</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25</w:t>
      </w:r>
    </w:p>
    <w:p>
      <w:pPr>
        <w:pStyle w:val="11"/>
        <w:adjustRightInd w:val="0"/>
        <w:snapToGrid w:val="0"/>
        <w:spacing w:line="440" w:lineRule="exact"/>
        <w:jc w:val="left"/>
        <w:rPr>
          <w:rFonts w:hint="eastAsia" w:eastAsia="宋体"/>
          <w:sz w:val="24"/>
          <w:lang w:val="en-US" w:eastAsia="zh-CN"/>
        </w:rPr>
      </w:pPr>
      <w:r>
        <w:rPr>
          <w:rFonts w:hint="eastAsia"/>
          <w:sz w:val="24"/>
        </w:rPr>
        <w:t>一、收入支出决算总表</w:t>
      </w:r>
      <w:r>
        <w:rPr>
          <w:rFonts w:hint="eastAsia" w:ascii="宋体" w:hAnsi="宋体" w:cs="宋体"/>
          <w:sz w:val="24"/>
        </w:rPr>
        <w:t>…………………………………………………………2</w:t>
      </w:r>
      <w:r>
        <w:rPr>
          <w:rFonts w:hint="eastAsia" w:ascii="宋体" w:hAnsi="宋体" w:cs="宋体"/>
          <w:sz w:val="24"/>
          <w:lang w:val="en-US" w:eastAsia="zh-CN"/>
        </w:rPr>
        <w:t>8</w:t>
      </w:r>
    </w:p>
    <w:p>
      <w:pPr>
        <w:pStyle w:val="11"/>
        <w:adjustRightInd w:val="0"/>
        <w:snapToGrid w:val="0"/>
        <w:spacing w:line="440" w:lineRule="exact"/>
        <w:jc w:val="left"/>
        <w:rPr>
          <w:rFonts w:hint="eastAsia" w:eastAsia="宋体"/>
          <w:sz w:val="24"/>
          <w:lang w:val="en-US" w:eastAsia="zh-CN"/>
        </w:rPr>
      </w:pPr>
      <w:r>
        <w:rPr>
          <w:rFonts w:hint="eastAsia"/>
          <w:sz w:val="24"/>
        </w:rPr>
        <w:t>二、收入决算表</w:t>
      </w:r>
      <w:r>
        <w:rPr>
          <w:rFonts w:hint="eastAsia" w:ascii="宋体" w:hAnsi="宋体" w:cs="宋体"/>
          <w:sz w:val="24"/>
        </w:rPr>
        <w:t>…………………………………………………………………2</w:t>
      </w:r>
      <w:r>
        <w:rPr>
          <w:rFonts w:hint="eastAsia" w:ascii="宋体" w:hAnsi="宋体" w:cs="宋体"/>
          <w:sz w:val="24"/>
          <w:lang w:val="en-US" w:eastAsia="zh-CN"/>
        </w:rPr>
        <w:t>9</w:t>
      </w:r>
    </w:p>
    <w:p>
      <w:pPr>
        <w:pStyle w:val="11"/>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…………………………………………………………………2</w:t>
      </w:r>
      <w:r>
        <w:rPr>
          <w:rFonts w:hint="eastAsia" w:ascii="宋体" w:hAnsi="宋体" w:cs="宋体"/>
          <w:sz w:val="24"/>
          <w:lang w:val="en-US" w:eastAsia="zh-CN"/>
        </w:rPr>
        <w:t>9</w:t>
      </w:r>
      <w:r>
        <w:rPr>
          <w:rFonts w:hint="eastAsia"/>
          <w:sz w:val="24"/>
        </w:rPr>
        <w:t>四、财政拨款收入支出决算总表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ascii="宋体" w:hAnsi="宋体" w:cs="宋体"/>
          <w:sz w:val="24"/>
        </w:rPr>
        <w:t>………………………………………</w:t>
      </w:r>
      <w:r>
        <w:rPr>
          <w:rFonts w:hint="eastAsia" w:ascii="宋体" w:hAnsi="宋体" w:cs="宋体"/>
          <w:sz w:val="24"/>
          <w:lang w:val="en-US" w:eastAsia="zh-CN"/>
        </w:rPr>
        <w:t>32</w:t>
      </w:r>
    </w:p>
    <w:p>
      <w:pPr>
        <w:pStyle w:val="11"/>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ascii="宋体" w:hAnsi="宋体" w:cs="宋体"/>
          <w:sz w:val="24"/>
        </w:rPr>
        <w:t>…………………………………</w:t>
      </w:r>
      <w:r>
        <w:rPr>
          <w:rFonts w:hint="eastAsia" w:ascii="宋体" w:hAnsi="宋体" w:cs="宋体"/>
          <w:sz w:val="24"/>
          <w:lang w:val="en-US" w:eastAsia="zh-CN"/>
        </w:rPr>
        <w:t>32</w:t>
      </w:r>
    </w:p>
    <w:p>
      <w:pPr>
        <w:pStyle w:val="11"/>
        <w:adjustRightInd w:val="0"/>
        <w:snapToGrid w:val="0"/>
        <w:spacing w:line="440" w:lineRule="exact"/>
        <w:jc w:val="left"/>
        <w:rPr>
          <w:rFonts w:hint="default" w:eastAsia="宋体"/>
          <w:sz w:val="24"/>
          <w:lang w:val="en-US" w:eastAsia="zh-CN"/>
        </w:rPr>
      </w:pPr>
      <w:r>
        <w:rPr>
          <w:rFonts w:hint="eastAsia"/>
          <w:sz w:val="24"/>
        </w:rPr>
        <w:t>八、一般公共预算财政拨款基本支出决算表</w:t>
      </w:r>
      <w:r>
        <w:rPr>
          <w:rFonts w:hint="eastAsia" w:ascii="宋体" w:hAnsi="宋体" w:cs="宋体"/>
          <w:sz w:val="24"/>
        </w:rPr>
        <w:t>…………………………………</w:t>
      </w:r>
      <w:r>
        <w:rPr>
          <w:rFonts w:hint="eastAsia" w:ascii="宋体" w:hAnsi="宋体" w:cs="宋体"/>
          <w:sz w:val="24"/>
          <w:lang w:val="en-US" w:eastAsia="zh-CN"/>
        </w:rPr>
        <w:t>34</w:t>
      </w:r>
    </w:p>
    <w:p>
      <w:pPr>
        <w:pStyle w:val="11"/>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ascii="宋体" w:hAnsi="宋体" w:cs="宋体"/>
          <w:sz w:val="24"/>
        </w:rPr>
        <w:t>…………………………………</w:t>
      </w:r>
      <w:r>
        <w:rPr>
          <w:rFonts w:hint="eastAsia" w:ascii="宋体" w:hAnsi="宋体" w:cs="宋体"/>
          <w:sz w:val="24"/>
          <w:lang w:val="en-US" w:eastAsia="zh-CN"/>
        </w:rPr>
        <w:t>34</w:t>
      </w:r>
      <w:bookmarkStart w:id="71" w:name="_GoBack"/>
      <w:bookmarkEnd w:id="71"/>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36</w:t>
      </w:r>
    </w:p>
    <w:p>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3"/>
        <w:jc w:val="center"/>
        <w:rPr>
          <w:rStyle w:val="24"/>
          <w:rFonts w:ascii="黑体" w:hAnsi="黑体" w:eastAsia="黑体"/>
          <w:b/>
          <w:bCs w:val="0"/>
        </w:rPr>
      </w:pPr>
      <w:r>
        <w:rPr>
          <w:rFonts w:hint="eastAsia" w:ascii="黑体" w:hAnsi="黑体" w:eastAsia="黑体"/>
          <w:b w:val="0"/>
        </w:rPr>
        <w:t>第一部分 单位</w:t>
      </w:r>
      <w:r>
        <w:rPr>
          <w:rStyle w:val="24"/>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5"/>
          <w:rFonts w:hint="eastAsia" w:ascii="黑体" w:hAnsi="黑体" w:eastAsia="黑体"/>
          <w:b w:val="0"/>
          <w:bCs w:val="0"/>
        </w:rPr>
      </w:pPr>
      <w:bookmarkStart w:id="14" w:name="_Toc15396600"/>
      <w:bookmarkStart w:id="15" w:name="_Toc15377197"/>
      <w:r>
        <w:rPr>
          <w:rStyle w:val="25"/>
          <w:rFonts w:hint="eastAsia" w:ascii="黑体" w:hAnsi="黑体" w:eastAsia="黑体"/>
          <w:b w:val="0"/>
          <w:bCs w:val="0"/>
        </w:rPr>
        <w:t>职能简介</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16" w:name="_Toc15377198"/>
      <w:bookmarkStart w:id="17" w:name="_Toc15378445"/>
      <w:r>
        <w:rPr>
          <w:rFonts w:hint="eastAsia" w:ascii="仿宋" w:hAnsi="仿宋" w:eastAsia="仿宋"/>
          <w:bCs/>
          <w:color w:val="000000"/>
          <w:sz w:val="32"/>
          <w:szCs w:val="32"/>
        </w:rPr>
        <w:t>（一）主要职能。</w:t>
      </w:r>
      <w:bookmarkEnd w:id="16"/>
      <w:bookmarkEnd w:id="17"/>
    </w:p>
    <w:p>
      <w:pPr>
        <w:ind w:firstLine="640" w:firstLineChars="200"/>
        <w:rPr>
          <w:rFonts w:ascii="宋体" w:hAnsi="宋体"/>
          <w:bCs/>
          <w:color w:val="000000"/>
          <w:sz w:val="32"/>
          <w:szCs w:val="32"/>
        </w:rPr>
      </w:pPr>
      <w:r>
        <w:rPr>
          <w:rFonts w:hint="eastAsia" w:ascii="宋体" w:hAnsi="宋体"/>
          <w:bCs/>
          <w:color w:val="000000"/>
          <w:sz w:val="32"/>
          <w:szCs w:val="32"/>
        </w:rPr>
        <w:t>乐山市龙泓路小学是隶属于乐山市市中区教育局的一级预决算单位，属事业单位。其宗旨和业务范围：实施义务教育，促进基础教育发展。小学学历教育；主要职责：</w:t>
      </w:r>
      <w:r>
        <w:rPr>
          <w:rFonts w:hint="eastAsia" w:ascii="宋体" w:hAnsi="宋体"/>
          <w:sz w:val="32"/>
          <w:szCs w:val="32"/>
        </w:rPr>
        <w:t>严格遵守国家法律，法规，全面执行党的教育方针，坚持严格管理信守职业道德。立足未来，以人为本，科学施教，启发潜能，举办和施行学前教育，追求完善，多元化发展，创造品牌。</w:t>
      </w:r>
    </w:p>
    <w:p>
      <w:pPr>
        <w:spacing w:line="560" w:lineRule="exact"/>
        <w:ind w:firstLine="640" w:firstLineChars="200"/>
        <w:rPr>
          <w:rFonts w:hint="eastAsia" w:ascii="仿宋" w:hAnsi="仿宋" w:eastAsia="仿宋"/>
          <w:bCs/>
          <w:color w:val="000000"/>
          <w:sz w:val="32"/>
          <w:szCs w:val="32"/>
        </w:rPr>
      </w:pPr>
      <w:bookmarkStart w:id="18" w:name="_Toc15396601"/>
      <w:bookmarkStart w:id="19" w:name="_Toc15377200"/>
      <w:r>
        <w:rPr>
          <w:rFonts w:hint="eastAsia" w:ascii="仿宋" w:hAnsi="仿宋" w:eastAsia="仿宋"/>
          <w:bCs/>
          <w:color w:val="000000"/>
          <w:sz w:val="32"/>
          <w:szCs w:val="32"/>
          <w:lang w:eastAsia="zh-CN"/>
        </w:rPr>
        <w:t>（二）</w:t>
      </w:r>
      <w:r>
        <w:rPr>
          <w:rFonts w:hint="eastAsia" w:ascii="仿宋" w:hAnsi="仿宋" w:eastAsia="仿宋"/>
          <w:bCs/>
          <w:color w:val="000000"/>
          <w:sz w:val="32"/>
          <w:szCs w:val="32"/>
        </w:rPr>
        <w:t>机构设置</w:t>
      </w:r>
      <w:bookmarkEnd w:id="18"/>
      <w:bookmarkEnd w:id="19"/>
    </w:p>
    <w:p>
      <w:pPr>
        <w:ind w:firstLine="800" w:firstLineChars="250"/>
        <w:rPr>
          <w:rFonts w:ascii="宋体" w:hAnsi="宋体"/>
          <w:sz w:val="32"/>
          <w:szCs w:val="32"/>
        </w:rPr>
      </w:pPr>
      <w:r>
        <w:rPr>
          <w:rFonts w:hint="eastAsia" w:ascii="宋体" w:hAnsi="宋体"/>
          <w:sz w:val="32"/>
          <w:szCs w:val="32"/>
        </w:rPr>
        <w:t>乐山市龙泓路小学属于乐山市市中区教育局下属二级单位。已</w:t>
      </w:r>
      <w:r>
        <w:rPr>
          <w:rFonts w:hint="eastAsia" w:ascii="宋体" w:hAnsi="宋体"/>
          <w:color w:val="000000"/>
          <w:sz w:val="32"/>
          <w:szCs w:val="32"/>
        </w:rPr>
        <w:t>纳入</w:t>
      </w:r>
      <w:r>
        <w:rPr>
          <w:rFonts w:hint="eastAsia" w:ascii="宋体" w:hAnsi="宋体"/>
          <w:color w:val="000000"/>
          <w:sz w:val="32"/>
          <w:szCs w:val="32"/>
          <w:lang w:eastAsia="zh-CN"/>
        </w:rPr>
        <w:t>2021</w:t>
      </w:r>
      <w:r>
        <w:rPr>
          <w:rFonts w:hint="eastAsia" w:ascii="宋体" w:hAnsi="宋体"/>
          <w:color w:val="000000"/>
          <w:sz w:val="32"/>
          <w:szCs w:val="32"/>
        </w:rPr>
        <w:t>年度部门决算编制范围的一级预算单位。</w:t>
      </w:r>
      <w:r>
        <w:rPr>
          <w:rFonts w:hint="eastAsia" w:ascii="宋体" w:hAnsi="宋体"/>
          <w:sz w:val="32"/>
          <w:szCs w:val="32"/>
        </w:rPr>
        <w:t>目前有3</w:t>
      </w:r>
      <w:r>
        <w:rPr>
          <w:rFonts w:hint="eastAsia" w:ascii="宋体" w:hAnsi="宋体"/>
          <w:sz w:val="32"/>
          <w:szCs w:val="32"/>
          <w:lang w:val="en-US" w:eastAsia="zh-CN"/>
        </w:rPr>
        <w:t>5</w:t>
      </w:r>
      <w:r>
        <w:rPr>
          <w:rFonts w:hint="eastAsia" w:ascii="宋体" w:hAnsi="宋体"/>
          <w:sz w:val="32"/>
          <w:szCs w:val="32"/>
        </w:rPr>
        <w:t>名在职教师。</w:t>
      </w:r>
    </w:p>
    <w:p>
      <w:pPr>
        <w:numPr>
          <w:ilvl w:val="0"/>
          <w:numId w:val="0"/>
        </w:numPr>
      </w:pPr>
    </w:p>
    <w:p>
      <w:pPr>
        <w:pStyle w:val="4"/>
        <w:rPr>
          <w:rFonts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autoSpaceDE w:val="0"/>
        <w:autoSpaceDN w:val="0"/>
        <w:adjustRightInd w:val="0"/>
        <w:ind w:firstLine="800" w:firstLineChars="250"/>
        <w:rPr>
          <w:rFonts w:ascii="宋体" w:hAnsi="宋体"/>
          <w:bCs/>
          <w:color w:val="000000"/>
          <w:sz w:val="32"/>
          <w:szCs w:val="32"/>
        </w:rPr>
      </w:pPr>
      <w:r>
        <w:rPr>
          <w:rFonts w:hint="eastAsia" w:ascii="宋体" w:hAnsi="宋体"/>
          <w:bCs/>
          <w:color w:val="000000"/>
          <w:sz w:val="32"/>
          <w:szCs w:val="32"/>
        </w:rPr>
        <w:t>1、安全工作</w:t>
      </w:r>
    </w:p>
    <w:p>
      <w:pPr>
        <w:autoSpaceDE w:val="0"/>
        <w:autoSpaceDN w:val="0"/>
        <w:adjustRightInd w:val="0"/>
        <w:ind w:firstLine="800" w:firstLineChars="250"/>
        <w:rPr>
          <w:rFonts w:ascii="宋体" w:hAnsi="宋体"/>
          <w:bCs/>
          <w:color w:val="000000"/>
          <w:sz w:val="32"/>
          <w:szCs w:val="32"/>
        </w:rPr>
      </w:pPr>
      <w:r>
        <w:rPr>
          <w:rFonts w:hint="eastAsia" w:ascii="宋体" w:hAnsi="宋体"/>
          <w:bCs/>
          <w:color w:val="000000"/>
          <w:sz w:val="32"/>
          <w:szCs w:val="32"/>
        </w:rPr>
        <w:t>学校严格落实和规范校园安全工作规范安全管理体系，坚持“党政同责、一岗双责”的安全责任制度。加强安全意识，巩固安全成果，加强安全巡查，抓好安全教育、安全演练等等一系列安全活动，确保创建平安校园。</w:t>
      </w:r>
    </w:p>
    <w:p>
      <w:pPr>
        <w:autoSpaceDE w:val="0"/>
        <w:autoSpaceDN w:val="0"/>
        <w:adjustRightInd w:val="0"/>
        <w:ind w:firstLine="800" w:firstLineChars="250"/>
        <w:rPr>
          <w:rFonts w:ascii="宋体" w:hAnsi="宋体"/>
          <w:bCs/>
          <w:color w:val="000000"/>
          <w:sz w:val="32"/>
          <w:szCs w:val="32"/>
        </w:rPr>
      </w:pPr>
      <w:r>
        <w:rPr>
          <w:rFonts w:hint="eastAsia" w:ascii="宋体" w:hAnsi="宋体"/>
          <w:bCs/>
          <w:color w:val="000000"/>
          <w:sz w:val="32"/>
          <w:szCs w:val="32"/>
        </w:rPr>
        <w:t>2、教学工作</w:t>
      </w:r>
    </w:p>
    <w:p>
      <w:pPr>
        <w:autoSpaceDE w:val="0"/>
        <w:autoSpaceDN w:val="0"/>
        <w:adjustRightInd w:val="0"/>
        <w:ind w:firstLine="640" w:firstLineChars="200"/>
        <w:rPr>
          <w:rFonts w:ascii="宋体" w:hAnsi="宋体"/>
          <w:bCs/>
          <w:color w:val="000000"/>
          <w:sz w:val="32"/>
          <w:szCs w:val="32"/>
        </w:rPr>
      </w:pPr>
      <w:r>
        <w:rPr>
          <w:rFonts w:hint="eastAsia" w:ascii="宋体" w:hAnsi="宋体"/>
          <w:bCs/>
          <w:color w:val="000000"/>
          <w:sz w:val="32"/>
          <w:szCs w:val="32"/>
        </w:rPr>
        <w:t>做好小学教学工作，加强师资队伍建设不断提升保教质量。以课题研究及校本教研为导向，开展好小学教育教学活动，做好校本课程教育，让孩子在教育教学活动中得到全面的发展，具备基本的解决生活中问题的能力，培养合格的中华人民共和国公民。</w:t>
      </w:r>
    </w:p>
    <w:p>
      <w:pPr>
        <w:autoSpaceDE w:val="0"/>
        <w:autoSpaceDN w:val="0"/>
        <w:adjustRightInd w:val="0"/>
        <w:ind w:firstLine="640" w:firstLineChars="200"/>
        <w:rPr>
          <w:rFonts w:ascii="宋体" w:hAnsi="宋体"/>
          <w:bCs/>
          <w:color w:val="000000"/>
          <w:sz w:val="32"/>
          <w:szCs w:val="32"/>
        </w:rPr>
      </w:pPr>
      <w:r>
        <w:rPr>
          <w:rFonts w:hint="eastAsia" w:ascii="宋体" w:hAnsi="宋体"/>
          <w:bCs/>
          <w:color w:val="000000"/>
          <w:sz w:val="32"/>
          <w:szCs w:val="32"/>
        </w:rPr>
        <w:t>3、党风廉政建设</w:t>
      </w:r>
    </w:p>
    <w:p>
      <w:pPr>
        <w:widowControl/>
        <w:jc w:val="left"/>
        <w:rPr>
          <w:rFonts w:ascii="仿宋" w:hAnsi="仿宋" w:eastAsia="仿宋"/>
          <w:kern w:val="0"/>
          <w:sz w:val="32"/>
          <w:szCs w:val="32"/>
        </w:rPr>
      </w:pPr>
      <w:r>
        <w:rPr>
          <w:rFonts w:hint="eastAsia" w:ascii="宋体" w:hAnsi="宋体"/>
          <w:bCs/>
          <w:color w:val="000000"/>
          <w:sz w:val="32"/>
          <w:szCs w:val="32"/>
        </w:rPr>
        <w:t>认真开展政治学习，规范教育教学行为，加强师德师风建设与监督，将师德考核纳入工作考核，全面提高政治认识，贯彻党的教育方针。</w:t>
      </w:r>
      <w:r>
        <w:rPr>
          <w:rFonts w:ascii="仿宋" w:hAnsi="仿宋" w:eastAsia="仿宋"/>
          <w:sz w:val="32"/>
          <w:szCs w:val="32"/>
        </w:rPr>
        <w:br w:type="page"/>
      </w:r>
    </w:p>
    <w:p>
      <w:pPr>
        <w:pStyle w:val="3"/>
        <w:ind w:right="440"/>
        <w:jc w:val="center"/>
        <w:rPr>
          <w:rStyle w:val="24"/>
          <w:rFonts w:ascii="黑体" w:hAnsi="黑体" w:eastAsia="黑体"/>
          <w:b w:val="0"/>
          <w:bCs/>
        </w:rPr>
      </w:pPr>
      <w:bookmarkStart w:id="20" w:name="_Toc15377204"/>
      <w:bookmarkStart w:id="21" w:name="_Toc15396602"/>
      <w:r>
        <w:rPr>
          <w:rFonts w:hint="eastAsia" w:ascii="黑体" w:hAnsi="黑体" w:eastAsia="黑体"/>
          <w:b w:val="0"/>
        </w:rPr>
        <w:t>第二部分 2021年度</w:t>
      </w:r>
      <w:r>
        <w:rPr>
          <w:rStyle w:val="24"/>
          <w:rFonts w:hint="eastAsia" w:ascii="黑体" w:hAnsi="黑体" w:eastAsia="黑体"/>
          <w:b w:val="0"/>
          <w:bCs/>
        </w:rPr>
        <w:t>单位决算情况说明</w:t>
      </w:r>
      <w:bookmarkEnd w:id="20"/>
      <w:bookmarkEnd w:id="21"/>
    </w:p>
    <w:p/>
    <w:p>
      <w:pPr>
        <w:pStyle w:val="23"/>
        <w:numPr>
          <w:ilvl w:val="0"/>
          <w:numId w:val="2"/>
        </w:numPr>
        <w:spacing w:line="600" w:lineRule="exact"/>
        <w:ind w:firstLineChars="0"/>
        <w:outlineLvl w:val="1"/>
        <w:rPr>
          <w:rStyle w:val="25"/>
          <w:rFonts w:ascii="黑体" w:hAnsi="黑体" w:eastAsia="黑体"/>
          <w:b w:val="0"/>
        </w:rPr>
      </w:pPr>
      <w:bookmarkStart w:id="22" w:name="_Toc15377205"/>
      <w:bookmarkStart w:id="23" w:name="_Toc15396603"/>
      <w:r>
        <w:rPr>
          <w:rFonts w:hint="eastAsia" w:ascii="黑体" w:hAnsi="黑体" w:eastAsia="黑体"/>
          <w:sz w:val="32"/>
          <w:szCs w:val="32"/>
        </w:rPr>
        <w:t>收</w:t>
      </w:r>
      <w:r>
        <w:rPr>
          <w:rStyle w:val="25"/>
          <w:rFonts w:hint="eastAsia" w:ascii="黑体" w:hAnsi="黑体" w:eastAsia="黑体"/>
          <w:b w:val="0"/>
        </w:rPr>
        <w:t>入支出决算总体情况说明</w:t>
      </w:r>
      <w:bookmarkEnd w:id="22"/>
      <w:bookmarkEnd w:id="23"/>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年度收入总计：</w:t>
      </w:r>
      <w:r>
        <w:rPr>
          <w:rFonts w:hint="eastAsia" w:ascii="仿宋" w:hAnsi="仿宋" w:eastAsia="仿宋"/>
          <w:color w:val="000000"/>
          <w:sz w:val="32"/>
          <w:szCs w:val="32"/>
          <w:lang w:val="en-US" w:eastAsia="zh-CN"/>
        </w:rPr>
        <w:t>625.05</w:t>
      </w:r>
      <w:r>
        <w:rPr>
          <w:rFonts w:hint="eastAsia" w:ascii="仿宋" w:hAnsi="仿宋" w:eastAsia="仿宋"/>
          <w:color w:val="000000"/>
          <w:sz w:val="32"/>
          <w:szCs w:val="32"/>
        </w:rPr>
        <w:t>万元，支出总计：6</w:t>
      </w:r>
      <w:r>
        <w:rPr>
          <w:rFonts w:hint="eastAsia" w:ascii="仿宋" w:hAnsi="仿宋" w:eastAsia="仿宋"/>
          <w:color w:val="000000"/>
          <w:sz w:val="32"/>
          <w:szCs w:val="32"/>
          <w:lang w:val="en-US" w:eastAsia="zh-CN"/>
        </w:rPr>
        <w:t>41.37</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年相比，收入减少：</w:t>
      </w:r>
      <w:r>
        <w:rPr>
          <w:rFonts w:hint="eastAsia" w:ascii="仿宋" w:hAnsi="仿宋" w:eastAsia="仿宋"/>
          <w:color w:val="000000"/>
          <w:sz w:val="32"/>
          <w:szCs w:val="32"/>
          <w:lang w:val="en-US" w:eastAsia="zh-CN"/>
        </w:rPr>
        <w:t>26.31</w:t>
      </w:r>
      <w:r>
        <w:rPr>
          <w:rFonts w:hint="eastAsia" w:ascii="仿宋" w:hAnsi="仿宋" w:eastAsia="仿宋"/>
          <w:color w:val="000000"/>
          <w:sz w:val="32"/>
          <w:szCs w:val="32"/>
        </w:rPr>
        <w:t>万元，下降率为</w:t>
      </w:r>
      <w:r>
        <w:rPr>
          <w:rFonts w:hint="eastAsia" w:ascii="仿宋" w:hAnsi="仿宋" w:eastAsia="仿宋"/>
          <w:color w:val="000000"/>
          <w:sz w:val="32"/>
          <w:szCs w:val="32"/>
          <w:lang w:val="en-US" w:eastAsia="zh-CN"/>
        </w:rPr>
        <w:t>4</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支出总计减少：</w:t>
      </w:r>
      <w:r>
        <w:rPr>
          <w:rFonts w:hint="eastAsia" w:ascii="仿宋" w:hAnsi="仿宋" w:eastAsia="仿宋"/>
          <w:color w:val="000000"/>
          <w:sz w:val="32"/>
          <w:szCs w:val="32"/>
          <w:lang w:val="en-US" w:eastAsia="zh-CN"/>
        </w:rPr>
        <w:t>8.5</w:t>
      </w:r>
      <w:r>
        <w:rPr>
          <w:rFonts w:hint="eastAsia" w:ascii="仿宋" w:hAnsi="仿宋" w:eastAsia="仿宋"/>
          <w:color w:val="000000"/>
          <w:sz w:val="32"/>
          <w:szCs w:val="32"/>
        </w:rPr>
        <w:t>万元，下降率为：1</w:t>
      </w:r>
      <w:r>
        <w:rPr>
          <w:rFonts w:hint="eastAsia" w:ascii="仿宋" w:hAnsi="仿宋" w:eastAsia="仿宋"/>
          <w:color w:val="000000"/>
          <w:sz w:val="32"/>
          <w:szCs w:val="32"/>
          <w:lang w:val="en-US" w:eastAsia="zh-CN"/>
        </w:rPr>
        <w:t>.34</w:t>
      </w:r>
      <w:r>
        <w:rPr>
          <w:rFonts w:ascii="仿宋" w:hAnsi="仿宋" w:eastAsia="仿宋"/>
          <w:color w:val="000000"/>
          <w:sz w:val="32"/>
          <w:szCs w:val="32"/>
        </w:rPr>
        <w:t>%</w:t>
      </w:r>
      <w:r>
        <w:rPr>
          <w:rFonts w:hint="eastAsia" w:ascii="仿宋" w:hAnsi="仿宋" w:eastAsia="仿宋"/>
          <w:color w:val="000000"/>
          <w:sz w:val="32"/>
          <w:szCs w:val="32"/>
          <w:lang w:eastAsia="zh-CN"/>
        </w:rPr>
        <w:t>，主要原因没有大型的维修、采购，硬件设备已完善</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：注：数据来源于财决01表，决算-总计栏，收、支决算总计变动情况图）（柱状图）</w:t>
      </w:r>
    </w:p>
    <w:tbl>
      <w:tblPr>
        <w:tblStyle w:val="12"/>
        <w:tblW w:w="17302" w:type="dxa"/>
        <w:tblInd w:w="108" w:type="dxa"/>
        <w:tblLayout w:type="autofit"/>
        <w:tblCellMar>
          <w:top w:w="0" w:type="dxa"/>
          <w:left w:w="108" w:type="dxa"/>
          <w:bottom w:w="0" w:type="dxa"/>
          <w:right w:w="108" w:type="dxa"/>
        </w:tblCellMar>
      </w:tblPr>
      <w:tblGrid>
        <w:gridCol w:w="10086"/>
        <w:gridCol w:w="976"/>
        <w:gridCol w:w="976"/>
        <w:gridCol w:w="976"/>
        <w:gridCol w:w="976"/>
        <w:gridCol w:w="976"/>
        <w:gridCol w:w="976"/>
        <w:gridCol w:w="976"/>
        <w:gridCol w:w="976"/>
        <w:gridCol w:w="976"/>
      </w:tblGrid>
      <w:tr>
        <w:trPr>
          <w:trHeight w:val="288" w:hRule="atLeast"/>
        </w:trPr>
        <w:tc>
          <w:tcPr>
            <w:tcW w:w="8518" w:type="dxa"/>
            <w:tcBorders>
              <w:top w:val="nil"/>
              <w:left w:val="nil"/>
              <w:bottom w:val="nil"/>
              <w:right w:val="nil"/>
            </w:tcBorders>
            <w:noWrap/>
            <w:vAlign w:val="bottom"/>
          </w:tcPr>
          <w:p>
            <w:pPr>
              <w:widowControl/>
              <w:jc w:val="left"/>
              <w:rPr>
                <w:rFonts w:ascii="宋体" w:hAnsi="宋体" w:cs="宋体"/>
                <w:b/>
                <w:color w:val="000000"/>
                <w:kern w:val="0"/>
                <w:sz w:val="22"/>
                <w:szCs w:val="22"/>
              </w:rPr>
            </w:pPr>
          </w:p>
          <w:tbl>
            <w:tblPr>
              <w:tblStyle w:val="12"/>
              <w:tblW w:w="0" w:type="auto"/>
              <w:tblCellSpacing w:w="0" w:type="dxa"/>
              <w:tblInd w:w="0" w:type="dxa"/>
              <w:tblLayout w:type="autofit"/>
              <w:tblCellMar>
                <w:top w:w="0" w:type="dxa"/>
                <w:left w:w="0" w:type="dxa"/>
                <w:bottom w:w="0" w:type="dxa"/>
                <w:right w:w="0" w:type="dxa"/>
              </w:tblCellMar>
            </w:tblPr>
            <w:tblGrid>
              <w:gridCol w:w="9870"/>
            </w:tblGrid>
            <w:tr>
              <w:tblPrEx>
                <w:tblCellMar>
                  <w:top w:w="0" w:type="dxa"/>
                  <w:left w:w="0" w:type="dxa"/>
                  <w:bottom w:w="0" w:type="dxa"/>
                  <w:right w:w="0" w:type="dxa"/>
                </w:tblCellMar>
              </w:tblPrEx>
              <w:trPr>
                <w:trHeight w:val="288" w:hRule="atLeast"/>
                <w:tblCellSpacing w:w="0" w:type="dxa"/>
              </w:trPr>
              <w:tc>
                <w:tcPr>
                  <w:tcW w:w="960" w:type="dxa"/>
                  <w:tcBorders>
                    <w:top w:val="nil"/>
                    <w:left w:val="nil"/>
                    <w:bottom w:val="nil"/>
                    <w:right w:val="nil"/>
                  </w:tcBorders>
                  <w:noWrap/>
                  <w:vAlign w:val="bottom"/>
                </w:tcPr>
                <w:p>
                  <w:pPr>
                    <w:widowControl/>
                    <w:jc w:val="left"/>
                    <w:rPr>
                      <w:rFonts w:ascii="宋体" w:hAnsi="宋体" w:cs="宋体"/>
                      <w:b/>
                      <w:color w:val="000000"/>
                      <w:kern w:val="0"/>
                      <w:sz w:val="22"/>
                      <w:szCs w:val="22"/>
                    </w:rPr>
                  </w:pPr>
                  <w:r>
                    <w:drawing>
                      <wp:inline distT="0" distB="0" distL="114300" distR="114300">
                        <wp:extent cx="6172200" cy="3752850"/>
                        <wp:effectExtent l="38735" t="18415" r="56515" b="76835"/>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tc>
            </w:tr>
          </w:tbl>
          <w:p>
            <w:pPr>
              <w:widowControl/>
              <w:jc w:val="left"/>
              <w:rPr>
                <w:rFonts w:ascii="宋体" w:hAnsi="宋体" w:cs="宋体"/>
                <w:b/>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c>
          <w:tcPr>
            <w:tcW w:w="976" w:type="dxa"/>
            <w:tcBorders>
              <w:top w:val="nil"/>
              <w:left w:val="nil"/>
              <w:bottom w:val="nil"/>
              <w:right w:val="nil"/>
            </w:tcBorders>
            <w:noWrap/>
            <w:vAlign w:val="bottom"/>
          </w:tcPr>
          <w:p>
            <w:pPr>
              <w:widowControl/>
              <w:jc w:val="left"/>
              <w:rPr>
                <w:rFonts w:ascii="宋体" w:hAnsi="宋体" w:cs="宋体"/>
                <w:color w:val="000000"/>
                <w:kern w:val="0"/>
                <w:sz w:val="22"/>
                <w:szCs w:val="22"/>
              </w:rPr>
            </w:pPr>
          </w:p>
        </w:tc>
      </w:tr>
    </w:tbl>
    <w:p>
      <w:pPr>
        <w:pStyle w:val="2"/>
      </w:pP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4" w:name="_Toc15377206"/>
      <w:bookmarkStart w:id="25" w:name="_Toc15396604"/>
      <w:r>
        <w:rPr>
          <w:rFonts w:hint="eastAsia" w:ascii="黑体" w:hAnsi="黑体" w:eastAsia="黑体"/>
          <w:sz w:val="32"/>
          <w:szCs w:val="32"/>
        </w:rPr>
        <w:t>收</w:t>
      </w:r>
      <w:r>
        <w:rPr>
          <w:rStyle w:val="25"/>
          <w:rFonts w:hint="eastAsia" w:ascii="黑体" w:hAnsi="黑体" w:eastAsia="黑体"/>
          <w:b w:val="0"/>
        </w:rPr>
        <w:t>入决算情况说明</w:t>
      </w:r>
      <w:bookmarkEnd w:id="24"/>
      <w:bookmarkEnd w:id="25"/>
    </w:p>
    <w:p>
      <w:pPr>
        <w:spacing w:line="600" w:lineRule="exact"/>
        <w:ind w:firstLine="960" w:firstLineChars="300"/>
        <w:outlineLvl w:val="1"/>
        <w:rPr>
          <w:rFonts w:ascii="仿宋" w:hAnsi="仿宋" w:eastAsia="仿宋"/>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年本年收入合计6</w:t>
      </w:r>
      <w:r>
        <w:rPr>
          <w:rFonts w:hint="eastAsia" w:ascii="仿宋" w:hAnsi="仿宋" w:eastAsia="仿宋"/>
          <w:color w:val="000000"/>
          <w:sz w:val="32"/>
          <w:szCs w:val="32"/>
          <w:lang w:val="en-US" w:eastAsia="zh-CN"/>
        </w:rPr>
        <w:t>25.05</w:t>
      </w:r>
      <w:r>
        <w:rPr>
          <w:rFonts w:hint="eastAsia" w:ascii="仿宋" w:hAnsi="仿宋" w:eastAsia="仿宋"/>
          <w:color w:val="000000"/>
          <w:sz w:val="32"/>
          <w:szCs w:val="32"/>
        </w:rPr>
        <w:t>万元，其中：一般公共预算财政拨款收入6</w:t>
      </w:r>
      <w:r>
        <w:rPr>
          <w:rFonts w:hint="eastAsia" w:ascii="仿宋" w:hAnsi="仿宋" w:eastAsia="仿宋"/>
          <w:color w:val="000000"/>
          <w:sz w:val="32"/>
          <w:szCs w:val="32"/>
          <w:lang w:val="en-US" w:eastAsia="zh-CN"/>
        </w:rPr>
        <w:t>25.05</w:t>
      </w:r>
      <w:r>
        <w:rPr>
          <w:rFonts w:hint="eastAsia" w:ascii="仿宋" w:hAnsi="仿宋" w:eastAsia="仿宋"/>
          <w:color w:val="000000"/>
          <w:sz w:val="32"/>
          <w:szCs w:val="32"/>
        </w:rPr>
        <w:t>元，占100</w:t>
      </w:r>
      <w:r>
        <w:rPr>
          <w:rFonts w:ascii="仿宋" w:hAnsi="仿宋" w:eastAsia="仿宋"/>
          <w:color w:val="000000"/>
          <w:sz w:val="32"/>
          <w:szCs w:val="32"/>
        </w:rPr>
        <w:t>%</w:t>
      </w:r>
      <w:r>
        <w:rPr>
          <w:rFonts w:hint="eastAsia" w:ascii="仿宋" w:hAnsi="仿宋" w:eastAsia="仿宋"/>
          <w:color w:val="000000"/>
          <w:sz w:val="32"/>
          <w:szCs w:val="32"/>
        </w:rPr>
        <w:t>；事业收入0万元，占0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spacing w:line="600" w:lineRule="exact"/>
        <w:rPr>
          <w:rFonts w:ascii="仿宋" w:hAnsi="仿宋" w:eastAsia="仿宋"/>
          <w:sz w:val="32"/>
          <w:szCs w:val="32"/>
        </w:rPr>
      </w:pPr>
      <w:r>
        <w:rPr>
          <w:rFonts w:ascii="宋体" w:hAnsi="宋体" w:eastAsia="宋体"/>
          <w:sz w:val="32"/>
          <w:szCs w:val="32"/>
        </w:rPr>
        <w:drawing>
          <wp:anchor distT="0" distB="0" distL="114300" distR="114300" simplePos="0" relativeHeight="251659264" behindDoc="0" locked="0" layoutInCell="1" allowOverlap="1">
            <wp:simplePos x="0" y="0"/>
            <wp:positionH relativeFrom="column">
              <wp:posOffset>90170</wp:posOffset>
            </wp:positionH>
            <wp:positionV relativeFrom="paragraph">
              <wp:posOffset>191770</wp:posOffset>
            </wp:positionV>
            <wp:extent cx="5274310" cy="3686175"/>
            <wp:effectExtent l="0" t="0" r="2540" b="9525"/>
            <wp:wrapNone/>
            <wp:docPr id="3" name="图片 8" descr="微信图片_20220116105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微信图片_20220116105229.png"/>
                    <pic:cNvPicPr>
                      <a:picLocks noChangeAspect="1"/>
                    </pic:cNvPicPr>
                  </pic:nvPicPr>
                  <pic:blipFill>
                    <a:blip r:embed="rId7"/>
                    <a:stretch>
                      <a:fillRect/>
                    </a:stretch>
                  </pic:blipFill>
                  <pic:spPr>
                    <a:xfrm>
                      <a:off x="0" y="0"/>
                      <a:ext cx="5274310" cy="3686175"/>
                    </a:xfrm>
                    <a:prstGeom prst="rect">
                      <a:avLst/>
                    </a:prstGeom>
                    <a:noFill/>
                    <a:ln>
                      <a:noFill/>
                    </a:ln>
                  </pic:spPr>
                </pic:pic>
              </a:graphicData>
            </a:graphic>
          </wp:anchor>
        </w:drawing>
      </w:r>
    </w:p>
    <w:p>
      <w:pPr>
        <w:pStyle w:val="2"/>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pStyle w:val="2"/>
        <w:rPr>
          <w:rFonts w:ascii="仿宋" w:hAnsi="仿宋" w:eastAsia="仿宋"/>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（图2：收入决算结构图）（饼状图）</w:t>
      </w:r>
    </w:p>
    <w:p>
      <w:pPr>
        <w:spacing w:line="600" w:lineRule="exact"/>
        <w:ind w:firstLine="640" w:firstLineChars="200"/>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6" w:name="_Toc15396605"/>
      <w:bookmarkStart w:id="27" w:name="_Toc15377207"/>
      <w:r>
        <w:rPr>
          <w:rFonts w:hint="eastAsia" w:ascii="黑体" w:hAnsi="黑体" w:eastAsia="黑体"/>
          <w:sz w:val="32"/>
          <w:szCs w:val="32"/>
        </w:rPr>
        <w:t>支</w:t>
      </w:r>
      <w:r>
        <w:rPr>
          <w:rStyle w:val="25"/>
          <w:rFonts w:hint="eastAsia" w:ascii="黑体" w:hAnsi="黑体" w:eastAsia="黑体"/>
          <w:b w:val="0"/>
        </w:rPr>
        <w:t>出决算情况说明</w:t>
      </w:r>
      <w:bookmarkEnd w:id="26"/>
      <w:bookmarkEnd w:id="27"/>
    </w:p>
    <w:p>
      <w:pPr>
        <w:spacing w:line="600" w:lineRule="exact"/>
        <w:ind w:firstLine="640" w:firstLineChars="200"/>
        <w:outlineLvl w:val="1"/>
        <w:rPr>
          <w:rFonts w:hint="eastAsia"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年本年支出合计</w:t>
      </w:r>
      <w:r>
        <w:rPr>
          <w:rFonts w:ascii="仿宋" w:hAnsi="仿宋" w:eastAsia="仿宋"/>
          <w:color w:val="000000"/>
          <w:sz w:val="32"/>
          <w:szCs w:val="32"/>
        </w:rPr>
        <w:t>6</w:t>
      </w:r>
      <w:r>
        <w:rPr>
          <w:rFonts w:hint="eastAsia" w:ascii="仿宋" w:hAnsi="仿宋" w:eastAsia="仿宋"/>
          <w:color w:val="000000"/>
          <w:sz w:val="32"/>
          <w:szCs w:val="32"/>
          <w:lang w:val="en-US" w:eastAsia="zh-CN"/>
        </w:rPr>
        <w:t>41.37</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595.39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78.0</w:t>
      </w:r>
      <w:r>
        <w:rPr>
          <w:rFonts w:hint="eastAsia" w:ascii="仿宋" w:hAnsi="仿宋" w:eastAsia="仿宋"/>
          <w:color w:val="000000"/>
          <w:sz w:val="32"/>
          <w:szCs w:val="32"/>
        </w:rPr>
        <w:t>2</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45.98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21.92</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outlineLvl w:val="1"/>
        <w:rPr>
          <w:rFonts w:ascii="仿宋" w:hAnsi="仿宋" w:eastAsia="仿宋"/>
          <w:sz w:val="32"/>
          <w:szCs w:val="32"/>
        </w:rPr>
      </w:pP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rPr>
          <w:rFonts w:ascii="仿宋" w:hAnsi="仿宋" w:eastAsia="仿宋"/>
          <w:sz w:val="32"/>
          <w:szCs w:val="32"/>
          <w:shd w:val="pct10" w:color="auto" w:fill="FFFFFF"/>
        </w:rPr>
      </w:pPr>
    </w:p>
    <w:p>
      <w:pPr>
        <w:pStyle w:val="2"/>
        <w:rPr>
          <w:rFonts w:ascii="仿宋" w:hAnsi="仿宋" w:eastAsia="仿宋"/>
          <w:sz w:val="32"/>
          <w:szCs w:val="32"/>
          <w:shd w:val="pct10" w:color="auto" w:fill="FFFFFF"/>
        </w:rPr>
      </w:pPr>
      <w:r>
        <w:drawing>
          <wp:inline distT="0" distB="0" distL="114300" distR="114300">
            <wp:extent cx="5391150" cy="3238500"/>
            <wp:effectExtent l="38735" t="18415" r="56515" b="76835"/>
            <wp:docPr id="4"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5"/>
          <w:rFonts w:ascii="黑体" w:hAnsi="黑体" w:eastAsia="黑体"/>
          <w:b w:val="0"/>
        </w:rPr>
      </w:pPr>
      <w:bookmarkStart w:id="28" w:name="_Toc15377208"/>
      <w:bookmarkStart w:id="29" w:name="_Toc15396606"/>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8"/>
      <w:bookmarkEnd w:id="29"/>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年财政拨款收入总计：6</w:t>
      </w:r>
      <w:r>
        <w:rPr>
          <w:rFonts w:hint="eastAsia" w:ascii="仿宋" w:hAnsi="仿宋" w:eastAsia="仿宋"/>
          <w:color w:val="000000"/>
          <w:sz w:val="32"/>
          <w:szCs w:val="32"/>
          <w:lang w:val="en-US" w:eastAsia="zh-CN"/>
        </w:rPr>
        <w:t>25.05</w:t>
      </w:r>
      <w:r>
        <w:rPr>
          <w:rFonts w:hint="eastAsia" w:ascii="仿宋" w:hAnsi="仿宋" w:eastAsia="仿宋"/>
          <w:color w:val="000000"/>
          <w:sz w:val="32"/>
          <w:szCs w:val="32"/>
        </w:rPr>
        <w:t>万元，支出总计：6</w:t>
      </w:r>
      <w:r>
        <w:rPr>
          <w:rFonts w:hint="eastAsia" w:ascii="仿宋" w:hAnsi="仿宋" w:eastAsia="仿宋"/>
          <w:color w:val="000000"/>
          <w:sz w:val="32"/>
          <w:szCs w:val="32"/>
          <w:lang w:val="en-US" w:eastAsia="zh-CN"/>
        </w:rPr>
        <w:t>41.37</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年相比，财政拨款收入减少：</w:t>
      </w:r>
      <w:r>
        <w:rPr>
          <w:rFonts w:hint="eastAsia" w:ascii="仿宋" w:hAnsi="仿宋" w:eastAsia="仿宋"/>
          <w:color w:val="000000"/>
          <w:sz w:val="32"/>
          <w:szCs w:val="32"/>
          <w:lang w:val="en-US" w:eastAsia="zh-CN"/>
        </w:rPr>
        <w:t>26.31</w:t>
      </w:r>
      <w:r>
        <w:rPr>
          <w:rFonts w:hint="eastAsia" w:ascii="仿宋" w:hAnsi="仿宋" w:eastAsia="仿宋"/>
          <w:color w:val="000000"/>
          <w:sz w:val="32"/>
          <w:szCs w:val="32"/>
        </w:rPr>
        <w:t>万元，支出总计减少：</w:t>
      </w:r>
      <w:r>
        <w:rPr>
          <w:rFonts w:hint="eastAsia" w:ascii="仿宋" w:hAnsi="仿宋" w:eastAsia="仿宋"/>
          <w:color w:val="000000"/>
          <w:sz w:val="32"/>
          <w:szCs w:val="32"/>
          <w:lang w:val="en-US" w:eastAsia="zh-CN"/>
        </w:rPr>
        <w:t>8.5</w:t>
      </w:r>
      <w:r>
        <w:rPr>
          <w:rFonts w:hint="eastAsia" w:ascii="仿宋" w:hAnsi="仿宋" w:eastAsia="仿宋"/>
          <w:color w:val="000000"/>
          <w:sz w:val="32"/>
          <w:szCs w:val="32"/>
        </w:rPr>
        <w:t>万元，下降率为：1</w:t>
      </w:r>
      <w:r>
        <w:rPr>
          <w:rFonts w:hint="eastAsia" w:ascii="仿宋" w:hAnsi="仿宋" w:eastAsia="仿宋"/>
          <w:color w:val="000000"/>
          <w:sz w:val="32"/>
          <w:szCs w:val="32"/>
          <w:lang w:val="en-US" w:eastAsia="zh-CN"/>
        </w:rPr>
        <w:t>.34</w:t>
      </w:r>
      <w:r>
        <w:rPr>
          <w:rFonts w:ascii="仿宋" w:hAnsi="仿宋" w:eastAsia="仿宋"/>
          <w:color w:val="000000"/>
          <w:sz w:val="32"/>
          <w:szCs w:val="32"/>
        </w:rPr>
        <w:t>%</w:t>
      </w:r>
      <w:r>
        <w:rPr>
          <w:rFonts w:hint="eastAsia" w:ascii="仿宋" w:hAnsi="仿宋" w:eastAsia="仿宋"/>
          <w:color w:val="000000"/>
          <w:sz w:val="32"/>
          <w:szCs w:val="32"/>
        </w:rPr>
        <w:t>。主要变动原因是我校积极招生，学生人数增加，学校实施设备采购减少，无大型维修项目。</w:t>
      </w:r>
    </w:p>
    <w:p>
      <w:pPr>
        <w:spacing w:line="600" w:lineRule="exact"/>
        <w:ind w:firstLine="640"/>
        <w:rPr>
          <w:rFonts w:ascii="仿宋" w:hAnsi="仿宋" w:eastAsia="仿宋"/>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pStyle w:val="2"/>
        <w:rPr>
          <w:rFonts w:ascii="仿宋" w:hAnsi="仿宋" w:eastAsia="仿宋"/>
          <w:sz w:val="32"/>
          <w:szCs w:val="32"/>
        </w:rPr>
      </w:pPr>
      <w:r>
        <w:drawing>
          <wp:inline distT="0" distB="0" distL="114300" distR="114300">
            <wp:extent cx="5417185" cy="3135630"/>
            <wp:effectExtent l="38735" t="18415" r="49530" b="65405"/>
            <wp:docPr id="6"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320" w:firstLineChars="100"/>
        <w:rPr>
          <w:rFonts w:ascii="仿宋" w:hAnsi="仿宋" w:eastAsia="仿宋"/>
          <w:sz w:val="32"/>
          <w:szCs w:val="32"/>
        </w:rPr>
      </w:pP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5"/>
          <w:rFonts w:ascii="黑体" w:hAnsi="黑体" w:eastAsia="黑体"/>
          <w:b w:val="0"/>
        </w:rPr>
      </w:pPr>
      <w:bookmarkStart w:id="30" w:name="_Toc15377209"/>
      <w:bookmarkStart w:id="31" w:name="_Toc15396607"/>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30"/>
      <w:bookmarkEnd w:id="31"/>
    </w:p>
    <w:p>
      <w:pPr>
        <w:spacing w:line="600" w:lineRule="exact"/>
        <w:ind w:firstLine="643" w:firstLineChars="200"/>
        <w:outlineLvl w:val="2"/>
        <w:rPr>
          <w:rFonts w:ascii="仿宋" w:hAnsi="仿宋" w:eastAsia="仿宋"/>
          <w:b/>
          <w:sz w:val="32"/>
          <w:szCs w:val="32"/>
        </w:rPr>
      </w:pPr>
      <w:bookmarkStart w:id="32" w:name="_Toc15377210"/>
      <w:r>
        <w:rPr>
          <w:rFonts w:hint="eastAsia" w:ascii="仿宋" w:hAnsi="仿宋" w:eastAsia="仿宋"/>
          <w:b/>
          <w:sz w:val="32"/>
          <w:szCs w:val="32"/>
        </w:rPr>
        <w:t>（一）一般公共预算财政拨款支出决算总体情况</w:t>
      </w:r>
      <w:bookmarkEnd w:id="32"/>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641.37</w:t>
      </w:r>
      <w:r>
        <w:rPr>
          <w:rFonts w:hint="eastAsia" w:ascii="仿宋" w:hAnsi="仿宋" w:eastAsia="仿宋"/>
          <w:color w:val="000000"/>
          <w:sz w:val="32"/>
          <w:szCs w:val="32"/>
        </w:rPr>
        <w:t>万元，占本年支出合计的100%。与</w:t>
      </w: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年相比，一般公共预算财政拨款支出减少：</w:t>
      </w:r>
      <w:r>
        <w:rPr>
          <w:rFonts w:hint="eastAsia" w:ascii="仿宋" w:hAnsi="仿宋" w:eastAsia="仿宋"/>
          <w:color w:val="000000"/>
          <w:sz w:val="32"/>
          <w:szCs w:val="32"/>
          <w:lang w:val="en-US" w:eastAsia="zh-CN"/>
        </w:rPr>
        <w:t>8.5</w:t>
      </w:r>
      <w:r>
        <w:rPr>
          <w:rFonts w:hint="eastAsia" w:ascii="仿宋" w:hAnsi="仿宋" w:eastAsia="仿宋"/>
          <w:color w:val="000000"/>
          <w:sz w:val="32"/>
          <w:szCs w:val="32"/>
        </w:rPr>
        <w:t>万元，下降率为：1</w:t>
      </w:r>
      <w:r>
        <w:rPr>
          <w:rFonts w:hint="eastAsia" w:ascii="仿宋" w:hAnsi="仿宋" w:eastAsia="仿宋"/>
          <w:color w:val="000000"/>
          <w:sz w:val="32"/>
          <w:szCs w:val="32"/>
          <w:lang w:val="en-US" w:eastAsia="zh-CN"/>
        </w:rPr>
        <w:t>.34</w:t>
      </w:r>
      <w:r>
        <w:rPr>
          <w:rFonts w:ascii="仿宋" w:hAnsi="仿宋" w:eastAsia="仿宋"/>
          <w:color w:val="000000"/>
          <w:sz w:val="32"/>
          <w:szCs w:val="32"/>
        </w:rPr>
        <w:t>%</w:t>
      </w:r>
      <w:r>
        <w:rPr>
          <w:rFonts w:hint="eastAsia" w:ascii="仿宋" w:hAnsi="仿宋" w:eastAsia="仿宋"/>
          <w:color w:val="000000"/>
          <w:sz w:val="32"/>
          <w:szCs w:val="32"/>
        </w:rPr>
        <w:t>。主要变动原因是积极招生，学生人数增加，学校实施设备采购减少，无大型维修项目。</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tbl>
      <w:tblPr>
        <w:tblStyle w:val="12"/>
        <w:tblW w:w="0" w:type="auto"/>
        <w:tblCellSpacing w:w="0" w:type="dxa"/>
        <w:tblInd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rHeight w:val="288" w:hRule="atLeast"/>
          <w:tblCellSpacing w:w="0" w:type="dxa"/>
        </w:trPr>
        <w:tc>
          <w:tcPr>
            <w:tcW w:w="960" w:type="dxa"/>
            <w:tcBorders>
              <w:top w:val="nil"/>
              <w:left w:val="nil"/>
              <w:bottom w:val="nil"/>
              <w:right w:val="nil"/>
            </w:tcBorders>
            <w:noWrap/>
            <w:vAlign w:val="bottom"/>
          </w:tcPr>
          <w:p>
            <w:pPr>
              <w:widowControl/>
              <w:jc w:val="left"/>
              <w:rPr>
                <w:rFonts w:ascii="宋体" w:hAnsi="宋体" w:cs="宋体"/>
                <w:color w:val="000000"/>
                <w:kern w:val="0"/>
                <w:sz w:val="22"/>
                <w:szCs w:val="22"/>
              </w:rPr>
            </w:pPr>
            <w:r>
              <w:drawing>
                <wp:inline distT="0" distB="0" distL="114300" distR="114300">
                  <wp:extent cx="5524500" cy="3219450"/>
                  <wp:effectExtent l="38735" t="18415" r="56515" b="76835"/>
                  <wp:docPr id="8"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33" w:name="_Toc15377211"/>
      <w:r>
        <w:rPr>
          <w:rFonts w:hint="eastAsia" w:ascii="仿宋" w:hAnsi="仿宋" w:eastAsia="仿宋"/>
          <w:b/>
          <w:sz w:val="32"/>
          <w:szCs w:val="32"/>
        </w:rPr>
        <w:t>（二）一般公共预算财政拨款支出决算结构情况</w:t>
      </w:r>
      <w:bookmarkEnd w:id="33"/>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641.37</w:t>
      </w:r>
      <w:r>
        <w:rPr>
          <w:rFonts w:hint="eastAsia" w:ascii="仿宋" w:hAnsi="仿宋" w:eastAsia="仿宋"/>
          <w:color w:val="000000"/>
          <w:sz w:val="32"/>
          <w:szCs w:val="32"/>
        </w:rPr>
        <w:t>万元，主要用于以下方面:</w:t>
      </w:r>
      <w:r>
        <w:rPr>
          <w:rFonts w:hint="eastAsia" w:ascii="仿宋" w:hAnsi="仿宋" w:eastAsia="仿宋"/>
          <w:b/>
          <w:color w:val="000000"/>
          <w:sz w:val="32"/>
          <w:szCs w:val="32"/>
        </w:rPr>
        <w:t>教育支出</w:t>
      </w:r>
      <w:r>
        <w:rPr>
          <w:rFonts w:hint="eastAsia" w:ascii="仿宋" w:hAnsi="仿宋" w:eastAsia="仿宋"/>
          <w:b/>
          <w:color w:val="000000"/>
          <w:sz w:val="32"/>
          <w:szCs w:val="32"/>
          <w:lang w:val="en-US" w:eastAsia="zh-CN"/>
        </w:rPr>
        <w:t>518.09</w:t>
      </w:r>
      <w:r>
        <w:rPr>
          <w:rFonts w:hint="eastAsia" w:ascii="仿宋" w:hAnsi="仿宋" w:eastAsia="仿宋"/>
          <w:color w:val="000000"/>
          <w:sz w:val="32"/>
          <w:szCs w:val="32"/>
        </w:rPr>
        <w:t>万元，占8</w:t>
      </w:r>
      <w:r>
        <w:rPr>
          <w:rFonts w:hint="eastAsia" w:ascii="仿宋" w:hAnsi="仿宋" w:eastAsia="仿宋"/>
          <w:color w:val="000000"/>
          <w:sz w:val="32"/>
          <w:szCs w:val="32"/>
          <w:lang w:val="en-US" w:eastAsia="zh-CN"/>
        </w:rPr>
        <w:t>0.78</w:t>
      </w:r>
      <w:r>
        <w:rPr>
          <w:rFonts w:hint="eastAsia" w:ascii="仿宋" w:hAnsi="仿宋" w:eastAsia="仿宋"/>
          <w:color w:val="000000"/>
          <w:sz w:val="32"/>
          <w:szCs w:val="32"/>
        </w:rPr>
        <w:t>%；</w:t>
      </w:r>
      <w:r>
        <w:rPr>
          <w:rFonts w:hint="eastAsia" w:ascii="仿宋" w:hAnsi="仿宋" w:eastAsia="仿宋"/>
          <w:b/>
          <w:bCs/>
          <w:color w:val="000000"/>
          <w:sz w:val="32"/>
          <w:szCs w:val="32"/>
        </w:rPr>
        <w:t>社会保障和就业支出66.</w:t>
      </w:r>
      <w:r>
        <w:rPr>
          <w:rFonts w:hint="eastAsia" w:ascii="仿宋" w:hAnsi="仿宋" w:eastAsia="仿宋"/>
          <w:b/>
          <w:bCs/>
          <w:color w:val="000000"/>
          <w:sz w:val="32"/>
          <w:szCs w:val="32"/>
          <w:lang w:val="en-US" w:eastAsia="zh-CN"/>
        </w:rPr>
        <w:t>89</w:t>
      </w:r>
      <w:r>
        <w:rPr>
          <w:rFonts w:hint="eastAsia" w:ascii="仿宋" w:hAnsi="仿宋" w:eastAsia="仿宋"/>
          <w:b/>
          <w:bCs/>
          <w:color w:val="000000"/>
          <w:sz w:val="32"/>
          <w:szCs w:val="32"/>
        </w:rPr>
        <w:t>万元，占10.</w:t>
      </w:r>
      <w:r>
        <w:rPr>
          <w:rFonts w:hint="eastAsia" w:ascii="仿宋" w:hAnsi="仿宋" w:eastAsia="仿宋"/>
          <w:b/>
          <w:bCs/>
          <w:color w:val="000000"/>
          <w:sz w:val="32"/>
          <w:szCs w:val="32"/>
          <w:lang w:val="en-US" w:eastAsia="zh-CN"/>
        </w:rPr>
        <w:t>43</w:t>
      </w:r>
      <w:r>
        <w:rPr>
          <w:rFonts w:hint="eastAsia"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6.37</w:t>
      </w:r>
      <w:r>
        <w:rPr>
          <w:rFonts w:hint="eastAsia" w:ascii="仿宋" w:hAnsi="仿宋" w:eastAsia="仿宋"/>
          <w:color w:val="000000"/>
          <w:sz w:val="32"/>
          <w:szCs w:val="32"/>
        </w:rPr>
        <w:t>万元，占2.</w:t>
      </w:r>
      <w:r>
        <w:rPr>
          <w:rFonts w:hint="eastAsia" w:ascii="仿宋" w:hAnsi="仿宋" w:eastAsia="仿宋"/>
          <w:color w:val="000000"/>
          <w:sz w:val="32"/>
          <w:szCs w:val="32"/>
          <w:lang w:val="en-US" w:eastAsia="zh-CN"/>
        </w:rPr>
        <w:t>55</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40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6.24</w:t>
      </w:r>
      <w:r>
        <w:rPr>
          <w:rFonts w:hint="eastAsia" w:ascii="仿宋" w:hAnsi="仿宋" w:eastAsia="仿宋"/>
          <w:color w:val="000000"/>
          <w:sz w:val="32"/>
          <w:szCs w:val="32"/>
        </w:rPr>
        <w:t>%。</w:t>
      </w:r>
    </w:p>
    <w:p>
      <w:pPr>
        <w:spacing w:line="600" w:lineRule="exact"/>
        <w:ind w:firstLine="640"/>
        <w:rPr>
          <w:rFonts w:hint="eastAsia"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pStyle w:val="2"/>
        <w:rPr>
          <w:rFonts w:hint="eastAsia" w:ascii="仿宋" w:hAnsi="仿宋" w:eastAsia="仿宋"/>
          <w:b/>
          <w:sz w:val="32"/>
          <w:szCs w:val="32"/>
        </w:rPr>
      </w:pPr>
    </w:p>
    <w:p>
      <w:pPr>
        <w:pStyle w:val="2"/>
        <w:rPr>
          <w:rFonts w:hint="eastAsia" w:ascii="仿宋" w:hAnsi="仿宋" w:eastAsia="仿宋"/>
          <w:b/>
          <w:sz w:val="32"/>
          <w:szCs w:val="32"/>
        </w:rPr>
      </w:pPr>
    </w:p>
    <w:p>
      <w:pPr>
        <w:pStyle w:val="2"/>
        <w:rPr>
          <w:rFonts w:hint="eastAsia" w:ascii="仿宋" w:hAnsi="仿宋" w:eastAsia="仿宋"/>
          <w:b/>
          <w:sz w:val="32"/>
          <w:szCs w:val="32"/>
        </w:rPr>
      </w:pPr>
    </w:p>
    <w:tbl>
      <w:tblPr>
        <w:tblStyle w:val="12"/>
        <w:tblW w:w="0" w:type="auto"/>
        <w:tblCellSpacing w:w="0" w:type="dxa"/>
        <w:tblInd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rHeight w:val="288" w:hRule="atLeast"/>
          <w:tblCellSpacing w:w="0" w:type="dxa"/>
        </w:trPr>
        <w:tc>
          <w:tcPr>
            <w:tcW w:w="4240" w:type="dxa"/>
            <w:tcBorders>
              <w:top w:val="nil"/>
              <w:left w:val="nil"/>
              <w:bottom w:val="nil"/>
              <w:right w:val="nil"/>
            </w:tcBorders>
            <w:noWrap/>
            <w:vAlign w:val="bottom"/>
          </w:tcPr>
          <w:p>
            <w:pPr>
              <w:widowControl/>
              <w:jc w:val="left"/>
              <w:rPr>
                <w:rFonts w:ascii="宋体" w:hAnsi="宋体" w:cs="宋体"/>
                <w:color w:val="000000"/>
                <w:kern w:val="0"/>
                <w:sz w:val="22"/>
                <w:szCs w:val="22"/>
              </w:rPr>
            </w:pPr>
            <w:r>
              <w:drawing>
                <wp:inline distT="0" distB="0" distL="114300" distR="114300">
                  <wp:extent cx="5200650" cy="3334385"/>
                  <wp:effectExtent l="38735" t="18415" r="56515" b="76200"/>
                  <wp:docPr id="9"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pPr>
        <w:spacing w:line="600" w:lineRule="exact"/>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3" w:firstLineChars="200"/>
        <w:outlineLvl w:val="2"/>
        <w:rPr>
          <w:rFonts w:ascii="仿宋" w:hAnsi="仿宋" w:eastAsia="仿宋"/>
          <w:b/>
          <w:sz w:val="32"/>
          <w:szCs w:val="32"/>
        </w:rPr>
      </w:pPr>
      <w:bookmarkStart w:id="34" w:name="_Toc15377212"/>
      <w:r>
        <w:rPr>
          <w:rFonts w:hint="eastAsia" w:ascii="仿宋" w:hAnsi="仿宋" w:eastAsia="仿宋"/>
          <w:b/>
          <w:sz w:val="32"/>
          <w:szCs w:val="32"/>
        </w:rPr>
        <w:t>（三）一般公共预算财政拨款支出决算具体情况</w:t>
      </w:r>
      <w:bookmarkEnd w:id="34"/>
    </w:p>
    <w:p>
      <w:pPr>
        <w:spacing w:line="600" w:lineRule="exact"/>
        <w:ind w:firstLine="643" w:firstLineChars="200"/>
        <w:outlineLvl w:val="2"/>
        <w:rPr>
          <w:rFonts w:ascii="仿宋" w:hAnsi="仿宋" w:eastAsia="仿宋"/>
          <w:color w:val="FF0000"/>
          <w:sz w:val="32"/>
          <w:szCs w:val="32"/>
        </w:rPr>
      </w:pPr>
      <w:bookmarkStart w:id="35" w:name="_Toc15378460"/>
      <w:bookmarkStart w:id="36" w:name="_Toc15377213"/>
      <w:bookmarkStart w:id="37" w:name="_Toc15377444"/>
      <w:r>
        <w:rPr>
          <w:rFonts w:hint="eastAsia" w:ascii="仿宋" w:hAnsi="仿宋" w:eastAsia="仿宋"/>
          <w:b/>
          <w:color w:val="000000"/>
          <w:sz w:val="32"/>
          <w:szCs w:val="32"/>
          <w:lang w:eastAsia="zh-CN"/>
        </w:rPr>
        <w:t>2021</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641.37</w:t>
      </w:r>
      <w:r>
        <w:rPr>
          <w:rFonts w:hint="eastAsia" w:ascii="仿宋" w:hAnsi="仿宋" w:eastAsia="仿宋"/>
          <w:b/>
          <w:color w:val="000000"/>
          <w:sz w:val="32"/>
          <w:szCs w:val="32"/>
        </w:rPr>
        <w:t>万元</w:t>
      </w:r>
      <w:r>
        <w:rPr>
          <w:rFonts w:hint="eastAsia" w:ascii="仿宋" w:hAnsi="仿宋" w:eastAsia="仿宋"/>
          <w:color w:val="000000"/>
          <w:sz w:val="32"/>
          <w:szCs w:val="32"/>
        </w:rPr>
        <w:t>，</w:t>
      </w:r>
      <w:r>
        <w:rPr>
          <w:rStyle w:val="14"/>
          <w:rFonts w:hint="eastAsia" w:ascii="仿宋" w:hAnsi="仿宋" w:eastAsia="仿宋"/>
          <w:bCs/>
          <w:color w:val="000000"/>
          <w:sz w:val="32"/>
          <w:szCs w:val="32"/>
        </w:rPr>
        <w:t>完成预算</w:t>
      </w:r>
      <w:r>
        <w:rPr>
          <w:rStyle w:val="14"/>
          <w:rFonts w:hint="eastAsia" w:ascii="仿宋" w:hAnsi="仿宋" w:eastAsia="仿宋"/>
          <w:bCs/>
          <w:color w:val="000000"/>
          <w:sz w:val="32"/>
          <w:szCs w:val="32"/>
          <w:lang w:val="en-US" w:eastAsia="zh-CN"/>
        </w:rPr>
        <w:t>100</w:t>
      </w:r>
      <w:r>
        <w:rPr>
          <w:rStyle w:val="14"/>
          <w:rFonts w:hint="eastAsia" w:ascii="仿宋" w:hAnsi="仿宋" w:eastAsia="仿宋"/>
          <w:bCs/>
          <w:color w:val="000000"/>
          <w:sz w:val="32"/>
          <w:szCs w:val="32"/>
        </w:rPr>
        <w:t>%。其中：</w:t>
      </w:r>
    </w:p>
    <w:p>
      <w:pPr>
        <w:numPr>
          <w:ilvl w:val="0"/>
          <w:numId w:val="3"/>
        </w:numPr>
        <w:spacing w:line="600" w:lineRule="exact"/>
        <w:ind w:firstLine="643" w:firstLineChars="200"/>
        <w:rPr>
          <w:rStyle w:val="14"/>
          <w:rFonts w:ascii="仿宋" w:hAnsi="仿宋" w:eastAsia="仿宋"/>
          <w:color w:val="000000"/>
          <w:sz w:val="32"/>
          <w:szCs w:val="32"/>
        </w:rPr>
      </w:pPr>
      <w:r>
        <w:rPr>
          <w:rStyle w:val="14"/>
          <w:rFonts w:hint="eastAsia" w:ascii="仿宋" w:hAnsi="仿宋" w:eastAsia="仿宋"/>
          <w:bCs/>
          <w:color w:val="000000"/>
          <w:sz w:val="32"/>
          <w:szCs w:val="32"/>
        </w:rPr>
        <w:t>教育（类）财政事务（款）教育支出（项）:</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518.09</w:t>
      </w:r>
      <w:r>
        <w:rPr>
          <w:rStyle w:val="14"/>
          <w:rFonts w:hint="eastAsia" w:ascii="仿宋" w:hAnsi="仿宋" w:eastAsia="仿宋"/>
          <w:b w:val="0"/>
          <w:bCs/>
          <w:color w:val="000000"/>
          <w:sz w:val="32"/>
          <w:szCs w:val="32"/>
        </w:rPr>
        <w:t>万元，</w:t>
      </w:r>
      <w:r>
        <w:rPr>
          <w:rStyle w:val="14"/>
          <w:rFonts w:hint="eastAsia" w:ascii="仿宋" w:hAnsi="仿宋" w:eastAsia="仿宋"/>
          <w:b w:val="0"/>
          <w:bCs/>
          <w:color w:val="000000"/>
          <w:sz w:val="32"/>
          <w:szCs w:val="32"/>
          <w:lang w:eastAsia="zh-CN"/>
        </w:rPr>
        <w:t>超预算</w:t>
      </w:r>
      <w:r>
        <w:rPr>
          <w:rStyle w:val="14"/>
          <w:rFonts w:hint="eastAsia" w:ascii="仿宋" w:hAnsi="仿宋" w:eastAsia="仿宋"/>
          <w:b w:val="0"/>
          <w:bCs/>
          <w:color w:val="000000"/>
          <w:sz w:val="32"/>
          <w:szCs w:val="32"/>
        </w:rPr>
        <w:t>完成，决算数</w:t>
      </w:r>
      <w:r>
        <w:rPr>
          <w:rStyle w:val="14"/>
          <w:rFonts w:hint="eastAsia" w:ascii="仿宋" w:hAnsi="仿宋" w:eastAsia="仿宋"/>
          <w:b w:val="0"/>
          <w:bCs/>
          <w:color w:val="000000"/>
          <w:sz w:val="32"/>
          <w:szCs w:val="32"/>
          <w:lang w:eastAsia="zh-CN"/>
        </w:rPr>
        <w:t>大</w:t>
      </w:r>
      <w:r>
        <w:rPr>
          <w:rStyle w:val="14"/>
          <w:rFonts w:hint="eastAsia" w:ascii="仿宋" w:hAnsi="仿宋" w:eastAsia="仿宋"/>
          <w:b w:val="0"/>
          <w:bCs/>
          <w:color w:val="000000"/>
          <w:sz w:val="32"/>
          <w:szCs w:val="32"/>
        </w:rPr>
        <w:t>于预算数的主要原因是积极招生，</w:t>
      </w:r>
      <w:r>
        <w:rPr>
          <w:rFonts w:hint="eastAsia" w:ascii="仿宋" w:hAnsi="仿宋" w:eastAsia="仿宋"/>
          <w:color w:val="000000"/>
          <w:sz w:val="32"/>
          <w:szCs w:val="32"/>
        </w:rPr>
        <w:t>学校</w:t>
      </w:r>
      <w:r>
        <w:rPr>
          <w:rFonts w:hint="eastAsia" w:ascii="仿宋" w:hAnsi="仿宋" w:eastAsia="仿宋"/>
          <w:color w:val="000000"/>
          <w:sz w:val="32"/>
          <w:szCs w:val="32"/>
          <w:lang w:val="en-US" w:eastAsia="zh-CN"/>
        </w:rPr>
        <w:t>2021年调入两名教师</w:t>
      </w:r>
      <w:r>
        <w:rPr>
          <w:rStyle w:val="14"/>
          <w:rFonts w:hint="eastAsia" w:ascii="仿宋" w:hAnsi="仿宋" w:eastAsia="仿宋"/>
          <w:b w:val="0"/>
          <w:bCs/>
          <w:color w:val="000000"/>
          <w:sz w:val="32"/>
          <w:szCs w:val="32"/>
        </w:rPr>
        <w:t>。</w:t>
      </w:r>
    </w:p>
    <w:p>
      <w:pPr>
        <w:numPr>
          <w:ilvl w:val="0"/>
          <w:numId w:val="3"/>
        </w:numPr>
        <w:spacing w:line="600" w:lineRule="exact"/>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rPr>
        <w:t>社会保障和就业（类）财政事务（款）社会保障和就业支出（项）:</w:t>
      </w:r>
      <w:r>
        <w:rPr>
          <w:rStyle w:val="14"/>
          <w:rFonts w:hint="eastAsia" w:ascii="仿宋" w:hAnsi="仿宋" w:eastAsia="仿宋"/>
          <w:b w:val="0"/>
          <w:bCs/>
          <w:color w:val="000000"/>
          <w:sz w:val="32"/>
          <w:szCs w:val="32"/>
        </w:rPr>
        <w:t>支出决算为</w:t>
      </w:r>
      <w:r>
        <w:rPr>
          <w:rFonts w:hint="eastAsia" w:ascii="仿宋" w:hAnsi="仿宋" w:eastAsia="仿宋"/>
          <w:b/>
          <w:bCs/>
          <w:color w:val="000000"/>
          <w:sz w:val="32"/>
          <w:szCs w:val="32"/>
        </w:rPr>
        <w:t>66.</w:t>
      </w:r>
      <w:r>
        <w:rPr>
          <w:rFonts w:hint="eastAsia" w:ascii="仿宋" w:hAnsi="仿宋" w:eastAsia="仿宋"/>
          <w:b/>
          <w:bCs/>
          <w:color w:val="000000"/>
          <w:sz w:val="32"/>
          <w:szCs w:val="32"/>
          <w:lang w:val="en-US" w:eastAsia="zh-CN"/>
        </w:rPr>
        <w:t>89</w:t>
      </w:r>
      <w:r>
        <w:rPr>
          <w:rStyle w:val="14"/>
          <w:rFonts w:hint="eastAsia" w:ascii="仿宋" w:hAnsi="仿宋" w:eastAsia="仿宋"/>
          <w:b w:val="0"/>
          <w:bCs/>
          <w:color w:val="000000"/>
          <w:sz w:val="32"/>
          <w:szCs w:val="32"/>
        </w:rPr>
        <w:t>万元，完成预算100%。</w:t>
      </w:r>
    </w:p>
    <w:p>
      <w:pPr>
        <w:numPr>
          <w:ilvl w:val="0"/>
          <w:numId w:val="3"/>
        </w:numPr>
        <w:spacing w:line="600" w:lineRule="exact"/>
        <w:ind w:firstLine="643" w:firstLineChars="200"/>
        <w:rPr>
          <w:rFonts w:ascii="仿宋" w:hAnsi="仿宋" w:eastAsia="仿宋"/>
          <w:b/>
          <w:color w:val="000000"/>
          <w:sz w:val="32"/>
          <w:szCs w:val="32"/>
        </w:rPr>
      </w:pPr>
      <w:r>
        <w:rPr>
          <w:rFonts w:hint="eastAsia" w:ascii="仿宋" w:hAnsi="仿宋" w:eastAsia="仿宋"/>
          <w:b/>
          <w:bCs/>
          <w:color w:val="000000"/>
          <w:sz w:val="32"/>
          <w:szCs w:val="32"/>
        </w:rPr>
        <w:t>卫生健康</w:t>
      </w:r>
      <w:r>
        <w:rPr>
          <w:rStyle w:val="14"/>
          <w:rFonts w:hint="eastAsia" w:ascii="仿宋" w:hAnsi="仿宋" w:eastAsia="仿宋"/>
          <w:bCs/>
          <w:color w:val="000000"/>
          <w:sz w:val="32"/>
          <w:szCs w:val="32"/>
        </w:rPr>
        <w:t>（类）财政事务（款）卫生健康支出（项）:</w:t>
      </w:r>
      <w:r>
        <w:rPr>
          <w:rStyle w:val="14"/>
          <w:rFonts w:hint="eastAsia" w:ascii="仿宋" w:hAnsi="仿宋" w:eastAsia="仿宋"/>
          <w:b w:val="0"/>
          <w:bCs/>
          <w:color w:val="000000"/>
          <w:sz w:val="32"/>
          <w:szCs w:val="32"/>
        </w:rPr>
        <w:t>支出决算为</w:t>
      </w: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6.37</w:t>
      </w:r>
      <w:r>
        <w:rPr>
          <w:rStyle w:val="14"/>
          <w:rFonts w:hint="eastAsia" w:ascii="仿宋" w:hAnsi="仿宋" w:eastAsia="仿宋"/>
          <w:b w:val="0"/>
          <w:bCs/>
          <w:color w:val="000000"/>
          <w:sz w:val="32"/>
          <w:szCs w:val="32"/>
        </w:rPr>
        <w:t>万元，完成预算100%。</w:t>
      </w:r>
    </w:p>
    <w:p>
      <w:pPr>
        <w:numPr>
          <w:ilvl w:val="0"/>
          <w:numId w:val="3"/>
        </w:numPr>
        <w:spacing w:line="600" w:lineRule="exact"/>
        <w:ind w:firstLine="643" w:firstLineChars="200"/>
        <w:rPr>
          <w:rFonts w:ascii="仿宋" w:hAnsi="仿宋" w:eastAsia="仿宋"/>
          <w:b/>
          <w:color w:val="000000"/>
          <w:sz w:val="32"/>
          <w:szCs w:val="32"/>
        </w:rPr>
      </w:pPr>
      <w:r>
        <w:rPr>
          <w:rFonts w:hint="eastAsia" w:ascii="仿宋" w:hAnsi="仿宋" w:eastAsia="仿宋"/>
          <w:b/>
          <w:bCs/>
          <w:color w:val="000000"/>
          <w:sz w:val="32"/>
          <w:szCs w:val="32"/>
        </w:rPr>
        <w:t>住房保障（类）住房改革（款）住房公积金（项）</w:t>
      </w:r>
      <w:r>
        <w:rPr>
          <w:rStyle w:val="14"/>
          <w:rFonts w:hint="eastAsia"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40</w:t>
      </w:r>
      <w:r>
        <w:rPr>
          <w:rStyle w:val="14"/>
          <w:rFonts w:hint="eastAsia" w:ascii="仿宋" w:hAnsi="仿宋" w:eastAsia="仿宋"/>
          <w:b w:val="0"/>
          <w:bCs/>
          <w:color w:val="000000"/>
          <w:sz w:val="32"/>
          <w:szCs w:val="32"/>
        </w:rPr>
        <w:t>万元，完成预算100%。</w:t>
      </w:r>
    </w:p>
    <w:bookmarkEnd w:id="35"/>
    <w:bookmarkEnd w:id="36"/>
    <w:bookmarkEnd w:id="37"/>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1-1表和财决08表，仅罗列本单位涉及的全部功能分类科目，至项级。上述“预算”口径为调整预算数。增减变动原因为决算数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和调整预算数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tabs>
          <w:tab w:val="right" w:pos="8306"/>
        </w:tabs>
        <w:spacing w:line="600" w:lineRule="exact"/>
        <w:ind w:firstLine="640"/>
        <w:outlineLvl w:val="1"/>
        <w:rPr>
          <w:rStyle w:val="25"/>
        </w:rPr>
      </w:pPr>
      <w:bookmarkStart w:id="38" w:name="_Toc15377214"/>
      <w:bookmarkStart w:id="39"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8"/>
      <w:bookmarkEnd w:id="39"/>
      <w:r>
        <w:rPr>
          <w:rStyle w:val="25"/>
          <w:rFonts w:ascii="黑体" w:hAnsi="黑体" w:eastAsia="黑体"/>
          <w:b w:val="0"/>
        </w:rPr>
        <w:tab/>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595.39</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512.66</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82.73</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p>
    <w:p>
      <w:pPr>
        <w:spacing w:line="600" w:lineRule="exact"/>
        <w:ind w:firstLine="640"/>
        <w:outlineLvl w:val="1"/>
        <w:rPr>
          <w:rStyle w:val="25"/>
          <w:rFonts w:ascii="黑体" w:hAnsi="黑体" w:eastAsia="黑体"/>
          <w:b w:val="0"/>
        </w:rPr>
      </w:pPr>
      <w:bookmarkStart w:id="40" w:name="_Toc15396609"/>
      <w:bookmarkStart w:id="41" w:name="_Toc15377215"/>
      <w:r>
        <w:rPr>
          <w:rFonts w:hint="eastAsia" w:ascii="黑体" w:eastAsia="黑体"/>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40"/>
      <w:bookmarkEnd w:id="41"/>
    </w:p>
    <w:p>
      <w:pPr>
        <w:spacing w:line="600" w:lineRule="exact"/>
        <w:ind w:firstLine="640"/>
        <w:outlineLvl w:val="2"/>
        <w:rPr>
          <w:rFonts w:ascii="仿宋" w:hAnsi="仿宋" w:eastAsia="仿宋"/>
          <w:b/>
          <w:sz w:val="32"/>
          <w:szCs w:val="32"/>
        </w:rPr>
      </w:pPr>
      <w:bookmarkStart w:id="42" w:name="_Toc15377216"/>
      <w:r>
        <w:rPr>
          <w:rFonts w:hint="eastAsia" w:ascii="仿宋" w:hAnsi="仿宋" w:eastAsia="仿宋"/>
          <w:b/>
          <w:sz w:val="32"/>
          <w:szCs w:val="32"/>
        </w:rPr>
        <w:t>（一）“三公”经费财政拨款支出决算总体情况说明</w:t>
      </w:r>
      <w:bookmarkEnd w:id="42"/>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2"/>
        <w:rPr>
          <w:rFonts w:hint="eastAsia" w:ascii="仿宋" w:hAnsi="仿宋" w:eastAsia="仿宋"/>
          <w:sz w:val="32"/>
          <w:szCs w:val="32"/>
        </w:rPr>
      </w:pPr>
      <w:r>
        <w:drawing>
          <wp:inline distT="0" distB="0" distL="114300" distR="114300">
            <wp:extent cx="4612640" cy="3099435"/>
            <wp:effectExtent l="38735" t="18415" r="53975" b="635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（注：上述“预算”口径为调整预算数，包括一般公共预算和政府性基金预算财政拨款支出决算情况。）</w:t>
      </w:r>
    </w:p>
    <w:p>
      <w:pPr>
        <w:spacing w:line="600" w:lineRule="exact"/>
        <w:ind w:firstLine="640"/>
        <w:outlineLvl w:val="2"/>
        <w:rPr>
          <w:rFonts w:ascii="仿宋" w:hAnsi="仿宋" w:eastAsia="仿宋"/>
          <w:b/>
          <w:sz w:val="32"/>
          <w:szCs w:val="32"/>
        </w:rPr>
      </w:pPr>
      <w:bookmarkStart w:id="43" w:name="_Toc15377217"/>
      <w:r>
        <w:rPr>
          <w:rFonts w:hint="eastAsia" w:ascii="仿宋" w:hAnsi="仿宋" w:eastAsia="仿宋"/>
          <w:b/>
          <w:sz w:val="32"/>
          <w:szCs w:val="32"/>
        </w:rPr>
        <w:t>（二）“三公”经费财政拨款支出决算具体情况说明</w:t>
      </w:r>
      <w:bookmarkEnd w:id="43"/>
    </w:p>
    <w:p>
      <w:pPr>
        <w:spacing w:line="600" w:lineRule="exact"/>
        <w:ind w:firstLine="64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主要原因是我校无三公经费支出。</w:t>
      </w:r>
    </w:p>
    <w:p>
      <w:pPr>
        <w:spacing w:line="600" w:lineRule="exact"/>
        <w:ind w:firstLine="640"/>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20年增加</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hint="eastAsia" w:ascii="仿宋_GB2312" w:eastAsia="仿宋_GB2312"/>
          <w:b/>
          <w:sz w:val="32"/>
          <w:szCs w:val="32"/>
          <w:lang w:val="en-US" w:eastAsia="zh-CN"/>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20年增加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。主要原因是我校无公务用车，</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b/>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b/>
          <w:sz w:val="32"/>
          <w:szCs w:val="32"/>
          <w:lang w:val="en-US" w:eastAsia="zh-CN"/>
        </w:rPr>
        <w:t>0</w:t>
      </w:r>
      <w:r>
        <w:rPr>
          <w:rFonts w:hint="eastAsia" w:ascii="仿宋_GB2312" w:eastAsia="仿宋_GB2312"/>
          <w:sz w:val="32"/>
          <w:szCs w:val="32"/>
        </w:rPr>
        <w:t>万元。</w:t>
      </w:r>
    </w:p>
    <w:p>
      <w:pPr>
        <w:spacing w:line="600" w:lineRule="exact"/>
        <w:ind w:firstLine="640"/>
        <w:rPr>
          <w:rFonts w:hint="eastAsia" w:ascii="仿宋_GB2312" w:eastAsia="仿宋_GB2312"/>
          <w:sz w:val="32"/>
          <w:szCs w:val="32"/>
          <w:lang w:eastAsia="zh-CN"/>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20年增加</w:t>
      </w:r>
      <w:r>
        <w:rPr>
          <w:rFonts w:hint="eastAsia" w:ascii="仿宋_GB2312" w:eastAsia="仿宋_GB2312"/>
          <w:sz w:val="32"/>
          <w:szCs w:val="32"/>
          <w:lang w:val="en-US" w:eastAsia="zh-CN"/>
        </w:rPr>
        <w:t>0</w:t>
      </w:r>
      <w:r>
        <w:rPr>
          <w:rFonts w:hint="eastAsia" w:ascii="仿宋_GB2312" w:eastAsia="仿宋_GB2312"/>
          <w:sz w:val="32"/>
          <w:szCs w:val="32"/>
        </w:rPr>
        <w:t>万元。主要原因是</w:t>
      </w:r>
      <w:r>
        <w:rPr>
          <w:rFonts w:hint="eastAsia" w:ascii="仿宋_GB2312" w:eastAsia="仿宋_GB2312"/>
          <w:sz w:val="32"/>
          <w:szCs w:val="32"/>
          <w:lang w:eastAsia="zh-CN"/>
        </w:rPr>
        <w:t>我校无公务接待。</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人，共计支出</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44" w:name="_Toc15396610"/>
      <w:bookmarkStart w:id="45" w:name="_Toc15377218"/>
    </w:p>
    <w:p>
      <w:pPr>
        <w:spacing w:line="600" w:lineRule="exact"/>
        <w:ind w:firstLine="640"/>
        <w:outlineLvl w:val="1"/>
        <w:rPr>
          <w:rStyle w:val="25"/>
          <w:rFonts w:ascii="黑体" w:hAnsi="黑体" w:eastAsia="黑体"/>
        </w:rPr>
      </w:pPr>
      <w:r>
        <w:rPr>
          <w:rFonts w:hint="eastAsia" w:ascii="黑体" w:eastAsia="黑体"/>
          <w:sz w:val="32"/>
          <w:szCs w:val="32"/>
        </w:rPr>
        <w:t>八、</w:t>
      </w:r>
      <w:r>
        <w:rPr>
          <w:rStyle w:val="25"/>
          <w:rFonts w:hint="eastAsia" w:ascii="黑体" w:hAnsi="黑体" w:eastAsia="黑体"/>
          <w:b w:val="0"/>
        </w:rPr>
        <w:t>政府性基金预算支出决算情况说明</w:t>
      </w:r>
      <w:bookmarkEnd w:id="44"/>
      <w:bookmarkEnd w:id="45"/>
    </w:p>
    <w:p>
      <w:pPr>
        <w:spacing w:line="600" w:lineRule="exact"/>
        <w:ind w:firstLine="640"/>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pStyle w:val="2"/>
      </w:pPr>
    </w:p>
    <w:p>
      <w:pPr>
        <w:numPr>
          <w:ilvl w:val="0"/>
          <w:numId w:val="4"/>
        </w:numPr>
        <w:spacing w:line="600" w:lineRule="exact"/>
        <w:ind w:firstLine="640"/>
        <w:outlineLvl w:val="1"/>
        <w:rPr>
          <w:rStyle w:val="25"/>
          <w:rFonts w:ascii="黑体" w:hAnsi="黑体" w:eastAsia="黑体"/>
          <w:b w:val="0"/>
        </w:rPr>
      </w:pPr>
      <w:bookmarkStart w:id="46" w:name="_Toc15396611"/>
      <w:bookmarkStart w:id="47" w:name="_Toc15377219"/>
      <w:r>
        <w:rPr>
          <w:rStyle w:val="25"/>
          <w:rFonts w:hint="eastAsia" w:ascii="黑体" w:hAnsi="黑体" w:eastAsia="黑体"/>
          <w:b w:val="0"/>
        </w:rPr>
        <w:t>国有资本经营预算支出决算情况说明</w:t>
      </w:r>
      <w:bookmarkEnd w:id="46"/>
      <w:bookmarkEnd w:id="47"/>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4"/>
        </w:numPr>
        <w:spacing w:line="600" w:lineRule="exact"/>
        <w:ind w:firstLine="640"/>
        <w:outlineLvl w:val="1"/>
        <w:rPr>
          <w:rStyle w:val="25"/>
          <w:rFonts w:ascii="黑体" w:hAnsi="黑体" w:eastAsia="黑体"/>
          <w:b w:val="0"/>
        </w:rPr>
      </w:pPr>
      <w:bookmarkStart w:id="48" w:name="_Toc15396612"/>
      <w:bookmarkStart w:id="49" w:name="_Toc15377221"/>
      <w:r>
        <w:rPr>
          <w:rStyle w:val="25"/>
          <w:rFonts w:hint="eastAsia" w:ascii="黑体" w:hAnsi="黑体" w:eastAsia="黑体"/>
          <w:b w:val="0"/>
        </w:rPr>
        <w:t>其他重要事项的情况说明</w:t>
      </w:r>
      <w:bookmarkEnd w:id="48"/>
      <w:bookmarkEnd w:id="49"/>
    </w:p>
    <w:p>
      <w:pPr>
        <w:spacing w:line="600" w:lineRule="exact"/>
        <w:ind w:firstLine="643" w:firstLineChars="200"/>
        <w:outlineLvl w:val="2"/>
        <w:rPr>
          <w:rFonts w:ascii="仿宋" w:hAnsi="仿宋" w:eastAsia="仿宋"/>
          <w:sz w:val="32"/>
          <w:szCs w:val="32"/>
        </w:rPr>
      </w:pPr>
      <w:bookmarkStart w:id="50" w:name="_Toc15377222"/>
      <w:r>
        <w:rPr>
          <w:rFonts w:hint="eastAsia" w:ascii="仿宋" w:hAnsi="仿宋" w:eastAsia="仿宋"/>
          <w:b/>
          <w:sz w:val="32"/>
          <w:szCs w:val="32"/>
        </w:rPr>
        <w:t>（一）机关运行经费支出情况</w:t>
      </w:r>
      <w:bookmarkEnd w:id="50"/>
    </w:p>
    <w:p>
      <w:pPr>
        <w:spacing w:line="600" w:lineRule="exact"/>
        <w:ind w:firstLine="640" w:firstLineChars="200"/>
        <w:rPr>
          <w:rFonts w:ascii="宋体" w:hAnsi="宋体"/>
          <w:color w:val="000000"/>
          <w:sz w:val="32"/>
          <w:szCs w:val="32"/>
        </w:rPr>
      </w:pPr>
      <w:r>
        <w:rPr>
          <w:rFonts w:hint="eastAsia" w:ascii="宋体" w:hAnsi="宋体"/>
          <w:color w:val="000000"/>
          <w:sz w:val="32"/>
          <w:szCs w:val="32"/>
          <w:lang w:eastAsia="zh-CN"/>
        </w:rPr>
        <w:t>2021</w:t>
      </w:r>
      <w:r>
        <w:rPr>
          <w:rFonts w:hint="eastAsia" w:ascii="宋体" w:hAnsi="宋体"/>
          <w:color w:val="000000"/>
          <w:sz w:val="32"/>
          <w:szCs w:val="32"/>
        </w:rPr>
        <w:t>年，乐山市龙泓路小学机关运行经费支出0万元，与</w:t>
      </w:r>
      <w:r>
        <w:rPr>
          <w:rFonts w:hint="eastAsia" w:ascii="宋体" w:hAnsi="宋体"/>
          <w:color w:val="000000"/>
          <w:sz w:val="32"/>
          <w:szCs w:val="32"/>
          <w:lang w:eastAsia="zh-CN"/>
        </w:rPr>
        <w:t>2021</w:t>
      </w:r>
      <w:r>
        <w:rPr>
          <w:rFonts w:hint="eastAsia" w:ascii="宋体" w:hAnsi="宋体"/>
          <w:color w:val="000000"/>
          <w:sz w:val="32"/>
          <w:szCs w:val="32"/>
        </w:rPr>
        <w:t>年决算数持平）。</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1" w:name="_Toc15377223"/>
      <w:r>
        <w:rPr>
          <w:rFonts w:hint="eastAsia" w:ascii="仿宋" w:hAnsi="仿宋" w:eastAsia="仿宋"/>
          <w:b/>
          <w:sz w:val="32"/>
          <w:szCs w:val="32"/>
        </w:rPr>
        <w:t>（二）政府采购支出情况</w:t>
      </w:r>
      <w:bookmarkEnd w:id="51"/>
    </w:p>
    <w:p>
      <w:pPr>
        <w:spacing w:line="600" w:lineRule="exact"/>
        <w:ind w:firstLine="640" w:firstLineChars="200"/>
        <w:rPr>
          <w:rFonts w:ascii="宋体" w:hAnsi="宋体"/>
          <w:color w:val="000000"/>
          <w:sz w:val="32"/>
          <w:szCs w:val="32"/>
        </w:rPr>
      </w:pPr>
      <w:r>
        <w:rPr>
          <w:rFonts w:hint="eastAsia" w:ascii="宋体" w:hAnsi="宋体"/>
          <w:color w:val="000000"/>
          <w:sz w:val="32"/>
          <w:szCs w:val="32"/>
          <w:lang w:eastAsia="zh-CN"/>
        </w:rPr>
        <w:t>2021</w:t>
      </w:r>
      <w:r>
        <w:rPr>
          <w:rFonts w:hint="eastAsia" w:ascii="宋体" w:hAnsi="宋体"/>
          <w:color w:val="000000"/>
          <w:sz w:val="32"/>
          <w:szCs w:val="32"/>
        </w:rPr>
        <w:t>年，乐山市龙泓路小学政府采购支出总额</w:t>
      </w:r>
      <w:r>
        <w:rPr>
          <w:rFonts w:hint="eastAsia" w:ascii="宋体" w:hAnsi="宋体"/>
          <w:color w:val="000000"/>
          <w:sz w:val="32"/>
          <w:szCs w:val="32"/>
          <w:lang w:val="en-US" w:eastAsia="zh-CN"/>
        </w:rPr>
        <w:t>9.02</w:t>
      </w:r>
      <w:r>
        <w:rPr>
          <w:rFonts w:hint="eastAsia" w:ascii="宋体" w:hAnsi="宋体"/>
          <w:color w:val="000000"/>
          <w:sz w:val="32"/>
          <w:szCs w:val="32"/>
        </w:rPr>
        <w:t>万元，其中：政府采购货物支出</w:t>
      </w:r>
      <w:r>
        <w:rPr>
          <w:rFonts w:hint="eastAsia" w:ascii="宋体" w:hAnsi="宋体"/>
          <w:color w:val="000000"/>
          <w:sz w:val="32"/>
          <w:szCs w:val="32"/>
          <w:lang w:val="en-US" w:eastAsia="zh-CN"/>
        </w:rPr>
        <w:t>5.28</w:t>
      </w:r>
      <w:r>
        <w:rPr>
          <w:rFonts w:hint="eastAsia" w:ascii="宋体" w:hAnsi="宋体"/>
          <w:color w:val="000000"/>
          <w:sz w:val="32"/>
          <w:szCs w:val="32"/>
        </w:rPr>
        <w:t>万元</w:t>
      </w:r>
      <w:r>
        <w:rPr>
          <w:rFonts w:hint="eastAsia" w:ascii="宋体" w:hAnsi="宋体"/>
          <w:color w:val="000000"/>
          <w:sz w:val="32"/>
          <w:szCs w:val="32"/>
          <w:lang w:eastAsia="zh-CN"/>
        </w:rPr>
        <w:t>，用于办公设备采购、专用设备采购；</w:t>
      </w:r>
      <w:r>
        <w:rPr>
          <w:rFonts w:hint="eastAsia" w:ascii="宋体" w:hAnsi="宋体"/>
          <w:color w:val="000000"/>
          <w:sz w:val="32"/>
          <w:szCs w:val="32"/>
        </w:rPr>
        <w:t>政府采购工程支出</w:t>
      </w:r>
      <w:r>
        <w:rPr>
          <w:rFonts w:hint="eastAsia" w:ascii="宋体" w:hAnsi="宋体"/>
          <w:color w:val="000000"/>
          <w:sz w:val="32"/>
          <w:szCs w:val="32"/>
          <w:lang w:val="en-US" w:eastAsia="zh-CN"/>
        </w:rPr>
        <w:t>3.74</w:t>
      </w:r>
      <w:r>
        <w:rPr>
          <w:rFonts w:hint="eastAsia" w:ascii="宋体" w:hAnsi="宋体"/>
          <w:color w:val="000000"/>
          <w:sz w:val="32"/>
          <w:szCs w:val="32"/>
        </w:rPr>
        <w:t>万元</w:t>
      </w:r>
      <w:r>
        <w:rPr>
          <w:rFonts w:hint="eastAsia" w:ascii="宋体" w:hAnsi="宋体"/>
          <w:color w:val="000000"/>
          <w:sz w:val="32"/>
          <w:szCs w:val="32"/>
          <w:lang w:eastAsia="zh-CN"/>
        </w:rPr>
        <w:t>，</w:t>
      </w:r>
      <w:r>
        <w:rPr>
          <w:rFonts w:hint="eastAsia" w:ascii="宋体" w:hAnsi="宋体"/>
          <w:color w:val="000000"/>
          <w:sz w:val="32"/>
          <w:szCs w:val="32"/>
        </w:rPr>
        <w:t>主要用于龙泓路小学</w:t>
      </w:r>
      <w:r>
        <w:rPr>
          <w:rFonts w:hint="eastAsia" w:ascii="宋体" w:hAnsi="宋体"/>
          <w:color w:val="000000"/>
          <w:sz w:val="32"/>
          <w:szCs w:val="32"/>
          <w:lang w:eastAsia="zh-CN"/>
        </w:rPr>
        <w:t>校</w:t>
      </w:r>
      <w:r>
        <w:rPr>
          <w:rFonts w:hint="eastAsia" w:ascii="宋体" w:hAnsi="宋体"/>
          <w:color w:val="000000"/>
          <w:sz w:val="32"/>
          <w:szCs w:val="32"/>
        </w:rPr>
        <w:t>园维修改造工程</w:t>
      </w:r>
      <w:r>
        <w:rPr>
          <w:rFonts w:hint="eastAsia" w:ascii="宋体" w:hAnsi="宋体"/>
          <w:color w:val="000000"/>
          <w:sz w:val="32"/>
          <w:szCs w:val="32"/>
          <w:lang w:eastAsia="zh-CN"/>
        </w:rPr>
        <w:t>的质保金</w:t>
      </w:r>
      <w:r>
        <w:rPr>
          <w:rFonts w:hint="eastAsia" w:ascii="宋体" w:hAnsi="宋体"/>
          <w:color w:val="000000"/>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2" w:name="_Toc15377224"/>
      <w:r>
        <w:rPr>
          <w:rFonts w:hint="eastAsia" w:ascii="仿宋" w:hAnsi="仿宋" w:eastAsia="仿宋"/>
          <w:b/>
          <w:sz w:val="32"/>
          <w:szCs w:val="32"/>
        </w:rPr>
        <w:t>（三）国有资产占有使用情况</w:t>
      </w:r>
      <w:bookmarkEnd w:id="5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乐山市龙泓路小学</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辆、机要通信用车辆</w:t>
      </w:r>
      <w:r>
        <w:rPr>
          <w:rFonts w:hint="eastAsia" w:ascii="仿宋_GB2312" w:eastAsia="仿宋_GB2312"/>
          <w:sz w:val="32"/>
          <w:szCs w:val="32"/>
          <w:lang w:val="en-US" w:eastAsia="zh-CN"/>
        </w:rPr>
        <w:t>0</w:t>
      </w:r>
      <w:r>
        <w:rPr>
          <w:rFonts w:hint="eastAsia" w:ascii="仿宋_GB2312" w:eastAsia="仿宋_GB2312"/>
          <w:sz w:val="32"/>
          <w:szCs w:val="32"/>
        </w:rPr>
        <w:t>、应急保障用车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hint="eastAsia" w:ascii="宋体" w:hAnsi="宋体" w:cs="仿宋_GB2312"/>
          <w:sz w:val="32"/>
          <w:szCs w:val="32"/>
          <w:lang w:val="en-US" w:eastAsia="zh-CN"/>
        </w:rPr>
      </w:pPr>
      <w:r>
        <w:rPr>
          <w:rFonts w:hint="eastAsia" w:ascii="宋体" w:hAnsi="宋体" w:cs="仿宋_GB2312"/>
          <w:sz w:val="32"/>
          <w:szCs w:val="32"/>
        </w:rPr>
        <w:t>根据预算绩效管理要求，在年初预算编制阶段，按照财政部门预算绩效管理工作部署，</w:t>
      </w:r>
      <w:r>
        <w:rPr>
          <w:rFonts w:hint="eastAsia" w:ascii="宋体" w:hAnsi="宋体" w:cs="仿宋_GB2312"/>
          <w:sz w:val="32"/>
          <w:szCs w:val="32"/>
          <w:lang w:eastAsia="zh-CN"/>
        </w:rPr>
        <w:t>2021</w:t>
      </w:r>
      <w:r>
        <w:rPr>
          <w:rFonts w:hint="eastAsia" w:ascii="宋体" w:hAnsi="宋体" w:cs="仿宋_GB2312"/>
          <w:sz w:val="32"/>
          <w:szCs w:val="32"/>
        </w:rPr>
        <w:t xml:space="preserve">年我单位推行部门整体绩效评价，按要求对 </w:t>
      </w:r>
      <w:r>
        <w:rPr>
          <w:rFonts w:hint="eastAsia" w:ascii="宋体" w:hAnsi="宋体" w:cs="仿宋_GB2312"/>
          <w:sz w:val="32"/>
          <w:szCs w:val="32"/>
          <w:lang w:eastAsia="zh-CN"/>
        </w:rPr>
        <w:t>2021</w:t>
      </w:r>
      <w:r>
        <w:rPr>
          <w:rFonts w:hint="eastAsia" w:ascii="宋体" w:hAnsi="宋体" w:cs="仿宋_GB2312"/>
          <w:sz w:val="32"/>
          <w:szCs w:val="32"/>
        </w:rPr>
        <w:t xml:space="preserve"> 年部门整体支出开展绩效自评，从评价情况来看预决算编制合理，支出高效，进度执行规范。财政支出既保障本园正常运转，又保证了重点项目开支，财政支出绩效良好。从评价情况来看确保了财政资金支出的均衡平稳，科学合理。同时，利用有限的资金，着力提高资金使用绩效，把资金放大使用，用好，用活。</w:t>
      </w:r>
      <w:r>
        <w:rPr>
          <w:rFonts w:hint="eastAsia" w:ascii="宋体" w:hAnsi="宋体" w:cs="仿宋_GB2312"/>
          <w:sz w:val="32"/>
          <w:szCs w:val="32"/>
          <w:lang w:val="en-US" w:eastAsia="zh-CN"/>
        </w:rPr>
        <w:t xml:space="preserve"> </w:t>
      </w:r>
    </w:p>
    <w:p>
      <w:pPr>
        <w:spacing w:line="580" w:lineRule="exact"/>
        <w:ind w:firstLine="640" w:firstLineChars="200"/>
        <w:rPr>
          <w:rFonts w:hint="eastAsia" w:ascii="仿宋_GB2312" w:hAnsi="仿宋_GB2312" w:eastAsia="仿宋_GB2312" w:cs="仿宋_GB2312"/>
          <w:sz w:val="32"/>
          <w:szCs w:val="32"/>
        </w:rPr>
      </w:pPr>
    </w:p>
    <w:p>
      <w:pPr>
        <w:spacing w:line="580" w:lineRule="exact"/>
        <w:ind w:firstLine="640" w:firstLineChars="200"/>
        <w:rPr>
          <w:rFonts w:ascii="宋体" w:hAnsi="宋体" w:cs="仿宋_GB2312"/>
          <w:sz w:val="32"/>
          <w:szCs w:val="32"/>
        </w:rPr>
      </w:pPr>
      <w:r>
        <w:rPr>
          <w:rFonts w:hint="eastAsia" w:ascii="宋体" w:hAnsi="宋体" w:cs="仿宋_GB2312"/>
          <w:sz w:val="32"/>
          <w:szCs w:val="32"/>
        </w:rPr>
        <w:t>本部门在</w:t>
      </w:r>
      <w:r>
        <w:rPr>
          <w:rFonts w:hint="eastAsia" w:ascii="宋体" w:hAnsi="宋体" w:cs="仿宋_GB2312"/>
          <w:sz w:val="32"/>
          <w:szCs w:val="32"/>
          <w:lang w:eastAsia="zh-CN"/>
        </w:rPr>
        <w:t>2021</w:t>
      </w:r>
      <w:r>
        <w:rPr>
          <w:rFonts w:hint="eastAsia" w:ascii="宋体" w:hAnsi="宋体" w:cs="仿宋_GB2312"/>
          <w:sz w:val="32"/>
          <w:szCs w:val="32"/>
        </w:rPr>
        <w:t>年度部门决算中反映乐山市龙泓路小学基本运转经费</w:t>
      </w:r>
      <w:r>
        <w:rPr>
          <w:rFonts w:hint="eastAsia" w:ascii="宋体" w:hAnsi="宋体" w:cs="仿宋_GB2312"/>
          <w:sz w:val="32"/>
          <w:szCs w:val="32"/>
          <w:lang w:val="en-US" w:eastAsia="zh-CN"/>
        </w:rPr>
        <w:t>3</w:t>
      </w:r>
      <w:r>
        <w:rPr>
          <w:rFonts w:hint="eastAsia" w:ascii="宋体" w:hAnsi="宋体" w:cs="仿宋_GB2312"/>
          <w:sz w:val="32"/>
          <w:szCs w:val="32"/>
        </w:rPr>
        <w:t>个项目绩效目标实际完成情况。</w:t>
      </w:r>
    </w:p>
    <w:p>
      <w:pPr>
        <w:spacing w:line="580" w:lineRule="exact"/>
        <w:ind w:firstLine="640" w:firstLineChars="200"/>
      </w:pPr>
      <w:r>
        <w:rPr>
          <w:rFonts w:hint="eastAsia" w:ascii="宋体" w:hAnsi="宋体" w:cs="仿宋_GB2312"/>
          <w:sz w:val="32"/>
          <w:szCs w:val="32"/>
        </w:rPr>
        <w:t>龙泓路小学基本运转经费项目绩效目标完成情况综述。项目全年预算数7.6</w:t>
      </w:r>
      <w:r>
        <w:rPr>
          <w:rFonts w:hint="eastAsia" w:ascii="宋体" w:hAnsi="宋体" w:cs="仿宋_GB2312"/>
          <w:sz w:val="32"/>
          <w:szCs w:val="32"/>
          <w:lang w:val="en-US" w:eastAsia="zh-CN"/>
        </w:rPr>
        <w:t>5</w:t>
      </w:r>
      <w:r>
        <w:rPr>
          <w:rFonts w:hint="eastAsia" w:ascii="宋体" w:hAnsi="宋体" w:cs="仿宋_GB2312"/>
          <w:sz w:val="32"/>
          <w:szCs w:val="32"/>
        </w:rPr>
        <w:t>万元，执行数为7.</w:t>
      </w:r>
      <w:r>
        <w:rPr>
          <w:rFonts w:hint="eastAsia" w:ascii="宋体" w:hAnsi="宋体" w:cs="仿宋_GB2312"/>
          <w:sz w:val="32"/>
          <w:szCs w:val="32"/>
          <w:lang w:val="en-US" w:eastAsia="zh-CN"/>
        </w:rPr>
        <w:t>65</w:t>
      </w:r>
      <w:r>
        <w:rPr>
          <w:rFonts w:hint="eastAsia" w:ascii="宋体" w:hAnsi="宋体" w:cs="仿宋_GB2312"/>
          <w:sz w:val="32"/>
          <w:szCs w:val="32"/>
        </w:rPr>
        <w:t>万元，完成预算的100%。通过项目实施，保障确保安保人员到岗到位，确保安保经费足额按时发放，确保广大师生生命安全和校园财产安全</w:t>
      </w:r>
      <w:r>
        <w:rPr>
          <w:rFonts w:hint="eastAsia" w:ascii="宋体" w:hAnsi="宋体" w:cs="仿宋_GB2312"/>
          <w:sz w:val="32"/>
          <w:szCs w:val="32"/>
          <w:lang w:eastAsia="zh-CN"/>
        </w:rPr>
        <w:t>；临聘教师全年</w:t>
      </w:r>
      <w:r>
        <w:rPr>
          <w:rFonts w:hint="eastAsia" w:ascii="宋体" w:hAnsi="宋体" w:cs="仿宋_GB2312"/>
          <w:sz w:val="32"/>
          <w:szCs w:val="32"/>
          <w:lang w:val="en-US" w:eastAsia="zh-CN"/>
        </w:rPr>
        <w:t>33.6万元，执行数33.6万元，保证教师经费足额按时发放，确保教育教学任务顺利完成；作业本费0.9万元，为全校师生教育教学提供后勤保障</w:t>
      </w:r>
      <w:r>
        <w:rPr>
          <w:rFonts w:hint="eastAsia" w:ascii="宋体" w:hAnsi="宋体" w:cs="仿宋_GB2312"/>
          <w:sz w:val="32"/>
          <w:szCs w:val="32"/>
        </w:rPr>
        <w:t>。</w:t>
      </w:r>
      <w:r>
        <w:rPr>
          <w:rFonts w:hint="eastAsia" w:ascii="宋体" w:hAnsi="宋体" w:cs="仿宋_GB2312"/>
          <w:sz w:val="32"/>
          <w:szCs w:val="32"/>
          <w:lang w:eastAsia="zh-CN"/>
        </w:rPr>
        <w:t>并</w:t>
      </w:r>
      <w:r>
        <w:rPr>
          <w:rFonts w:hint="eastAsia" w:ascii="宋体" w:hAnsi="宋体" w:cs="仿宋_GB2312"/>
          <w:sz w:val="32"/>
          <w:szCs w:val="32"/>
        </w:rPr>
        <w:t>按要求对</w:t>
      </w:r>
      <w:r>
        <w:rPr>
          <w:rFonts w:hint="eastAsia" w:ascii="宋体" w:hAnsi="宋体" w:cs="仿宋_GB2312"/>
          <w:sz w:val="32"/>
          <w:szCs w:val="32"/>
          <w:lang w:eastAsia="zh-CN"/>
        </w:rPr>
        <w:t>2021</w:t>
      </w:r>
      <w:r>
        <w:rPr>
          <w:rFonts w:hint="eastAsia" w:ascii="宋体" w:hAnsi="宋体" w:cs="仿宋_GB2312"/>
          <w:sz w:val="32"/>
          <w:szCs w:val="32"/>
        </w:rPr>
        <w:t>年部门</w:t>
      </w:r>
      <w:r>
        <w:rPr>
          <w:rFonts w:hint="eastAsia" w:ascii="宋体" w:hAnsi="宋体" w:cs="仿宋_GB2312"/>
          <w:sz w:val="32"/>
          <w:szCs w:val="32"/>
          <w:lang w:eastAsia="zh-CN"/>
        </w:rPr>
        <w:t>项目</w:t>
      </w:r>
      <w:r>
        <w:rPr>
          <w:rFonts w:hint="eastAsia" w:ascii="宋体" w:hAnsi="宋体" w:cs="仿宋_GB2312"/>
          <w:sz w:val="32"/>
          <w:szCs w:val="32"/>
        </w:rPr>
        <w:t>支出绩效评价情况开展自评。</w:t>
      </w:r>
    </w:p>
    <w:p>
      <w:pPr>
        <w:spacing w:line="600" w:lineRule="exact"/>
        <w:rPr>
          <w:rFonts w:hint="eastAsia" w:eastAsia="黑体"/>
          <w:sz w:val="28"/>
          <w:szCs w:val="28"/>
          <w:lang w:val="en-US" w:eastAsia="zh-CN"/>
        </w:rPr>
      </w:pPr>
    </w:p>
    <w:p>
      <w:pPr>
        <w:snapToGrid w:val="0"/>
        <w:spacing w:line="600" w:lineRule="exact"/>
        <w:jc w:val="center"/>
        <w:rPr>
          <w:rFonts w:ascii="方正小标宋简体" w:hAnsi="宋体" w:eastAsia="方正小标宋简体"/>
          <w:sz w:val="36"/>
          <w:szCs w:val="28"/>
        </w:rPr>
      </w:pPr>
      <w:r>
        <w:rPr>
          <w:rFonts w:hint="eastAsia" w:ascii="方正小标宋简体" w:hAnsi="宋体" w:eastAsia="方正小标宋简体"/>
          <w:sz w:val="36"/>
          <w:szCs w:val="28"/>
        </w:rPr>
        <w:t>乐山市龙泓路小学</w:t>
      </w:r>
    </w:p>
    <w:p>
      <w:pPr>
        <w:snapToGrid w:val="0"/>
        <w:spacing w:line="600" w:lineRule="exact"/>
        <w:jc w:val="center"/>
        <w:rPr>
          <w:rFonts w:asciiTheme="majorEastAsia" w:hAnsiTheme="majorEastAsia" w:eastAsiaTheme="majorEastAsia"/>
          <w:b/>
          <w:sz w:val="36"/>
          <w:szCs w:val="28"/>
        </w:rPr>
      </w:pPr>
      <w:r>
        <w:rPr>
          <w:rFonts w:hint="eastAsia" w:cs="仿宋_GB2312" w:asciiTheme="majorEastAsia" w:hAnsiTheme="majorEastAsia" w:eastAsiaTheme="majorEastAsia"/>
          <w:b/>
          <w:kern w:val="0"/>
          <w:sz w:val="36"/>
          <w:szCs w:val="28"/>
        </w:rPr>
        <w:t>2021年度部门预算项目支出绩效评价报告</w:t>
      </w:r>
    </w:p>
    <w:p>
      <w:pPr>
        <w:tabs>
          <w:tab w:val="left" w:pos="3885"/>
        </w:tabs>
        <w:snapToGrid w:val="0"/>
        <w:spacing w:line="600" w:lineRule="exact"/>
        <w:jc w:val="center"/>
        <w:rPr>
          <w:rFonts w:hAnsi="宋体"/>
          <w:sz w:val="28"/>
          <w:szCs w:val="28"/>
        </w:rPr>
      </w:pPr>
      <w:r>
        <w:rPr>
          <w:rFonts w:hint="eastAsia" w:hAnsi="宋体"/>
          <w:sz w:val="28"/>
          <w:szCs w:val="28"/>
        </w:rPr>
        <w:t>（作业本费项目）</w:t>
      </w:r>
    </w:p>
    <w:p>
      <w:pPr>
        <w:tabs>
          <w:tab w:val="left" w:pos="3885"/>
        </w:tabs>
        <w:snapToGrid w:val="0"/>
        <w:spacing w:line="600" w:lineRule="exact"/>
        <w:ind w:firstLine="440" w:firstLineChars="200"/>
        <w:jc w:val="left"/>
        <w:rPr>
          <w:rFonts w:ascii="宋体" w:hAnsi="宋体"/>
          <w:sz w:val="22"/>
          <w:szCs w:val="28"/>
        </w:rPr>
      </w:pP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一、基本情况</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（一）项目概况</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我校免作业本费项目资金的申报是学校根据每学期开学人数，再向上级主管部门申报，由上级财政部门将资金划拨到校，此项目申报内容与具体实施内容相符，符合管理要求，合规、合理可行。</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（二）项目实施情况</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免作业本费计划实现的具体绩效目标是在我校就读并取得学籍的全部在校学生免费获得作业本。作业本在开学前由分管领导全权负责，由教导处提供班级数和各班学生数，供货商将作业本送到总务处。开学时由总务处根据教导处提供的各班人数负责实施发放给学生使用，减轻了学生家庭的经济负担。</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（三）资金投入及使用情况。</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1．资金计划及到位情况：该项目资金是省级财政资金，资金划拨到位及时，资金到位率为100%。</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2．资金使用情况：2021年，我校免作业本费支出9807.12元，全部用于购买学生作业本，并按合同的要求及时足额地支付给印刷厂，支付依据合规合法，资金支付金额与学生人数应支金额相符。</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根据学校项目资金管理办法，此项目严格执行财务管理制度，在财政奖金划拨后，报账员及时将资金转账给了供货企业，同时会计核算规范及时。</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（四）项目绩效情况</w:t>
      </w:r>
      <w:r>
        <w:rPr>
          <w:rFonts w:hint="eastAsia" w:cs="仿宋_GB2312" w:asciiTheme="majorEastAsia" w:hAnsiTheme="majorEastAsia" w:eastAsiaTheme="majorEastAsia"/>
          <w:kern w:val="0"/>
          <w:sz w:val="28"/>
          <w:szCs w:val="28"/>
        </w:rPr>
        <w:tab/>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1、项目完成情况。</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2021年下期学生免费领用作业本的情况为：一至六年级681人，共免费领用作业本费9807.12元。截止2021年9月，我校的免费作业本均全部发放到了每个学生手中，保质保量完成了此项工作，让每个学生能及时放心地使用。</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二、评价工作开展情况</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（一）评价组织情况：总务处、教导处以及各班</w:t>
      </w:r>
    </w:p>
    <w:p>
      <w:pPr>
        <w:adjustRightInd w:val="0"/>
        <w:snapToGrid w:val="0"/>
        <w:spacing w:line="500" w:lineRule="exact"/>
        <w:ind w:firstLine="140" w:firstLineChars="5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(二)评价指标体系：项目申报设立、项目管理、资金管理、项目效益、综合绩效。</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（三）评价方法:总务处和教导处牵头，以班为单位进行沟通、反馈作业本的发放和使用情况。</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（四）评价标准：作业本是否发放及时，是否足量发放，是否能放心使用。</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三、综合评价结论</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我校在2021年度作业本项目支出中严格经费支出，做到了合理规范，无违规违纪操作，总体情况好自评分为98分。</w:t>
      </w:r>
    </w:p>
    <w:p>
      <w:pPr>
        <w:adjustRightInd w:val="0"/>
        <w:snapToGrid w:val="0"/>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四、绩效评价分析</w:t>
      </w:r>
    </w:p>
    <w:p>
      <w:pPr>
        <w:adjustRightInd w:val="0"/>
        <w:snapToGrid w:val="0"/>
        <w:spacing w:line="500" w:lineRule="exact"/>
        <w:ind w:firstLine="72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此项目是国家在义务教育学校的一项重要免费政策，符合当下社会发展的需要，学生家长及学生对此项服务非常满意，有利于社会的文明与进步。</w:t>
      </w:r>
    </w:p>
    <w:p>
      <w:pPr>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五、存在的主要问题</w:t>
      </w:r>
    </w:p>
    <w:p>
      <w:pPr>
        <w:spacing w:line="500" w:lineRule="exact"/>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在作业本实际使用过程中发现，作业本的纸张质量需要更进一步改进，个别作业本有损坏。</w:t>
      </w:r>
    </w:p>
    <w:p>
      <w:pPr>
        <w:spacing w:line="500" w:lineRule="exact"/>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六、相关建议。</w:t>
      </w:r>
    </w:p>
    <w:p>
      <w:pPr>
        <w:spacing w:line="500" w:lineRule="exact"/>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建议财政和教育部门进一步加强监管，定期和不定期检查相结合，加强作业本质量监管力度。</w:t>
      </w:r>
    </w:p>
    <w:p>
      <w:pPr>
        <w:spacing w:line="500" w:lineRule="exact"/>
        <w:ind w:firstLine="560" w:firstLineChars="200"/>
        <w:rPr>
          <w:rFonts w:cs="仿宋_GB2312" w:asciiTheme="majorEastAsia" w:hAnsiTheme="majorEastAsia" w:eastAsiaTheme="majorEastAsia"/>
          <w:kern w:val="0"/>
          <w:sz w:val="28"/>
          <w:szCs w:val="28"/>
        </w:rPr>
      </w:pPr>
    </w:p>
    <w:p>
      <w:pPr>
        <w:spacing w:line="600" w:lineRule="exact"/>
        <w:rPr>
          <w:sz w:val="28"/>
          <w:szCs w:val="28"/>
        </w:rPr>
      </w:pPr>
    </w:p>
    <w:p>
      <w:pPr>
        <w:snapToGrid w:val="0"/>
        <w:spacing w:line="6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乐山市龙泓路小学</w:t>
      </w:r>
    </w:p>
    <w:p>
      <w:pPr>
        <w:snapToGrid w:val="0"/>
        <w:spacing w:line="600" w:lineRule="exact"/>
        <w:jc w:val="center"/>
        <w:rPr>
          <w:rFonts w:asciiTheme="majorEastAsia" w:hAnsiTheme="majorEastAsia" w:eastAsiaTheme="majorEastAsia"/>
          <w:b/>
          <w:sz w:val="36"/>
          <w:szCs w:val="28"/>
        </w:rPr>
      </w:pPr>
      <w:r>
        <w:rPr>
          <w:rFonts w:hint="eastAsia" w:cs="仿宋_GB2312" w:asciiTheme="majorEastAsia" w:hAnsiTheme="majorEastAsia" w:eastAsiaTheme="majorEastAsia"/>
          <w:b/>
          <w:kern w:val="0"/>
          <w:sz w:val="36"/>
          <w:szCs w:val="28"/>
        </w:rPr>
        <w:t>2021年度部门预算项目支出绩效评价报告</w:t>
      </w:r>
    </w:p>
    <w:p>
      <w:pPr>
        <w:tabs>
          <w:tab w:val="left" w:pos="3885"/>
        </w:tabs>
        <w:snapToGrid w:val="0"/>
        <w:spacing w:line="600" w:lineRule="exact"/>
        <w:jc w:val="center"/>
        <w:rPr>
          <w:rFonts w:hAnsi="宋体"/>
          <w:sz w:val="28"/>
          <w:szCs w:val="28"/>
        </w:rPr>
      </w:pPr>
      <w:r>
        <w:rPr>
          <w:rFonts w:hint="eastAsia" w:hAnsi="宋体"/>
          <w:sz w:val="28"/>
          <w:szCs w:val="28"/>
        </w:rPr>
        <w:t>（临聘教师）</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一、基本情况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（一）项目概况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2021年我校有教学班13个，学生人数681人，编制内教师35人，专任教师34人，其中两人借调，一人交流，教学任务重，压力大。根据实际情况，向教育主管部门申请，批准聘请6位临聘教师，以保障学校教育教学的正常开展。</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（二）项目实施情况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2021年，我校教导处从教师中选择骨干教师、学科带头人和部分中层干部组成了考评小组，拟定乐山市龙泓路小学临聘教师招聘方案，</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根据方案，新招入了专任教师6名。</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 xml:space="preserve">   （三）资金投入使用情况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 xml:space="preserve"> 1．资金计划及到位情况：该项目资金是省级财政资金，资金划拨到位及时，资金到位率为100%。</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2．资金使用情况：2021年，我校聘用教师共计支出336045.28元，全部用于聘用教师工资、保险、福利支出。</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根据学校项目资金管理办法，此项目严格执行财务管理制度，在财政奖金划拨后，报账员及时将资金转账给了新锐人力资源管理公司，及时发放到聘用教师手中。</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（四）项目绩效情况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2021年聘请的六位教师，分别为三位数学教师，一位英语教师，两位音乐教师，自参加工作以来服从学校安排、积极参加各位培训，不断提高教育教学专业素养，在各自的岗位上认真履职，获得学校领导、同行、学生和家长的一致认可。</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二、评价工作开展情况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（一）评价组织情况</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学校由教导处牵头，教研组具体实施对聘用教师的考评，统一参照考聘在编在岗专任教师的考核方案制定我校临聘教师考核细则，对临聘教师进行考核。</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（二）评价指标体系</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按照得、能、勤、绩对临聘教师进行考核，实行同行互评，学生满意度考评相结合的方式进行评价。</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三、综合评价结论</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我校在2021年度聘用教师项目支出中严格经费支出，做到了合理规范，无违规违纪操作，总体情况好自评分为98分。</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四、绩效评价分析</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此项目是国家结合教育现状实施的一项重要政策，符合当下社会发展的需要，学生家长及学生对此项服务非常满意，有利于社会的文明与进步。</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五、存在主要问题</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因聘用教师是每年考评，每年招聘，流动性大，受益人满意度没有达到百分之一百。</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六、措施和建议</w:t>
      </w:r>
    </w:p>
    <w:p>
      <w:pPr>
        <w:ind w:firstLine="560" w:firstLineChars="200"/>
        <w:rPr>
          <w:rFonts w:cs="仿宋_GB2312" w:asciiTheme="majorEastAsia" w:hAnsiTheme="majorEastAsia" w:eastAsiaTheme="majorEastAsia"/>
          <w:kern w:val="0"/>
          <w:sz w:val="28"/>
          <w:szCs w:val="28"/>
        </w:rPr>
      </w:pPr>
      <w:r>
        <w:rPr>
          <w:rFonts w:hint="eastAsia" w:cs="仿宋_GB2312" w:asciiTheme="majorEastAsia" w:hAnsiTheme="majorEastAsia" w:eastAsiaTheme="majorEastAsia"/>
          <w:kern w:val="0"/>
          <w:sz w:val="28"/>
          <w:szCs w:val="28"/>
        </w:rPr>
        <w:t>加大对聘用教师专业素养的培训力度，严格规范管理办法，让社会满意。</w:t>
      </w:r>
    </w:p>
    <w:p>
      <w:pPr>
        <w:ind w:firstLine="560" w:firstLineChars="200"/>
        <w:rPr>
          <w:rFonts w:cs="仿宋_GB2312" w:asciiTheme="majorEastAsia" w:hAnsiTheme="majorEastAsia" w:eastAsiaTheme="majorEastAsia"/>
          <w:kern w:val="0"/>
          <w:sz w:val="28"/>
          <w:szCs w:val="28"/>
        </w:rPr>
      </w:pPr>
    </w:p>
    <w:p>
      <w:pPr>
        <w:ind w:firstLine="560" w:firstLineChars="200"/>
        <w:rPr>
          <w:rFonts w:cs="仿宋_GB2312" w:asciiTheme="majorEastAsia" w:hAnsiTheme="majorEastAsia" w:eastAsiaTheme="majorEastAsia"/>
          <w:kern w:val="0"/>
          <w:sz w:val="28"/>
          <w:szCs w:val="28"/>
        </w:rPr>
      </w:pP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4"/>
          <w:rFonts w:ascii="黑体" w:hAnsi="黑体" w:eastAsia="黑体"/>
          <w:b w:val="0"/>
        </w:rPr>
      </w:pPr>
      <w:bookmarkStart w:id="53" w:name="_Toc15396613"/>
      <w:bookmarkStart w:id="54" w:name="_Toc15377225"/>
      <w:r>
        <w:rPr>
          <w:rFonts w:hint="eastAsia" w:ascii="黑体" w:hAnsi="黑体" w:eastAsia="黑体"/>
          <w:sz w:val="44"/>
          <w:szCs w:val="44"/>
        </w:rPr>
        <w:t>名</w:t>
      </w:r>
      <w:r>
        <w:rPr>
          <w:rStyle w:val="24"/>
          <w:rFonts w:hint="eastAsia" w:ascii="黑体" w:hAnsi="黑体" w:eastAsia="黑体"/>
          <w:b w:val="0"/>
        </w:rPr>
        <w:t>词解释</w:t>
      </w:r>
      <w:bookmarkEnd w:id="53"/>
      <w:bookmarkEnd w:id="54"/>
    </w:p>
    <w:p>
      <w:pPr>
        <w:spacing w:line="600" w:lineRule="exact"/>
        <w:jc w:val="left"/>
        <w:rPr>
          <w:rFonts w:ascii="宋体"/>
          <w:b/>
          <w:sz w:val="44"/>
          <w:szCs w:val="44"/>
        </w:rPr>
      </w:pPr>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9.社会保障和就业（类）行政事业单位养老（款）行政单位离退休（项）：指实行归口管理的行政单位（包括实行公务员管理的事业单位）开支的离退休支出。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10.社会保障和就业（类）行政事业单位养老（款）事业单位离退休（项）：指事业单位开支的离退休支出。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11.社会保障和就业（类）行政事业单位养老（款）机关事业单位基本养老保险缴费（项）：指机关事业单位实施养老保险制度由单位实际缴纳的基本养老保险费支出。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12.社会保障和就业（类）行政事业单位养老（款）机关事业单位职业年金缴费（项）：指机关事业单位实施养老保险制度由单位实际缴纳的职业年金支出。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13.社会保障和就业（类）行政事业单位养老（款）其他行政事业单位养老（项）：指除上述其他用于行政事业单位养老方面的支出。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14.社会保障和就业（类）抚恤（款）死亡抚恤（项）：指规定用于烈士和牺牲、病故人员家属的一次性和定期抚恤金以及丧葬补助费。</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15.社会保障和就业（类）残疾人事业（款）其他残疾人事业（项）：指除上述项目以外其他用于残疾人事业方面的支出。</w:t>
      </w:r>
    </w:p>
    <w:p>
      <w:pPr>
        <w:ind w:firstLine="566" w:firstLineChars="177"/>
        <w:rPr>
          <w:rFonts w:ascii="仿宋_GB2312" w:eastAsia="仿宋_GB2312"/>
          <w:color w:val="000000"/>
          <w:sz w:val="32"/>
          <w:szCs w:val="32"/>
        </w:rPr>
      </w:pPr>
      <w:r>
        <w:rPr>
          <w:rFonts w:hint="eastAsia" w:ascii="仿宋_GB2312" w:eastAsia="仿宋_GB2312"/>
          <w:color w:val="000000"/>
          <w:sz w:val="32"/>
          <w:szCs w:val="32"/>
        </w:rPr>
        <w:t>16.社会保障和就业（类）其他社会保障和就业（款）其他社会保障和就业（项）：指除上述项目以外其他用于社会保障和就业方面的支出。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19.住房保障（类）住房改革（款）住房公积金（项）：指行政事业单位按人力资源和社会保障部、财政部规定的基本工资和津贴补贴以及规定比例为职工缴纳的住房公积金。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23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24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rPr>
          <w:rFonts w:ascii="仿宋" w:hAnsi="仿宋" w:eastAsia="仿宋"/>
          <w:b/>
          <w:sz w:val="32"/>
          <w:szCs w:val="32"/>
        </w:rPr>
      </w:pPr>
      <w:r>
        <w:rPr>
          <w:rFonts w:ascii="宋体"/>
          <w:b/>
          <w:color w:val="000000"/>
          <w:sz w:val="44"/>
          <w:szCs w:val="44"/>
        </w:rPr>
        <w:br w:type="page"/>
      </w:r>
    </w:p>
    <w:tbl>
      <w:tblPr>
        <w:tblStyle w:val="12"/>
        <w:tblpPr w:leftFromText="180" w:rightFromText="180" w:vertAnchor="text" w:horzAnchor="page" w:tblpX="1281" w:tblpY="660"/>
        <w:tblOverlap w:val="never"/>
        <w:tblW w:w="9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1170"/>
        <w:gridCol w:w="1675"/>
        <w:gridCol w:w="1218"/>
        <w:gridCol w:w="1254"/>
        <w:gridCol w:w="2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575" w:type="dxa"/>
            <w:gridSpan w:val="6"/>
            <w:tcBorders>
              <w:top w:val="nil"/>
              <w:left w:val="nil"/>
              <w:bottom w:val="single" w:color="auto" w:sz="4" w:space="0"/>
              <w:right w:val="nil"/>
            </w:tcBorders>
            <w:shd w:val="clear" w:color="auto" w:fill="auto"/>
            <w:vAlign w:val="center"/>
          </w:tcPr>
          <w:p>
            <w:pPr>
              <w:widowControl/>
              <w:jc w:val="center"/>
              <w:textAlignment w:val="center"/>
              <w:rPr>
                <w:rFonts w:ascii="宋体" w:hAnsi="宋体" w:cs="宋体"/>
                <w:b/>
                <w:sz w:val="32"/>
                <w:szCs w:val="32"/>
              </w:rPr>
            </w:pPr>
            <w:bookmarkStart w:id="55" w:name="_Toc15377226"/>
            <w:r>
              <w:rPr>
                <w:rFonts w:hint="eastAsia" w:ascii="宋体" w:hAnsi="宋体" w:cs="宋体"/>
                <w:b/>
                <w:sz w:val="32"/>
                <w:szCs w:val="32"/>
              </w:rPr>
              <w:t>2021年特定目标类部门预算项目绩效目标自评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3118" w:type="dxa"/>
            <w:gridSpan w:val="2"/>
            <w:tcBorders>
              <w:top w:val="single" w:color="auto"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主管部门及代码</w:t>
            </w:r>
          </w:p>
        </w:tc>
        <w:tc>
          <w:tcPr>
            <w:tcW w:w="2824" w:type="dxa"/>
            <w:gridSpan w:val="2"/>
            <w:tcBorders>
              <w:top w:val="single" w:color="auto" w:sz="4" w:space="0"/>
            </w:tcBorders>
            <w:shd w:val="clear" w:color="auto" w:fill="auto"/>
            <w:vAlign w:val="center"/>
          </w:tcPr>
          <w:p>
            <w:pPr>
              <w:widowControl/>
              <w:spacing w:line="320" w:lineRule="exact"/>
              <w:textAlignment w:val="center"/>
              <w:rPr>
                <w:rFonts w:hint="eastAsia" w:ascii="宋体" w:hAnsi="宋体" w:cs="宋体"/>
                <w:sz w:val="24"/>
              </w:rPr>
            </w:pPr>
            <w:r>
              <w:rPr>
                <w:rFonts w:hint="eastAsia" w:ascii="宋体" w:hAnsi="宋体" w:cs="宋体"/>
                <w:sz w:val="24"/>
              </w:rPr>
              <w:t>乐山市市中区教育局</w:t>
            </w:r>
          </w:p>
        </w:tc>
        <w:tc>
          <w:tcPr>
            <w:tcW w:w="1224" w:type="dxa"/>
            <w:tcBorders>
              <w:top w:val="single" w:color="auto"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实施单位</w:t>
            </w:r>
          </w:p>
        </w:tc>
        <w:tc>
          <w:tcPr>
            <w:tcW w:w="2409" w:type="dxa"/>
            <w:tcBorders>
              <w:top w:val="single" w:color="auto"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lang w:eastAsia="zh-CN"/>
              </w:rPr>
              <w:t>乐山市龙泓路小学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118" w:type="dxa"/>
            <w:gridSpan w:val="2"/>
            <w:vMerge w:val="restart"/>
            <w:shd w:val="clear" w:color="auto" w:fill="auto"/>
            <w:vAlign w:val="center"/>
          </w:tcPr>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项目预算</w:t>
            </w:r>
          </w:p>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执行情况</w:t>
            </w:r>
          </w:p>
          <w:p>
            <w:pPr>
              <w:widowControl/>
              <w:spacing w:line="320" w:lineRule="exact"/>
              <w:jc w:val="center"/>
              <w:textAlignment w:val="center"/>
              <w:rPr>
                <w:rFonts w:ascii="宋体" w:hAnsi="宋体" w:cs="宋体"/>
                <w:sz w:val="24"/>
              </w:rPr>
            </w:pPr>
            <w:r>
              <w:rPr>
                <w:rFonts w:hint="eastAsia" w:ascii="宋体" w:hAnsi="宋体" w:cs="宋体"/>
                <w:kern w:val="0"/>
                <w:sz w:val="24"/>
              </w:rPr>
              <w:t>（万元）</w:t>
            </w:r>
          </w:p>
        </w:tc>
        <w:tc>
          <w:tcPr>
            <w:tcW w:w="1635"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预算数：</w:t>
            </w:r>
          </w:p>
        </w:tc>
        <w:tc>
          <w:tcPr>
            <w:tcW w:w="1189" w:type="dxa"/>
            <w:shd w:val="clear" w:color="auto" w:fill="auto"/>
            <w:vAlign w:val="center"/>
          </w:tcPr>
          <w:p>
            <w:pPr>
              <w:widowControl/>
              <w:spacing w:line="320" w:lineRule="exact"/>
              <w:jc w:val="left"/>
              <w:textAlignment w:val="center"/>
              <w:rPr>
                <w:rFonts w:hint="default" w:ascii="宋体" w:hAnsi="宋体" w:eastAsia="宋体" w:cs="宋体"/>
                <w:sz w:val="24"/>
                <w:lang w:val="en-US" w:eastAsia="zh-CN"/>
              </w:rPr>
            </w:pPr>
            <w:r>
              <w:rPr>
                <w:rFonts w:hint="eastAsia" w:ascii="宋体" w:hAnsi="宋体" w:cs="宋体"/>
                <w:sz w:val="24"/>
                <w:lang w:val="en-US" w:eastAsia="zh-CN"/>
              </w:rPr>
              <w:t>33.6</w:t>
            </w:r>
          </w:p>
        </w:tc>
        <w:tc>
          <w:tcPr>
            <w:tcW w:w="1224"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执行数：</w:t>
            </w:r>
          </w:p>
        </w:tc>
        <w:tc>
          <w:tcPr>
            <w:tcW w:w="2409" w:type="dxa"/>
            <w:shd w:val="clear" w:color="auto" w:fill="auto"/>
            <w:vAlign w:val="center"/>
          </w:tcPr>
          <w:p>
            <w:pPr>
              <w:widowControl/>
              <w:spacing w:line="320" w:lineRule="exact"/>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118" w:type="dxa"/>
            <w:gridSpan w:val="2"/>
            <w:vMerge w:val="continue"/>
            <w:shd w:val="clear" w:color="auto" w:fill="auto"/>
            <w:vAlign w:val="center"/>
          </w:tcPr>
          <w:p>
            <w:pPr>
              <w:spacing w:line="320" w:lineRule="exact"/>
              <w:jc w:val="center"/>
              <w:rPr>
                <w:rFonts w:ascii="宋体" w:hAnsi="宋体" w:cs="宋体"/>
                <w:sz w:val="24"/>
              </w:rPr>
            </w:pPr>
          </w:p>
        </w:tc>
        <w:tc>
          <w:tcPr>
            <w:tcW w:w="1635" w:type="dxa"/>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1189" w:type="dxa"/>
            <w:shd w:val="clear" w:color="auto" w:fill="auto"/>
            <w:vAlign w:val="center"/>
          </w:tcPr>
          <w:p>
            <w:pPr>
              <w:widowControl/>
              <w:spacing w:line="320" w:lineRule="exact"/>
              <w:jc w:val="left"/>
              <w:textAlignment w:val="center"/>
              <w:rPr>
                <w:rFonts w:hint="default" w:ascii="宋体" w:hAnsi="宋体" w:eastAsia="宋体" w:cs="宋体"/>
                <w:sz w:val="24"/>
                <w:lang w:val="en-US" w:eastAsia="zh-CN"/>
              </w:rPr>
            </w:pPr>
            <w:r>
              <w:rPr>
                <w:rFonts w:hint="eastAsia" w:ascii="宋体" w:hAnsi="宋体" w:cs="宋体"/>
                <w:sz w:val="24"/>
                <w:lang w:val="en-US" w:eastAsia="zh-CN"/>
              </w:rPr>
              <w:t>33.6</w:t>
            </w:r>
          </w:p>
        </w:tc>
        <w:tc>
          <w:tcPr>
            <w:tcW w:w="1224" w:type="dxa"/>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2409" w:type="dxa"/>
            <w:shd w:val="clear" w:color="auto" w:fill="auto"/>
            <w:vAlign w:val="center"/>
          </w:tcPr>
          <w:p>
            <w:pPr>
              <w:widowControl/>
              <w:spacing w:line="320" w:lineRule="exact"/>
              <w:textAlignment w:val="center"/>
              <w:rPr>
                <w:rFonts w:hint="default" w:ascii="宋体" w:hAnsi="宋体" w:eastAsia="宋体" w:cs="宋体"/>
                <w:sz w:val="24"/>
                <w:lang w:val="en-US" w:eastAsia="zh-CN"/>
              </w:rPr>
            </w:pPr>
            <w:r>
              <w:rPr>
                <w:rFonts w:hint="eastAsia" w:ascii="宋体" w:hAnsi="宋体" w:cs="宋体"/>
                <w:sz w:val="24"/>
                <w:lang w:val="en-US" w:eastAsia="zh-CN"/>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118" w:type="dxa"/>
            <w:gridSpan w:val="2"/>
            <w:vMerge w:val="continue"/>
            <w:shd w:val="clear" w:color="auto" w:fill="auto"/>
            <w:vAlign w:val="center"/>
          </w:tcPr>
          <w:p>
            <w:pPr>
              <w:spacing w:line="320" w:lineRule="exact"/>
              <w:jc w:val="center"/>
              <w:rPr>
                <w:rFonts w:ascii="宋体" w:hAnsi="宋体" w:cs="宋体"/>
                <w:sz w:val="24"/>
              </w:rPr>
            </w:pPr>
          </w:p>
        </w:tc>
        <w:tc>
          <w:tcPr>
            <w:tcW w:w="1635"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1189" w:type="dxa"/>
            <w:shd w:val="clear" w:color="auto" w:fill="auto"/>
            <w:vAlign w:val="center"/>
          </w:tcPr>
          <w:p>
            <w:pPr>
              <w:widowControl/>
              <w:spacing w:line="320" w:lineRule="exact"/>
              <w:jc w:val="left"/>
              <w:textAlignment w:val="center"/>
              <w:rPr>
                <w:rFonts w:ascii="宋体" w:hAnsi="宋体" w:cs="宋体"/>
                <w:sz w:val="24"/>
              </w:rPr>
            </w:pPr>
          </w:p>
        </w:tc>
        <w:tc>
          <w:tcPr>
            <w:tcW w:w="1224"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2409" w:type="dxa"/>
            <w:shd w:val="clear" w:color="auto" w:fill="auto"/>
            <w:vAlign w:val="center"/>
          </w:tcPr>
          <w:p>
            <w:pPr>
              <w:widowControl/>
              <w:spacing w:line="320" w:lineRule="exact"/>
              <w:jc w:val="center"/>
              <w:textAlignment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976" w:type="dxa"/>
            <w:vMerge w:val="restart"/>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hAnsi="宋体" w:cs="宋体"/>
                <w:sz w:val="24"/>
              </w:rPr>
            </w:pPr>
            <w:r>
              <w:rPr>
                <w:rFonts w:hint="eastAsia" w:ascii="宋体" w:hAnsi="宋体" w:cs="宋体"/>
                <w:kern w:val="0"/>
                <w:sz w:val="24"/>
              </w:rPr>
              <w:t>完成情况</w:t>
            </w:r>
          </w:p>
        </w:tc>
        <w:tc>
          <w:tcPr>
            <w:tcW w:w="3966" w:type="dxa"/>
            <w:gridSpan w:val="3"/>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预期目标</w:t>
            </w:r>
          </w:p>
        </w:tc>
        <w:tc>
          <w:tcPr>
            <w:tcW w:w="3633" w:type="dxa"/>
            <w:gridSpan w:val="2"/>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目标实际完成情况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1976" w:type="dxa"/>
            <w:vMerge w:val="continue"/>
            <w:shd w:val="clear" w:color="auto" w:fill="auto"/>
            <w:vAlign w:val="center"/>
          </w:tcPr>
          <w:p>
            <w:pPr>
              <w:spacing w:line="320" w:lineRule="exact"/>
              <w:jc w:val="center"/>
              <w:rPr>
                <w:rFonts w:ascii="宋体" w:hAnsi="宋体" w:cs="宋体"/>
                <w:sz w:val="24"/>
              </w:rPr>
            </w:pPr>
          </w:p>
        </w:tc>
        <w:tc>
          <w:tcPr>
            <w:tcW w:w="3966" w:type="dxa"/>
            <w:gridSpan w:val="3"/>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2021我校</w:t>
            </w:r>
            <w:r>
              <w:rPr>
                <w:rFonts w:hint="eastAsia" w:ascii="宋体" w:hAnsi="宋体" w:cs="宋体"/>
                <w:color w:val="000000"/>
                <w:sz w:val="24"/>
                <w:lang w:eastAsia="zh-CN"/>
              </w:rPr>
              <w:t>学生</w:t>
            </w:r>
            <w:r>
              <w:rPr>
                <w:rFonts w:hint="eastAsia" w:ascii="宋体" w:hAnsi="宋体" w:cs="宋体"/>
                <w:color w:val="000000"/>
                <w:sz w:val="24"/>
                <w:lang w:val="en-US" w:eastAsia="zh-CN"/>
              </w:rPr>
              <w:t>680</w:t>
            </w:r>
            <w:r>
              <w:rPr>
                <w:rFonts w:hint="eastAsia" w:ascii="宋体" w:hAnsi="宋体" w:cs="宋体"/>
                <w:color w:val="000000"/>
                <w:sz w:val="24"/>
              </w:rPr>
              <w:t>人，根据学校教师的学科需求，我校2021年将配备</w:t>
            </w:r>
            <w:r>
              <w:rPr>
                <w:rFonts w:hint="eastAsia" w:ascii="宋体" w:hAnsi="宋体" w:cs="宋体"/>
                <w:color w:val="000000"/>
                <w:sz w:val="24"/>
                <w:lang w:val="en-US" w:eastAsia="zh-CN"/>
              </w:rPr>
              <w:t>6名</w:t>
            </w:r>
            <w:r>
              <w:rPr>
                <w:rFonts w:hint="eastAsia" w:ascii="宋体" w:hAnsi="宋体" w:cs="宋体"/>
                <w:color w:val="000000"/>
                <w:sz w:val="24"/>
              </w:rPr>
              <w:t>临聘教师，共需</w:t>
            </w:r>
            <w:r>
              <w:rPr>
                <w:rFonts w:hint="eastAsia" w:ascii="宋体" w:hAnsi="宋体" w:cs="宋体"/>
                <w:color w:val="000000"/>
                <w:sz w:val="24"/>
                <w:lang w:val="en-US" w:eastAsia="zh-CN"/>
              </w:rPr>
              <w:t>33.6</w:t>
            </w:r>
            <w:r>
              <w:rPr>
                <w:rFonts w:hint="eastAsia" w:ascii="宋体" w:hAnsi="宋体" w:cs="宋体"/>
                <w:color w:val="000000"/>
                <w:sz w:val="24"/>
              </w:rPr>
              <w:t>万元左右，用于临聘教师全年的劳务费和保险等。</w:t>
            </w:r>
          </w:p>
        </w:tc>
        <w:tc>
          <w:tcPr>
            <w:tcW w:w="3633" w:type="dxa"/>
            <w:gridSpan w:val="2"/>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我校2021年实际完成临聘教师支出经费</w:t>
            </w:r>
            <w:r>
              <w:rPr>
                <w:rFonts w:hint="eastAsia" w:ascii="宋体" w:hAnsi="宋体" w:cs="宋体"/>
                <w:color w:val="000000"/>
                <w:sz w:val="24"/>
                <w:lang w:val="en-US" w:eastAsia="zh-CN"/>
              </w:rPr>
              <w:t>33.6</w:t>
            </w:r>
            <w:r>
              <w:rPr>
                <w:rFonts w:hint="eastAsia" w:ascii="宋体" w:hAnsi="宋体" w:cs="宋体"/>
                <w:color w:val="000000"/>
                <w:sz w:val="24"/>
              </w:rPr>
              <w:t>万元,100%完成目标.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976" w:type="dxa"/>
            <w:vMerge w:val="restart"/>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142"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89"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24" w:type="dxa"/>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409" w:type="dxa"/>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restart"/>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数量指标</w:t>
            </w:r>
          </w:p>
        </w:tc>
        <w:tc>
          <w:tcPr>
            <w:tcW w:w="118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中小学临聘教师人数</w:t>
            </w:r>
          </w:p>
        </w:tc>
        <w:tc>
          <w:tcPr>
            <w:tcW w:w="122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w:t>
            </w:r>
            <w:r>
              <w:rPr>
                <w:rFonts w:hint="eastAsia" w:ascii="宋体" w:cs="宋体"/>
                <w:color w:val="000000"/>
                <w:sz w:val="24"/>
                <w:lang w:val="en-US" w:eastAsia="zh-CN"/>
              </w:rPr>
              <w:t>6</w:t>
            </w:r>
            <w:r>
              <w:rPr>
                <w:rFonts w:hint="eastAsia" w:ascii="宋体" w:cs="宋体"/>
                <w:color w:val="000000"/>
                <w:sz w:val="24"/>
              </w:rPr>
              <w:t>人</w:t>
            </w:r>
          </w:p>
        </w:tc>
        <w:tc>
          <w:tcPr>
            <w:tcW w:w="2409" w:type="dxa"/>
            <w:shd w:val="clear" w:color="auto" w:fill="auto"/>
            <w:vAlign w:val="center"/>
          </w:tcPr>
          <w:p>
            <w:pPr>
              <w:jc w:val="center"/>
              <w:rPr>
                <w:rFonts w:ascii="宋体" w:cs="宋体"/>
                <w:sz w:val="24"/>
              </w:rPr>
            </w:pPr>
            <w:r>
              <w:rPr>
                <w:rFonts w:hint="eastAsia" w:ascii="宋体" w:cs="宋体"/>
                <w:sz w:val="24"/>
              </w:rPr>
              <w:t>=</w:t>
            </w:r>
            <w:r>
              <w:rPr>
                <w:rFonts w:hint="eastAsia" w:ascii="宋体" w:cs="宋体"/>
                <w:sz w:val="24"/>
                <w:lang w:val="en-US" w:eastAsia="zh-CN"/>
              </w:rPr>
              <w:t>6</w:t>
            </w:r>
            <w:r>
              <w:rPr>
                <w:rFonts w:hint="eastAsia" w:ascii="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质量指标</w:t>
            </w:r>
          </w:p>
        </w:tc>
        <w:tc>
          <w:tcPr>
            <w:tcW w:w="118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工资发放准确率</w:t>
            </w:r>
          </w:p>
        </w:tc>
        <w:tc>
          <w:tcPr>
            <w:tcW w:w="122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40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时效指标</w:t>
            </w:r>
          </w:p>
        </w:tc>
        <w:tc>
          <w:tcPr>
            <w:tcW w:w="118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工资发放时间周期</w:t>
            </w:r>
          </w:p>
        </w:tc>
        <w:tc>
          <w:tcPr>
            <w:tcW w:w="122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1次/月</w:t>
            </w:r>
          </w:p>
        </w:tc>
        <w:tc>
          <w:tcPr>
            <w:tcW w:w="240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成本指标</w:t>
            </w:r>
          </w:p>
        </w:tc>
        <w:tc>
          <w:tcPr>
            <w:tcW w:w="1189"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中小学临聘教师工资及社保支出</w:t>
            </w:r>
          </w:p>
        </w:tc>
        <w:tc>
          <w:tcPr>
            <w:tcW w:w="1224"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w:t>
            </w:r>
            <w:r>
              <w:rPr>
                <w:rFonts w:hint="eastAsia" w:ascii="宋体" w:cs="宋体"/>
                <w:color w:val="000000"/>
                <w:sz w:val="24"/>
                <w:lang w:val="en-US" w:eastAsia="zh-CN"/>
              </w:rPr>
              <w:t>33.6</w:t>
            </w:r>
            <w:r>
              <w:rPr>
                <w:rFonts w:hint="eastAsia" w:ascii="宋体" w:cs="宋体"/>
                <w:color w:val="000000"/>
                <w:sz w:val="24"/>
              </w:rPr>
              <w:t>万元</w:t>
            </w:r>
          </w:p>
        </w:tc>
        <w:tc>
          <w:tcPr>
            <w:tcW w:w="2409"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w:t>
            </w:r>
            <w:r>
              <w:rPr>
                <w:rFonts w:hint="eastAsia" w:ascii="宋体" w:cs="宋体"/>
                <w:color w:val="000000"/>
                <w:sz w:val="24"/>
                <w:lang w:val="en-US" w:eastAsia="zh-CN"/>
              </w:rPr>
              <w:t>33.6</w:t>
            </w:r>
            <w:r>
              <w:rPr>
                <w:rFonts w:hint="eastAsia" w:ascii="宋体" w:cs="宋体"/>
                <w:color w:val="00000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shd w:val="clear" w:color="auto" w:fill="auto"/>
            <w:vAlign w:val="bottom"/>
          </w:tcPr>
          <w:p>
            <w:pPr>
              <w:spacing w:line="320" w:lineRule="exact"/>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社会效益  指标</w:t>
            </w:r>
          </w:p>
        </w:tc>
        <w:tc>
          <w:tcPr>
            <w:tcW w:w="1189"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提高学校教学质量</w:t>
            </w:r>
          </w:p>
        </w:tc>
        <w:tc>
          <w:tcPr>
            <w:tcW w:w="1224"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优秀</w:t>
            </w:r>
          </w:p>
        </w:tc>
        <w:tc>
          <w:tcPr>
            <w:tcW w:w="2409"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97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635"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满意度指标</w:t>
            </w:r>
          </w:p>
        </w:tc>
        <w:tc>
          <w:tcPr>
            <w:tcW w:w="118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临聘教师满意度</w:t>
            </w:r>
          </w:p>
        </w:tc>
        <w:tc>
          <w:tcPr>
            <w:tcW w:w="122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409"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r>
    </w:tbl>
    <w:p>
      <w:pPr>
        <w:spacing w:line="600" w:lineRule="exact"/>
        <w:jc w:val="center"/>
        <w:outlineLvl w:val="0"/>
        <w:rPr>
          <w:rStyle w:val="24"/>
          <w:rFonts w:ascii="黑体" w:hAnsi="黑体" w:eastAsia="黑体"/>
          <w:b w:val="0"/>
        </w:rPr>
      </w:pPr>
      <w:bookmarkStart w:id="56" w:name="_Toc15396614"/>
      <w:r>
        <w:rPr>
          <w:rFonts w:hint="eastAsia" w:ascii="黑体" w:hAnsi="黑体" w:eastAsia="黑体"/>
          <w:sz w:val="44"/>
          <w:szCs w:val="44"/>
        </w:rPr>
        <w:t>第</w:t>
      </w:r>
      <w:r>
        <w:rPr>
          <w:rStyle w:val="24"/>
          <w:rFonts w:hint="eastAsia" w:ascii="黑体" w:hAnsi="黑体" w:eastAsia="黑体"/>
          <w:b w:val="0"/>
        </w:rPr>
        <w:t>四部分 附件</w:t>
      </w:r>
      <w:bookmarkEnd w:id="56"/>
    </w:p>
    <w:p>
      <w:pPr>
        <w:spacing w:line="572" w:lineRule="exact"/>
        <w:jc w:val="left"/>
        <w:outlineLvl w:val="0"/>
        <w:rPr>
          <w:rFonts w:ascii="仿宋_GB2312" w:hAnsi="仿宋_GB2312" w:eastAsia="仿宋_GB2312" w:cs="仿宋_GB2312"/>
          <w:sz w:val="32"/>
          <w:szCs w:val="32"/>
        </w:rPr>
      </w:pPr>
    </w:p>
    <w:tbl>
      <w:tblPr>
        <w:tblStyle w:val="12"/>
        <w:tblpPr w:leftFromText="180" w:rightFromText="180" w:vertAnchor="text" w:horzAnchor="page" w:tblpX="1255" w:tblpY="-10162"/>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5" w:type="dxa"/>
            <w:gridSpan w:val="6"/>
            <w:tcBorders>
              <w:top w:val="nil"/>
              <w:left w:val="nil"/>
              <w:bottom w:val="nil"/>
              <w:right w:val="nil"/>
            </w:tcBorders>
            <w:shd w:val="clear" w:color="auto" w:fill="auto"/>
            <w:vAlign w:val="center"/>
          </w:tcPr>
          <w:p>
            <w:pPr>
              <w:widowControl/>
              <w:jc w:val="center"/>
              <w:textAlignment w:val="center"/>
              <w:rPr>
                <w:rFonts w:hint="eastAsia" w:ascii="宋体" w:hAnsi="宋体" w:cs="宋体"/>
                <w:b/>
                <w:sz w:val="32"/>
                <w:szCs w:val="32"/>
              </w:rPr>
            </w:pPr>
          </w:p>
          <w:p>
            <w:pPr>
              <w:widowControl/>
              <w:jc w:val="center"/>
              <w:textAlignment w:val="center"/>
              <w:rPr>
                <w:rFonts w:hint="eastAsia" w:ascii="宋体" w:hAnsi="宋体" w:cs="宋体"/>
                <w:b/>
                <w:sz w:val="32"/>
                <w:szCs w:val="32"/>
              </w:rPr>
            </w:pPr>
          </w:p>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c>
          <w:tcPr>
            <w:tcW w:w="236"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r>
        <w:tblPrEx>
          <w:tblCellMar>
            <w:top w:w="0" w:type="dxa"/>
            <w:left w:w="108" w:type="dxa"/>
            <w:bottom w:w="0" w:type="dxa"/>
            <w:right w:w="108" w:type="dxa"/>
          </w:tblCellMar>
        </w:tblPrEx>
        <w:trPr>
          <w:gridAfter w:val="1"/>
          <w:wAfter w:w="236" w:type="dxa"/>
          <w:trHeight w:val="254" w:hRule="atLeast"/>
        </w:trPr>
        <w:tc>
          <w:tcPr>
            <w:tcW w:w="3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eastAsia" w:ascii="宋体" w:hAnsi="宋体" w:cs="宋体"/>
                <w:sz w:val="24"/>
              </w:rPr>
            </w:pPr>
            <w:r>
              <w:rPr>
                <w:rFonts w:hint="eastAsia" w:ascii="宋体" w:hAnsi="宋体" w:cs="宋体"/>
                <w:sz w:val="24"/>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实施单位</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sz w:val="24"/>
                <w:lang w:eastAsia="zh-CN"/>
              </w:rPr>
            </w:pPr>
            <w:r>
              <w:rPr>
                <w:rFonts w:hint="eastAsia" w:ascii="宋体" w:hAnsi="宋体" w:cs="宋体"/>
                <w:sz w:val="24"/>
                <w:lang w:eastAsia="zh-CN"/>
              </w:rPr>
              <w:t>乐山市龙泓路小学</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项目预算</w:t>
            </w:r>
          </w:p>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执行情况</w:t>
            </w:r>
          </w:p>
          <w:p>
            <w:pPr>
              <w:widowControl/>
              <w:spacing w:line="320" w:lineRule="exact"/>
              <w:jc w:val="center"/>
              <w:textAlignment w:val="center"/>
              <w:rPr>
                <w:rFonts w:ascii="宋体" w:hAnsi="宋体" w:cs="宋体"/>
                <w:sz w:val="24"/>
              </w:rPr>
            </w:pPr>
            <w:r>
              <w:rPr>
                <w:rFonts w:hint="eastAsia" w:ascii="宋体" w:hAns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sz w:val="24"/>
              </w:rPr>
              <w:t>7.65</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执行数：</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sz w:val="24"/>
              </w:rPr>
              <w:t>7.65</w:t>
            </w:r>
          </w:p>
        </w:tc>
      </w:tr>
      <w:tr>
        <w:tblPrEx>
          <w:tblCellMar>
            <w:top w:w="0" w:type="dxa"/>
            <w:left w:w="108" w:type="dxa"/>
            <w:bottom w:w="0" w:type="dxa"/>
            <w:right w:w="108" w:type="dxa"/>
          </w:tblCellMar>
        </w:tblPrEx>
        <w:trPr>
          <w:gridAfter w:val="1"/>
          <w:wAfter w:w="236" w:type="dxa"/>
          <w:trHeight w:val="555"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sz w:val="24"/>
              </w:rPr>
              <w:t>7.65</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宋体" w:hAnsi="宋体" w:cs="宋体"/>
                <w:sz w:val="24"/>
              </w:rPr>
            </w:pPr>
            <w:r>
              <w:rPr>
                <w:rFonts w:hint="eastAsia" w:ascii="宋体" w:hAnsi="宋体" w:cs="宋体"/>
                <w:sz w:val="24"/>
              </w:rPr>
              <w:t>7．65</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p>
        </w:tc>
      </w:tr>
      <w:tr>
        <w:tblPrEx>
          <w:tblCellMar>
            <w:top w:w="0" w:type="dxa"/>
            <w:left w:w="108" w:type="dxa"/>
            <w:bottom w:w="0" w:type="dxa"/>
            <w:right w:w="108" w:type="dxa"/>
          </w:tblCellMar>
        </w:tblPrEx>
        <w:trPr>
          <w:gridAfter w:val="1"/>
          <w:wAfter w:w="236" w:type="dxa"/>
          <w:trHeight w:val="217" w:hRule="atLeast"/>
        </w:trPr>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hAnsi="宋体" w:cs="宋体"/>
                <w:sz w:val="24"/>
              </w:rPr>
            </w:pPr>
            <w:r>
              <w:rPr>
                <w:rFonts w:hint="eastAsia" w:ascii="宋体" w:hAns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预期目标</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797" w:hRule="atLeast"/>
        </w:trPr>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24"/>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2021我校师生共计</w:t>
            </w:r>
            <w:r>
              <w:rPr>
                <w:rFonts w:hint="eastAsia" w:ascii="宋体" w:hAnsi="宋体" w:cs="宋体"/>
                <w:color w:val="000000"/>
                <w:sz w:val="24"/>
                <w:lang w:val="en-US" w:eastAsia="zh-CN"/>
              </w:rPr>
              <w:t>725</w:t>
            </w:r>
            <w:r>
              <w:rPr>
                <w:rFonts w:hint="eastAsia" w:ascii="宋体" w:hAnsi="宋体" w:cs="宋体"/>
                <w:color w:val="000000"/>
                <w:sz w:val="24"/>
              </w:rPr>
              <w:t>人，根据市中区教育局对校园保安配备人数的规定，我校2021年配备2名保安，共需校园安保费7.65万元左右，用于2名保安全年的劳务费和保险等。</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我校2021年实际完成校园安保支出经费7.65万元,100%完成目标。</w:t>
            </w:r>
          </w:p>
        </w:tc>
      </w:tr>
      <w:tr>
        <w:tblPrEx>
          <w:tblCellMar>
            <w:top w:w="0" w:type="dxa"/>
            <w:left w:w="108" w:type="dxa"/>
            <w:bottom w:w="0" w:type="dxa"/>
            <w:right w:w="108" w:type="dxa"/>
          </w:tblCellMar>
        </w:tblPrEx>
        <w:trPr>
          <w:gridAfter w:val="1"/>
          <w:wAfter w:w="236" w:type="dxa"/>
          <w:trHeight w:val="693" w:hRule="atLeast"/>
        </w:trPr>
        <w:tc>
          <w:tcPr>
            <w:tcW w:w="1976"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校园安保人数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=2人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cs="宋体"/>
                <w:sz w:val="24"/>
              </w:rPr>
            </w:pPr>
            <w:r>
              <w:rPr>
                <w:rFonts w:hint="eastAsia" w:ascii="宋体" w:cs="宋体"/>
                <w:sz w:val="24"/>
              </w:rPr>
              <w:t>=2人</w:t>
            </w:r>
          </w:p>
        </w:tc>
      </w:tr>
      <w:tr>
        <w:tblPrEx>
          <w:tblCellMar>
            <w:top w:w="0" w:type="dxa"/>
            <w:left w:w="108" w:type="dxa"/>
            <w:bottom w:w="0" w:type="dxa"/>
            <w:right w:w="108" w:type="dxa"/>
          </w:tblCellMar>
        </w:tblPrEx>
        <w:trPr>
          <w:gridAfter w:val="1"/>
          <w:wAfter w:w="236" w:type="dxa"/>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工资发放准确率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108" w:type="dxa"/>
            <w:bottom w:w="0" w:type="dxa"/>
            <w:right w:w="108" w:type="dxa"/>
          </w:tblCellMar>
        </w:tblPrEx>
        <w:trPr>
          <w:gridAfter w:val="1"/>
          <w:wAfter w:w="236" w:type="dxa"/>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工资发放时间周期</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1次/月</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1次/月</w:t>
            </w:r>
          </w:p>
        </w:tc>
      </w:tr>
      <w:tr>
        <w:tblPrEx>
          <w:tblCellMar>
            <w:top w:w="0" w:type="dxa"/>
            <w:left w:w="108" w:type="dxa"/>
            <w:bottom w:w="0" w:type="dxa"/>
            <w:right w:w="108" w:type="dxa"/>
          </w:tblCellMar>
        </w:tblPrEx>
        <w:trPr>
          <w:gridAfter w:val="1"/>
          <w:wAfter w:w="236" w:type="dxa"/>
          <w:trHeight w:val="48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8"/>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校园安保经费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≤7.65万元</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≤7.65万元</w:t>
            </w:r>
          </w:p>
        </w:tc>
      </w:tr>
      <w:tr>
        <w:tblPrEx>
          <w:tblCellMar>
            <w:top w:w="0" w:type="dxa"/>
            <w:left w:w="108" w:type="dxa"/>
            <w:bottom w:w="0" w:type="dxa"/>
            <w:right w:w="108" w:type="dxa"/>
          </w:tblCellMar>
        </w:tblPrEx>
        <w:trPr>
          <w:gridAfter w:val="1"/>
          <w:wAfter w:w="236" w:type="dxa"/>
          <w:trHeight w:val="1188"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35" w:type="dxa"/>
            <w:tcBorders>
              <w:top w:val="single" w:color="000000" w:sz="4" w:space="0"/>
              <w:left w:val="single" w:color="000000" w:sz="4" w:space="0"/>
              <w:right w:val="single" w:color="000000" w:sz="4" w:space="0"/>
            </w:tcBorders>
            <w:shd w:val="clear" w:color="auto" w:fill="auto"/>
            <w:vAlign w:val="bottom"/>
          </w:tcPr>
          <w:p>
            <w:pPr>
              <w:spacing w:line="320" w:lineRule="exact"/>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社会效益  指标</w:t>
            </w:r>
          </w:p>
        </w:tc>
        <w:tc>
          <w:tcPr>
            <w:tcW w:w="1189" w:type="dxa"/>
            <w:tcBorders>
              <w:top w:val="single" w:color="000000" w:sz="4" w:space="0"/>
              <w:left w:val="single" w:color="000000" w:sz="4" w:space="0"/>
              <w:right w:val="single" w:color="000000" w:sz="4" w:space="0"/>
            </w:tcBorders>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校园安全事故发生率</w:t>
            </w:r>
          </w:p>
        </w:tc>
        <w:tc>
          <w:tcPr>
            <w:tcW w:w="1224" w:type="dxa"/>
            <w:tcBorders>
              <w:top w:val="single" w:color="000000" w:sz="4" w:space="0"/>
              <w:left w:val="single" w:color="000000" w:sz="4" w:space="0"/>
              <w:right w:val="single" w:color="000000" w:sz="4" w:space="0"/>
            </w:tcBorders>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≤0.1%</w:t>
            </w:r>
          </w:p>
        </w:tc>
        <w:tc>
          <w:tcPr>
            <w:tcW w:w="2409" w:type="dxa"/>
            <w:tcBorders>
              <w:top w:val="single" w:color="000000" w:sz="4" w:space="0"/>
              <w:left w:val="single" w:color="000000" w:sz="4" w:space="0"/>
              <w:right w:val="single" w:color="000000" w:sz="4" w:space="0"/>
            </w:tcBorders>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≤0.1%</w:t>
            </w:r>
          </w:p>
        </w:tc>
      </w:tr>
      <w:tr>
        <w:tblPrEx>
          <w:tblCellMar>
            <w:top w:w="0" w:type="dxa"/>
            <w:left w:w="108" w:type="dxa"/>
            <w:bottom w:w="0" w:type="dxa"/>
            <w:right w:w="108" w:type="dxa"/>
          </w:tblCellMar>
        </w:tblPrEx>
        <w:trPr>
          <w:gridAfter w:val="1"/>
          <w:wAfter w:w="236" w:type="dxa"/>
          <w:trHeight w:val="53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restart"/>
            <w:tcBorders>
              <w:top w:val="single" w:color="000000" w:sz="4" w:space="0"/>
              <w:left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63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满意度指标</w:t>
            </w:r>
          </w:p>
        </w:tc>
        <w:tc>
          <w:tcPr>
            <w:tcW w:w="118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安保人员满意度</w:t>
            </w:r>
          </w:p>
        </w:tc>
        <w:tc>
          <w:tcPr>
            <w:tcW w:w="1224"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40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108" w:type="dxa"/>
            <w:bottom w:w="0" w:type="dxa"/>
            <w:right w:w="108" w:type="dxa"/>
          </w:tblCellMar>
        </w:tblPrEx>
        <w:trPr>
          <w:gridAfter w:val="1"/>
          <w:wAfter w:w="236" w:type="dxa"/>
          <w:trHeight w:val="530" w:hRule="atLeast"/>
        </w:trPr>
        <w:tc>
          <w:tcPr>
            <w:tcW w:w="1976" w:type="dxa"/>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8"/>
                <w:szCs w:val="28"/>
              </w:rPr>
            </w:pPr>
          </w:p>
        </w:tc>
        <w:tc>
          <w:tcPr>
            <w:tcW w:w="1142" w:type="dxa"/>
            <w:vMerge w:val="continue"/>
            <w:tcBorders>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8"/>
                <w:szCs w:val="28"/>
              </w:rPr>
            </w:pPr>
          </w:p>
        </w:tc>
        <w:tc>
          <w:tcPr>
            <w:tcW w:w="1635"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p>
        </w:tc>
        <w:tc>
          <w:tcPr>
            <w:tcW w:w="1189"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p>
        </w:tc>
        <w:tc>
          <w:tcPr>
            <w:tcW w:w="1224"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p>
        </w:tc>
        <w:tc>
          <w:tcPr>
            <w:tcW w:w="2409"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cs="宋体"/>
                <w:color w:val="000000"/>
                <w:sz w:val="24"/>
              </w:rPr>
            </w:pPr>
          </w:p>
        </w:tc>
      </w:tr>
    </w:tbl>
    <w:p>
      <w:pPr>
        <w:spacing w:line="600" w:lineRule="exact"/>
        <w:jc w:val="center"/>
        <w:outlineLvl w:val="0"/>
        <w:rPr>
          <w:rFonts w:ascii="黑体" w:hAnsi="黑体" w:eastAsia="黑体"/>
          <w:sz w:val="44"/>
          <w:szCs w:val="44"/>
        </w:rPr>
      </w:pPr>
    </w:p>
    <w:p>
      <w:pPr>
        <w:widowControl/>
        <w:adjustRightInd w:val="0"/>
        <w:snapToGrid w:val="0"/>
        <w:spacing w:line="580" w:lineRule="exact"/>
        <w:contextualSpacing/>
        <w:jc w:val="left"/>
      </w:pPr>
      <w:r>
        <w:rPr>
          <w:rFonts w:ascii="宋体"/>
          <w:b/>
          <w:sz w:val="44"/>
          <w:szCs w:val="44"/>
        </w:rPr>
        <w:br w:type="page"/>
      </w:r>
      <w:bookmarkStart w:id="57" w:name="_Toc15396618"/>
    </w:p>
    <w:tbl>
      <w:tblPr>
        <w:tblStyle w:val="12"/>
        <w:tblpPr w:leftFromText="180" w:rightFromText="180" w:vertAnchor="text" w:horzAnchor="page" w:tblpX="1281" w:tblpY="660"/>
        <w:tblOverlap w:val="never"/>
        <w:tblW w:w="9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1170"/>
        <w:gridCol w:w="1675"/>
        <w:gridCol w:w="1218"/>
        <w:gridCol w:w="1254"/>
        <w:gridCol w:w="2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811" w:type="dxa"/>
            <w:gridSpan w:val="6"/>
            <w:tcBorders>
              <w:top w:val="nil"/>
              <w:left w:val="nil"/>
              <w:bottom w:val="single" w:color="auto" w:sz="4" w:space="0"/>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2021年特定目标类部门预算项目绩效目标自评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3196" w:type="dxa"/>
            <w:gridSpan w:val="2"/>
            <w:tcBorders>
              <w:top w:val="single" w:color="auto"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主管部门及代码</w:t>
            </w:r>
          </w:p>
        </w:tc>
        <w:tc>
          <w:tcPr>
            <w:tcW w:w="2893" w:type="dxa"/>
            <w:gridSpan w:val="2"/>
            <w:tcBorders>
              <w:top w:val="single" w:color="auto" w:sz="4" w:space="0"/>
            </w:tcBorders>
            <w:shd w:val="clear" w:color="auto" w:fill="auto"/>
            <w:vAlign w:val="center"/>
          </w:tcPr>
          <w:p>
            <w:pPr>
              <w:widowControl/>
              <w:spacing w:line="320" w:lineRule="exact"/>
              <w:textAlignment w:val="center"/>
              <w:rPr>
                <w:rFonts w:hint="eastAsia" w:ascii="宋体" w:hAnsi="宋体" w:cs="宋体"/>
                <w:sz w:val="24"/>
              </w:rPr>
            </w:pPr>
            <w:r>
              <w:rPr>
                <w:rFonts w:hint="eastAsia" w:ascii="宋体" w:hAnsi="宋体" w:cs="宋体"/>
                <w:sz w:val="24"/>
              </w:rPr>
              <w:t>乐山市市中区教育局</w:t>
            </w:r>
          </w:p>
        </w:tc>
        <w:tc>
          <w:tcPr>
            <w:tcW w:w="1254" w:type="dxa"/>
            <w:tcBorders>
              <w:top w:val="single" w:color="auto" w:sz="4" w:space="0"/>
            </w:tcBorders>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实施单位</w:t>
            </w:r>
          </w:p>
        </w:tc>
        <w:tc>
          <w:tcPr>
            <w:tcW w:w="2468" w:type="dxa"/>
            <w:tcBorders>
              <w:top w:val="single" w:color="auto" w:sz="4" w:space="0"/>
            </w:tcBorders>
            <w:shd w:val="clear" w:color="auto" w:fill="auto"/>
            <w:vAlign w:val="center"/>
          </w:tcPr>
          <w:p>
            <w:pPr>
              <w:widowControl/>
              <w:spacing w:line="320" w:lineRule="exact"/>
              <w:jc w:val="center"/>
              <w:textAlignment w:val="center"/>
              <w:rPr>
                <w:rFonts w:hint="eastAsia" w:ascii="宋体" w:hAnsi="宋体" w:eastAsia="宋体" w:cs="宋体"/>
                <w:sz w:val="24"/>
                <w:lang w:eastAsia="zh-CN"/>
              </w:rPr>
            </w:pPr>
            <w:r>
              <w:rPr>
                <w:rFonts w:hint="eastAsia" w:ascii="宋体" w:hAnsi="宋体" w:cs="宋体"/>
                <w:sz w:val="24"/>
              </w:rPr>
              <w:t>乐山市</w:t>
            </w:r>
            <w:r>
              <w:rPr>
                <w:rFonts w:hint="eastAsia" w:ascii="宋体" w:hAnsi="宋体" w:cs="宋体"/>
                <w:sz w:val="24"/>
                <w:lang w:eastAsia="zh-CN"/>
              </w:rPr>
              <w:t>龙泓路小学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196" w:type="dxa"/>
            <w:gridSpan w:val="2"/>
            <w:vMerge w:val="restart"/>
            <w:shd w:val="clear" w:color="auto" w:fill="auto"/>
            <w:vAlign w:val="center"/>
          </w:tcPr>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项目预算</w:t>
            </w:r>
          </w:p>
          <w:p>
            <w:pPr>
              <w:widowControl/>
              <w:spacing w:line="320" w:lineRule="exact"/>
              <w:jc w:val="center"/>
              <w:textAlignment w:val="center"/>
              <w:rPr>
                <w:rFonts w:hint="eastAsia" w:ascii="宋体" w:hAnsi="宋体" w:eastAsia="宋体" w:cs="宋体"/>
                <w:kern w:val="0"/>
                <w:sz w:val="24"/>
                <w:lang w:eastAsia="zh-CN"/>
              </w:rPr>
            </w:pPr>
            <w:r>
              <w:rPr>
                <w:rFonts w:hint="eastAsia" w:ascii="宋体" w:hAnsi="宋体" w:cs="宋体"/>
                <w:kern w:val="0"/>
                <w:sz w:val="24"/>
              </w:rPr>
              <w:t>执行情况</w:t>
            </w:r>
          </w:p>
          <w:p>
            <w:pPr>
              <w:widowControl/>
              <w:spacing w:line="320" w:lineRule="exact"/>
              <w:jc w:val="center"/>
              <w:textAlignment w:val="center"/>
              <w:rPr>
                <w:rFonts w:ascii="宋体" w:hAnsi="宋体" w:cs="宋体"/>
                <w:sz w:val="24"/>
              </w:rPr>
            </w:pPr>
            <w:r>
              <w:rPr>
                <w:rFonts w:hint="eastAsia" w:ascii="宋体" w:hAnsi="宋体" w:cs="宋体"/>
                <w:kern w:val="0"/>
                <w:sz w:val="24"/>
              </w:rPr>
              <w:t>（万元）</w:t>
            </w:r>
          </w:p>
        </w:tc>
        <w:tc>
          <w:tcPr>
            <w:tcW w:w="1675"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预算数：</w:t>
            </w:r>
          </w:p>
        </w:tc>
        <w:tc>
          <w:tcPr>
            <w:tcW w:w="1218" w:type="dxa"/>
            <w:shd w:val="clear" w:color="auto" w:fill="auto"/>
            <w:vAlign w:val="center"/>
          </w:tcPr>
          <w:p>
            <w:pPr>
              <w:widowControl/>
              <w:spacing w:line="320" w:lineRule="exact"/>
              <w:jc w:val="left"/>
              <w:textAlignment w:val="center"/>
              <w:rPr>
                <w:rFonts w:hint="eastAsia" w:ascii="宋体" w:hAnsi="宋体" w:eastAsia="宋体" w:cs="宋体"/>
                <w:sz w:val="24"/>
                <w:lang w:val="en-US" w:eastAsia="zh-CN"/>
              </w:rPr>
            </w:pPr>
            <w:r>
              <w:rPr>
                <w:rFonts w:hint="eastAsia" w:ascii="宋体" w:hAnsi="宋体" w:cs="宋体"/>
                <w:sz w:val="24"/>
              </w:rPr>
              <w:t>0.</w:t>
            </w:r>
            <w:r>
              <w:rPr>
                <w:rFonts w:hint="eastAsia" w:ascii="宋体" w:hAnsi="宋体" w:cs="宋体"/>
                <w:sz w:val="24"/>
                <w:lang w:val="en-US" w:eastAsia="zh-CN"/>
              </w:rPr>
              <w:t>9</w:t>
            </w:r>
          </w:p>
        </w:tc>
        <w:tc>
          <w:tcPr>
            <w:tcW w:w="1254"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 xml:space="preserve"> 执行数：</w:t>
            </w:r>
          </w:p>
        </w:tc>
        <w:tc>
          <w:tcPr>
            <w:tcW w:w="2468" w:type="dxa"/>
            <w:shd w:val="clear" w:color="auto" w:fill="auto"/>
            <w:vAlign w:val="center"/>
          </w:tcPr>
          <w:p>
            <w:pPr>
              <w:widowControl/>
              <w:spacing w:line="320" w:lineRule="exact"/>
              <w:jc w:val="center"/>
              <w:textAlignment w:val="center"/>
              <w:rPr>
                <w:rFonts w:hint="eastAsia" w:ascii="宋体" w:hAnsi="宋体" w:eastAsia="宋体" w:cs="宋体"/>
                <w:sz w:val="24"/>
                <w:lang w:val="en-US" w:eastAsia="zh-CN"/>
              </w:rPr>
            </w:pPr>
            <w:r>
              <w:rPr>
                <w:rFonts w:hint="eastAsia" w:ascii="宋体" w:hAnsi="宋体" w:cs="宋体"/>
                <w:sz w:val="24"/>
              </w:rPr>
              <w:t>0.</w:t>
            </w:r>
            <w:r>
              <w:rPr>
                <w:rFonts w:hint="eastAsia" w:ascii="宋体" w:hAnsi="宋体" w:cs="宋体"/>
                <w:sz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196" w:type="dxa"/>
            <w:gridSpan w:val="2"/>
            <w:vMerge w:val="continue"/>
            <w:shd w:val="clear" w:color="auto" w:fill="auto"/>
            <w:vAlign w:val="center"/>
          </w:tcPr>
          <w:p>
            <w:pPr>
              <w:spacing w:line="320" w:lineRule="exact"/>
              <w:jc w:val="center"/>
              <w:rPr>
                <w:rFonts w:ascii="宋体" w:hAnsi="宋体" w:cs="宋体"/>
                <w:sz w:val="24"/>
              </w:rPr>
            </w:pPr>
          </w:p>
        </w:tc>
        <w:tc>
          <w:tcPr>
            <w:tcW w:w="1675" w:type="dxa"/>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1218" w:type="dxa"/>
            <w:shd w:val="clear" w:color="auto" w:fill="auto"/>
            <w:vAlign w:val="center"/>
          </w:tcPr>
          <w:p>
            <w:pPr>
              <w:widowControl/>
              <w:spacing w:line="320" w:lineRule="exact"/>
              <w:jc w:val="left"/>
              <w:textAlignment w:val="center"/>
              <w:rPr>
                <w:rFonts w:hint="eastAsia" w:ascii="宋体" w:hAnsi="宋体" w:eastAsia="宋体" w:cs="宋体"/>
                <w:sz w:val="24"/>
                <w:lang w:val="en-US" w:eastAsia="zh-CN"/>
              </w:rPr>
            </w:pPr>
            <w:r>
              <w:rPr>
                <w:rFonts w:hint="eastAsia" w:ascii="宋体" w:hAnsi="宋体" w:cs="宋体"/>
                <w:sz w:val="24"/>
              </w:rPr>
              <w:t>0.</w:t>
            </w:r>
            <w:r>
              <w:rPr>
                <w:rFonts w:hint="eastAsia" w:ascii="宋体" w:hAnsi="宋体" w:cs="宋体"/>
                <w:sz w:val="24"/>
                <w:lang w:val="en-US" w:eastAsia="zh-CN"/>
              </w:rPr>
              <w:t>9</w:t>
            </w:r>
          </w:p>
        </w:tc>
        <w:tc>
          <w:tcPr>
            <w:tcW w:w="1254" w:type="dxa"/>
            <w:shd w:val="clear" w:color="auto" w:fill="auto"/>
            <w:vAlign w:val="center"/>
          </w:tcPr>
          <w:p>
            <w:pPr>
              <w:widowControl/>
              <w:spacing w:line="320" w:lineRule="exact"/>
              <w:jc w:val="left"/>
              <w:textAlignment w:val="center"/>
              <w:rPr>
                <w:rFonts w:ascii="宋体" w:hAns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hAnsi="宋体" w:cs="宋体"/>
                <w:sz w:val="24"/>
              </w:rPr>
            </w:pPr>
            <w:r>
              <w:rPr>
                <w:rFonts w:hint="eastAsia" w:ascii="宋体" w:hAnsi="宋体" w:cs="宋体"/>
                <w:kern w:val="0"/>
                <w:sz w:val="24"/>
              </w:rPr>
              <w:t>财政拨款</w:t>
            </w:r>
          </w:p>
        </w:tc>
        <w:tc>
          <w:tcPr>
            <w:tcW w:w="2468" w:type="dxa"/>
            <w:shd w:val="clear" w:color="auto" w:fill="auto"/>
            <w:vAlign w:val="center"/>
          </w:tcPr>
          <w:p>
            <w:pPr>
              <w:widowControl/>
              <w:spacing w:line="320" w:lineRule="exact"/>
              <w:textAlignment w:val="center"/>
              <w:rPr>
                <w:rFonts w:hint="eastAsia" w:ascii="宋体" w:hAnsi="宋体" w:eastAsia="宋体" w:cs="宋体"/>
                <w:sz w:val="24"/>
                <w:lang w:val="en-US" w:eastAsia="zh-CN"/>
              </w:rPr>
            </w:pPr>
            <w:r>
              <w:rPr>
                <w:rFonts w:hint="eastAsia" w:ascii="宋体" w:hAnsi="宋体" w:cs="宋体"/>
                <w:sz w:val="24"/>
              </w:rPr>
              <w:t>0.</w:t>
            </w:r>
            <w:r>
              <w:rPr>
                <w:rFonts w:hint="eastAsia" w:ascii="宋体" w:hAnsi="宋体" w:cs="宋体"/>
                <w:sz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196" w:type="dxa"/>
            <w:gridSpan w:val="2"/>
            <w:vMerge w:val="continue"/>
            <w:shd w:val="clear" w:color="auto" w:fill="auto"/>
            <w:vAlign w:val="center"/>
          </w:tcPr>
          <w:p>
            <w:pPr>
              <w:spacing w:line="320" w:lineRule="exact"/>
              <w:jc w:val="center"/>
              <w:rPr>
                <w:rFonts w:ascii="宋体" w:hAnsi="宋体" w:cs="宋体"/>
                <w:sz w:val="24"/>
              </w:rPr>
            </w:pPr>
          </w:p>
        </w:tc>
        <w:tc>
          <w:tcPr>
            <w:tcW w:w="1675"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1218" w:type="dxa"/>
            <w:shd w:val="clear" w:color="auto" w:fill="auto"/>
            <w:vAlign w:val="center"/>
          </w:tcPr>
          <w:p>
            <w:pPr>
              <w:widowControl/>
              <w:spacing w:line="320" w:lineRule="exact"/>
              <w:jc w:val="left"/>
              <w:textAlignment w:val="center"/>
              <w:rPr>
                <w:rFonts w:ascii="宋体" w:hAnsi="宋体" w:cs="宋体"/>
                <w:sz w:val="24"/>
              </w:rPr>
            </w:pPr>
          </w:p>
        </w:tc>
        <w:tc>
          <w:tcPr>
            <w:tcW w:w="1254" w:type="dxa"/>
            <w:shd w:val="clear" w:color="auto" w:fill="auto"/>
            <w:vAlign w:val="center"/>
          </w:tcPr>
          <w:p>
            <w:pPr>
              <w:widowControl/>
              <w:spacing w:line="320" w:lineRule="exact"/>
              <w:jc w:val="left"/>
              <w:textAlignment w:val="center"/>
              <w:rPr>
                <w:rFonts w:ascii="宋体" w:hAnsi="宋体" w:cs="宋体"/>
                <w:sz w:val="24"/>
              </w:rPr>
            </w:pPr>
            <w:r>
              <w:rPr>
                <w:rFonts w:hint="eastAsia" w:ascii="宋体" w:hAnsi="宋体" w:cs="宋体"/>
                <w:kern w:val="0"/>
                <w:sz w:val="24"/>
              </w:rPr>
              <w:t>其他资金</w:t>
            </w:r>
          </w:p>
        </w:tc>
        <w:tc>
          <w:tcPr>
            <w:tcW w:w="2468" w:type="dxa"/>
            <w:shd w:val="clear" w:color="auto" w:fill="auto"/>
            <w:vAlign w:val="center"/>
          </w:tcPr>
          <w:p>
            <w:pPr>
              <w:widowControl/>
              <w:spacing w:line="320" w:lineRule="exact"/>
              <w:jc w:val="center"/>
              <w:textAlignment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2026" w:type="dxa"/>
            <w:vMerge w:val="restart"/>
            <w:shd w:val="clear" w:color="auto" w:fill="auto"/>
            <w:vAlign w:val="center"/>
          </w:tcPr>
          <w:p>
            <w:pPr>
              <w:widowControl/>
              <w:spacing w:line="320" w:lineRule="exact"/>
              <w:jc w:val="center"/>
              <w:textAlignment w:val="center"/>
              <w:rPr>
                <w:rFonts w:ascii="宋体" w:hAns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hAnsi="宋体" w:cs="宋体"/>
                <w:sz w:val="24"/>
              </w:rPr>
            </w:pPr>
            <w:r>
              <w:rPr>
                <w:rFonts w:hint="eastAsia" w:ascii="宋体" w:hAnsi="宋体" w:cs="宋体"/>
                <w:kern w:val="0"/>
                <w:sz w:val="24"/>
              </w:rPr>
              <w:t>完成情况</w:t>
            </w:r>
          </w:p>
        </w:tc>
        <w:tc>
          <w:tcPr>
            <w:tcW w:w="4063" w:type="dxa"/>
            <w:gridSpan w:val="3"/>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预期目标</w:t>
            </w:r>
          </w:p>
        </w:tc>
        <w:tc>
          <w:tcPr>
            <w:tcW w:w="3722" w:type="dxa"/>
            <w:gridSpan w:val="2"/>
            <w:shd w:val="clear" w:color="auto" w:fill="auto"/>
            <w:vAlign w:val="center"/>
          </w:tcPr>
          <w:p>
            <w:pPr>
              <w:widowControl/>
              <w:spacing w:line="320" w:lineRule="exact"/>
              <w:jc w:val="center"/>
              <w:textAlignment w:val="center"/>
              <w:rPr>
                <w:rFonts w:ascii="宋体" w:hAnsi="宋体" w:cs="宋体"/>
                <w:sz w:val="24"/>
              </w:rPr>
            </w:pPr>
            <w:r>
              <w:rPr>
                <w:rFonts w:hint="eastAsia" w:ascii="宋体" w:hAnsi="宋体" w:cs="宋体"/>
                <w:kern w:val="0"/>
                <w:sz w:val="24"/>
              </w:rPr>
              <w:t>目标实际完成情况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026" w:type="dxa"/>
            <w:vMerge w:val="continue"/>
            <w:shd w:val="clear" w:color="auto" w:fill="auto"/>
            <w:vAlign w:val="center"/>
          </w:tcPr>
          <w:p>
            <w:pPr>
              <w:spacing w:line="320" w:lineRule="exact"/>
              <w:jc w:val="center"/>
              <w:rPr>
                <w:rFonts w:ascii="宋体" w:hAnsi="宋体" w:cs="宋体"/>
                <w:sz w:val="24"/>
              </w:rPr>
            </w:pPr>
          </w:p>
        </w:tc>
        <w:tc>
          <w:tcPr>
            <w:tcW w:w="4063" w:type="dxa"/>
            <w:gridSpan w:val="3"/>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2021我学生共计</w:t>
            </w:r>
            <w:r>
              <w:rPr>
                <w:rFonts w:hint="eastAsia" w:ascii="宋体" w:hAnsi="宋体" w:cs="宋体"/>
                <w:color w:val="000000"/>
                <w:sz w:val="24"/>
                <w:lang w:val="en-US" w:eastAsia="zh-CN"/>
              </w:rPr>
              <w:t>680</w:t>
            </w:r>
            <w:r>
              <w:rPr>
                <w:rFonts w:hint="eastAsia" w:ascii="宋体" w:hAnsi="宋体" w:cs="宋体"/>
                <w:color w:val="000000"/>
                <w:sz w:val="24"/>
              </w:rPr>
              <w:t>人，根据市中区教育局对学生作业本的规定，我校2021年将按上级要求为学生配备作业本，共需0.</w:t>
            </w:r>
            <w:r>
              <w:rPr>
                <w:rFonts w:hint="eastAsia" w:ascii="宋体" w:hAnsi="宋体" w:cs="宋体"/>
                <w:color w:val="000000"/>
                <w:sz w:val="24"/>
                <w:lang w:val="en-US" w:eastAsia="zh-CN"/>
              </w:rPr>
              <w:t>9</w:t>
            </w:r>
            <w:r>
              <w:rPr>
                <w:rFonts w:hint="eastAsia" w:ascii="宋体" w:hAnsi="宋体" w:cs="宋体"/>
                <w:color w:val="000000"/>
                <w:sz w:val="24"/>
              </w:rPr>
              <w:t>万元左右，用于作业本费的支付。</w:t>
            </w:r>
          </w:p>
        </w:tc>
        <w:tc>
          <w:tcPr>
            <w:tcW w:w="3722" w:type="dxa"/>
            <w:gridSpan w:val="2"/>
            <w:shd w:val="clear" w:color="auto" w:fill="auto"/>
          </w:tcPr>
          <w:p>
            <w:pPr>
              <w:widowControl/>
              <w:spacing w:line="320" w:lineRule="exact"/>
              <w:jc w:val="left"/>
              <w:textAlignment w:val="top"/>
              <w:rPr>
                <w:rFonts w:ascii="宋体" w:hAnsi="宋体" w:cs="宋体"/>
                <w:sz w:val="24"/>
              </w:rPr>
            </w:pPr>
            <w:r>
              <w:rPr>
                <w:rFonts w:hint="eastAsia" w:ascii="宋体" w:hAnsi="宋体" w:cs="宋体"/>
                <w:color w:val="000000"/>
                <w:sz w:val="24"/>
              </w:rPr>
              <w:t>我校2021年实际作业本费支出0.</w:t>
            </w:r>
            <w:r>
              <w:rPr>
                <w:rFonts w:hint="eastAsia" w:ascii="宋体" w:hAnsi="宋体" w:cs="宋体"/>
                <w:color w:val="000000"/>
                <w:sz w:val="24"/>
                <w:lang w:val="en-US" w:eastAsia="zh-CN"/>
              </w:rPr>
              <w:t>9</w:t>
            </w:r>
            <w:r>
              <w:rPr>
                <w:rFonts w:hint="eastAsia" w:ascii="宋体" w:hAnsi="宋体" w:cs="宋体"/>
                <w:color w:val="000000"/>
                <w:sz w:val="24"/>
              </w:rPr>
              <w:t>万元,100%完成目标。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026" w:type="dxa"/>
            <w:vMerge w:val="restart"/>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170"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75"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8" w:type="dxa"/>
            <w:shd w:val="clear" w:color="auto" w:fill="auto"/>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54" w:type="dxa"/>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468" w:type="dxa"/>
            <w:shd w:val="clear" w:color="auto" w:fill="auto"/>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vMerge w:val="restart"/>
            <w:shd w:val="clear" w:color="auto" w:fill="auto"/>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7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数量指标</w:t>
            </w:r>
          </w:p>
        </w:tc>
        <w:tc>
          <w:tcPr>
            <w:tcW w:w="121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学生作业本足量</w:t>
            </w:r>
          </w:p>
        </w:tc>
        <w:tc>
          <w:tcPr>
            <w:tcW w:w="125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100%发放</w:t>
            </w:r>
          </w:p>
        </w:tc>
        <w:tc>
          <w:tcPr>
            <w:tcW w:w="2468" w:type="dxa"/>
            <w:shd w:val="clear" w:color="auto" w:fill="auto"/>
            <w:vAlign w:val="center"/>
          </w:tcPr>
          <w:p>
            <w:pPr>
              <w:widowControl/>
              <w:jc w:val="center"/>
              <w:textAlignment w:val="center"/>
              <w:rPr>
                <w:rFonts w:ascii="宋体" w:cs="宋体"/>
                <w:color w:val="000000"/>
                <w:sz w:val="24"/>
              </w:rPr>
            </w:pPr>
          </w:p>
          <w:p>
            <w:pPr>
              <w:rPr>
                <w:rFonts w:ascii="宋体" w:cs="宋体"/>
                <w:sz w:val="24"/>
              </w:rPr>
            </w:pPr>
            <w:r>
              <w:rPr>
                <w:rFonts w:hint="eastAsia" w:ascii="宋体" w:cs="宋体"/>
                <w:color w:val="000000"/>
                <w:sz w:val="24"/>
              </w:rPr>
              <w:t>100%发放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7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质量指标</w:t>
            </w:r>
          </w:p>
        </w:tc>
        <w:tc>
          <w:tcPr>
            <w:tcW w:w="121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学生作业本使用情况</w:t>
            </w:r>
          </w:p>
        </w:tc>
        <w:tc>
          <w:tcPr>
            <w:tcW w:w="125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学生作业本正常使用</w:t>
            </w:r>
          </w:p>
        </w:tc>
        <w:tc>
          <w:tcPr>
            <w:tcW w:w="246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本年度学生作业本正常使用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7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时效指标</w:t>
            </w:r>
          </w:p>
        </w:tc>
        <w:tc>
          <w:tcPr>
            <w:tcW w:w="121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作业本发放时间周期</w:t>
            </w:r>
          </w:p>
        </w:tc>
        <w:tc>
          <w:tcPr>
            <w:tcW w:w="125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1次/学期</w:t>
            </w:r>
          </w:p>
        </w:tc>
        <w:tc>
          <w:tcPr>
            <w:tcW w:w="246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1次/学期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vMerge w:val="continue"/>
            <w:shd w:val="clear" w:color="auto" w:fill="auto"/>
            <w:vAlign w:val="bottom"/>
          </w:tcPr>
          <w:p>
            <w:pPr>
              <w:spacing w:line="320" w:lineRule="exact"/>
              <w:jc w:val="center"/>
              <w:rPr>
                <w:rFonts w:ascii="仿宋_GB2312" w:hAnsi="仿宋_GB2312" w:eastAsia="仿宋_GB2312" w:cs="仿宋_GB2312"/>
                <w:sz w:val="28"/>
                <w:szCs w:val="28"/>
              </w:rPr>
            </w:pPr>
          </w:p>
        </w:tc>
        <w:tc>
          <w:tcPr>
            <w:tcW w:w="1675" w:type="dxa"/>
            <w:shd w:val="clear" w:color="auto" w:fill="auto"/>
            <w:vAlign w:val="bottom"/>
          </w:tcPr>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成本指标</w:t>
            </w:r>
          </w:p>
        </w:tc>
        <w:tc>
          <w:tcPr>
            <w:tcW w:w="1218"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学生作业本费</w:t>
            </w:r>
          </w:p>
        </w:tc>
        <w:tc>
          <w:tcPr>
            <w:tcW w:w="1254"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≤0.</w:t>
            </w:r>
            <w:r>
              <w:rPr>
                <w:rFonts w:hint="eastAsia" w:ascii="宋体" w:cs="宋体"/>
                <w:color w:val="000000"/>
                <w:sz w:val="24"/>
                <w:lang w:val="en-US" w:eastAsia="zh-CN"/>
              </w:rPr>
              <w:t>9</w:t>
            </w:r>
            <w:r>
              <w:rPr>
                <w:rFonts w:hint="eastAsia" w:ascii="宋体" w:cs="宋体"/>
                <w:color w:val="000000"/>
                <w:sz w:val="24"/>
              </w:rPr>
              <w:t>万元</w:t>
            </w:r>
          </w:p>
        </w:tc>
        <w:tc>
          <w:tcPr>
            <w:tcW w:w="2468" w:type="dxa"/>
            <w:shd w:val="clear" w:color="auto" w:fill="auto"/>
            <w:vAlign w:val="bottom"/>
          </w:tcPr>
          <w:p>
            <w:pPr>
              <w:widowControl/>
              <w:spacing w:line="320" w:lineRule="exact"/>
              <w:jc w:val="center"/>
              <w:textAlignment w:val="bottom"/>
              <w:rPr>
                <w:rFonts w:ascii="宋体" w:cs="宋体"/>
                <w:color w:val="000000"/>
                <w:sz w:val="24"/>
              </w:rPr>
            </w:pPr>
            <w:r>
              <w:rPr>
                <w:rFonts w:hint="eastAsia" w:ascii="宋体" w:cs="宋体"/>
                <w:color w:val="000000"/>
                <w:sz w:val="24"/>
              </w:rPr>
              <w:t>≤0.</w:t>
            </w:r>
            <w:r>
              <w:rPr>
                <w:rFonts w:hint="eastAsia" w:ascii="宋体" w:cs="宋体"/>
                <w:color w:val="000000"/>
                <w:sz w:val="24"/>
                <w:lang w:val="en-US" w:eastAsia="zh-CN"/>
              </w:rPr>
              <w:t>9</w:t>
            </w:r>
            <w:r>
              <w:rPr>
                <w:rFonts w:hint="eastAsia" w:ascii="宋体" w:cs="宋体"/>
                <w:color w:val="00000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675" w:type="dxa"/>
            <w:shd w:val="clear" w:color="auto" w:fill="auto"/>
            <w:vAlign w:val="bottom"/>
          </w:tcPr>
          <w:p>
            <w:pPr>
              <w:spacing w:line="320" w:lineRule="exact"/>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社会效益  指标</w:t>
            </w:r>
          </w:p>
        </w:tc>
        <w:tc>
          <w:tcPr>
            <w:tcW w:w="1218"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作业本使用合理、规范</w:t>
            </w:r>
          </w:p>
        </w:tc>
        <w:tc>
          <w:tcPr>
            <w:tcW w:w="1254"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优秀</w:t>
            </w:r>
          </w:p>
        </w:tc>
        <w:tc>
          <w:tcPr>
            <w:tcW w:w="2468" w:type="dxa"/>
            <w:shd w:val="clear" w:color="auto" w:fill="auto"/>
            <w:vAlign w:val="bottom"/>
          </w:tcPr>
          <w:p>
            <w:pPr>
              <w:spacing w:line="320" w:lineRule="exact"/>
              <w:jc w:val="center"/>
              <w:textAlignment w:val="bottom"/>
              <w:rPr>
                <w:rFonts w:ascii="仿宋_GB2312" w:hAnsi="仿宋_GB2312" w:eastAsia="仿宋_GB2312" w:cs="仿宋_GB2312"/>
                <w:sz w:val="28"/>
                <w:szCs w:val="28"/>
              </w:rPr>
            </w:pPr>
            <w:r>
              <w:rPr>
                <w:rFonts w:hint="eastAsia" w:ascii="宋体" w:cs="宋体"/>
                <w:color w:val="000000"/>
                <w:sz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026" w:type="dxa"/>
            <w:vMerge w:val="continue"/>
            <w:shd w:val="clear" w:color="auto" w:fill="auto"/>
            <w:vAlign w:val="center"/>
          </w:tcPr>
          <w:p>
            <w:pPr>
              <w:spacing w:line="320" w:lineRule="exact"/>
              <w:jc w:val="center"/>
              <w:rPr>
                <w:rFonts w:ascii="仿宋_GB2312" w:hAnsi="仿宋_GB2312" w:eastAsia="仿宋_GB2312" w:cs="仿宋_GB2312"/>
                <w:sz w:val="28"/>
                <w:szCs w:val="28"/>
              </w:rPr>
            </w:pPr>
          </w:p>
        </w:tc>
        <w:tc>
          <w:tcPr>
            <w:tcW w:w="1170" w:type="dxa"/>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675"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满意度指标</w:t>
            </w:r>
          </w:p>
        </w:tc>
        <w:tc>
          <w:tcPr>
            <w:tcW w:w="121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学生满意度</w:t>
            </w:r>
          </w:p>
        </w:tc>
        <w:tc>
          <w:tcPr>
            <w:tcW w:w="1254"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468" w:type="dxa"/>
            <w:shd w:val="clear" w:color="auto" w:fill="auto"/>
            <w:vAlign w:val="center"/>
          </w:tcPr>
          <w:p>
            <w:pPr>
              <w:widowControl/>
              <w:jc w:val="center"/>
              <w:textAlignment w:val="center"/>
              <w:rPr>
                <w:rFonts w:ascii="宋体" w:cs="宋体"/>
                <w:color w:val="000000"/>
                <w:sz w:val="24"/>
              </w:rPr>
            </w:pPr>
            <w:r>
              <w:rPr>
                <w:rFonts w:hint="eastAsia" w:ascii="宋体" w:cs="宋体"/>
                <w:color w:val="000000"/>
                <w:sz w:val="24"/>
              </w:rPr>
              <w:t>=100%</w:t>
            </w:r>
          </w:p>
        </w:tc>
      </w:tr>
    </w:tbl>
    <w:p>
      <w:pPr>
        <w:spacing w:line="600" w:lineRule="exact"/>
        <w:jc w:val="center"/>
        <w:outlineLvl w:val="0"/>
        <w:rPr>
          <w:rFonts w:ascii="黑体" w:hAnsi="黑体" w:eastAsia="黑体"/>
          <w:sz w:val="44"/>
          <w:szCs w:val="44"/>
        </w:rPr>
      </w:pPr>
    </w:p>
    <w:p>
      <w:pPr>
        <w:spacing w:line="600" w:lineRule="exact"/>
        <w:jc w:val="center"/>
        <w:outlineLvl w:val="0"/>
        <w:rPr>
          <w:rFonts w:hint="eastAsia" w:ascii="黑体" w:hAnsi="黑体" w:eastAsia="黑体"/>
          <w:sz w:val="44"/>
          <w:szCs w:val="44"/>
        </w:rPr>
      </w:pPr>
    </w:p>
    <w:p>
      <w:pPr>
        <w:pStyle w:val="2"/>
        <w:rPr>
          <w:rFonts w:hint="eastAsia" w:ascii="黑体" w:hAnsi="黑体" w:eastAsia="黑体"/>
          <w:sz w:val="44"/>
          <w:szCs w:val="44"/>
        </w:rPr>
      </w:pPr>
    </w:p>
    <w:p>
      <w:pPr>
        <w:pStyle w:val="2"/>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4"/>
          <w:rFonts w:hint="eastAsia" w:ascii="黑体" w:hAnsi="黑体" w:eastAsia="黑体"/>
          <w:b w:val="0"/>
        </w:rPr>
        <w:t>五部分 附表</w:t>
      </w:r>
      <w:bookmarkEnd w:id="55"/>
      <w:bookmarkEnd w:id="57"/>
      <w:bookmarkStart w:id="58" w:name="_Toc15396619"/>
    </w:p>
    <w:p>
      <w:pPr>
        <w:pStyle w:val="4"/>
        <w:rPr>
          <w:rStyle w:val="25"/>
          <w:rFonts w:hint="eastAsia" w:ascii="仿宋" w:hAnsi="仿宋" w:eastAsia="仿宋"/>
          <w:b w:val="0"/>
          <w:bCs w:val="0"/>
        </w:rPr>
      </w:pPr>
      <w:r>
        <w:rPr>
          <w:rFonts w:hint="eastAsia" w:ascii="仿宋" w:hAnsi="仿宋" w:eastAsia="仿宋"/>
          <w:b w:val="0"/>
        </w:rPr>
        <w:t>一、收</w:t>
      </w:r>
      <w:r>
        <w:rPr>
          <w:rStyle w:val="25"/>
          <w:rFonts w:hint="eastAsia" w:ascii="仿宋" w:hAnsi="仿宋" w:eastAsia="仿宋"/>
          <w:b w:val="0"/>
          <w:bCs w:val="0"/>
        </w:rPr>
        <w:t>入支出决算总表</w:t>
      </w:r>
      <w:bookmarkEnd w:id="58"/>
    </w:p>
    <w:p>
      <w:r>
        <w:rPr>
          <w:rFonts w:hint="eastAsia" w:eastAsiaTheme="minorEastAsia"/>
          <w:lang w:eastAsia="zh-CN"/>
        </w:rPr>
        <w:drawing>
          <wp:inline distT="0" distB="0" distL="114300" distR="114300">
            <wp:extent cx="5266690" cy="2667000"/>
            <wp:effectExtent l="0" t="0" r="10160" b="0"/>
            <wp:docPr id="2" name="图片 2" descr="E3DN%WHCD@7WD3W}MDU4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3DN%WHCD@7WD3W}MDU4D`G"/>
                    <pic:cNvPicPr>
                      <a:picLocks noChangeAspect="1"/>
                    </pic:cNvPicPr>
                  </pic:nvPicPr>
                  <pic:blipFill>
                    <a:blip r:embed="rId13"/>
                    <a:stretch>
                      <a:fillRect/>
                    </a:stretch>
                  </pic:blipFill>
                  <pic:spPr>
                    <a:xfrm>
                      <a:off x="0" y="0"/>
                      <a:ext cx="5266690" cy="2667000"/>
                    </a:xfrm>
                    <a:prstGeom prst="rect">
                      <a:avLst/>
                    </a:prstGeom>
                  </pic:spPr>
                </pic:pic>
              </a:graphicData>
            </a:graphic>
          </wp:inline>
        </w:drawing>
      </w:r>
      <w:r>
        <w:rPr>
          <w:rFonts w:hint="eastAsia" w:eastAsiaTheme="minorEastAsia"/>
          <w:lang w:eastAsia="zh-CN"/>
        </w:rPr>
        <w:drawing>
          <wp:inline distT="0" distB="0" distL="114300" distR="114300">
            <wp:extent cx="5265420" cy="1544320"/>
            <wp:effectExtent l="0" t="0" r="11430" b="17780"/>
            <wp:docPr id="5" name="图片 5" descr="(P7TO1JTL[YO`J125[]_{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7TO1JTL[YO`J125[]_{_R"/>
                    <pic:cNvPicPr>
                      <a:picLocks noChangeAspect="1"/>
                    </pic:cNvPicPr>
                  </pic:nvPicPr>
                  <pic:blipFill>
                    <a:blip r:embed="rId14"/>
                    <a:stretch>
                      <a:fillRect/>
                    </a:stretch>
                  </pic:blipFill>
                  <pic:spPr>
                    <a:xfrm>
                      <a:off x="0" y="0"/>
                      <a:ext cx="5265420" cy="1544320"/>
                    </a:xfrm>
                    <a:prstGeom prst="rect">
                      <a:avLst/>
                    </a:prstGeom>
                  </pic:spPr>
                </pic:pic>
              </a:graphicData>
            </a:graphic>
          </wp:inline>
        </w:drawing>
      </w:r>
    </w:p>
    <w:p>
      <w:pPr>
        <w:pStyle w:val="4"/>
        <w:numPr>
          <w:ilvl w:val="0"/>
          <w:numId w:val="1"/>
        </w:numPr>
        <w:ind w:left="0" w:leftChars="0" w:firstLine="0" w:firstLineChars="0"/>
      </w:pPr>
      <w:bookmarkStart w:id="59" w:name="_Toc15396620"/>
      <w:r>
        <w:rPr>
          <w:rFonts w:hint="eastAsia" w:ascii="仿宋" w:hAnsi="仿宋" w:eastAsia="仿宋"/>
          <w:b w:val="0"/>
        </w:rPr>
        <w:t>收</w:t>
      </w:r>
      <w:r>
        <w:rPr>
          <w:rStyle w:val="25"/>
          <w:rFonts w:hint="eastAsia" w:ascii="仿宋" w:hAnsi="仿宋" w:eastAsia="仿宋"/>
          <w:b w:val="0"/>
          <w:bCs w:val="0"/>
        </w:rPr>
        <w:t>入决算表</w:t>
      </w:r>
      <w:bookmarkEnd w:id="59"/>
    </w:p>
    <w:p>
      <w:pPr>
        <w:rPr>
          <w:rFonts w:hint="eastAsia" w:eastAsia="仿宋"/>
          <w:lang w:eastAsia="zh-CN"/>
        </w:rPr>
      </w:pPr>
      <w:r>
        <w:rPr>
          <w:rFonts w:hint="eastAsia" w:eastAsia="仿宋"/>
          <w:lang w:eastAsia="zh-CN"/>
        </w:rPr>
        <w:drawing>
          <wp:inline distT="0" distB="0" distL="114300" distR="114300">
            <wp:extent cx="5266055" cy="2733040"/>
            <wp:effectExtent l="0" t="0" r="10795" b="10160"/>
            <wp:docPr id="7" name="图片 7" descr="Q8QV0~KQ(YZ1$~39G5DBO1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8QV0~KQ(YZ1$~39G5DBO1H"/>
                    <pic:cNvPicPr>
                      <a:picLocks noChangeAspect="1"/>
                    </pic:cNvPicPr>
                  </pic:nvPicPr>
                  <pic:blipFill>
                    <a:blip r:embed="rId15"/>
                    <a:stretch>
                      <a:fillRect/>
                    </a:stretch>
                  </pic:blipFill>
                  <pic:spPr>
                    <a:xfrm>
                      <a:off x="0" y="0"/>
                      <a:ext cx="5266055" cy="2733040"/>
                    </a:xfrm>
                    <a:prstGeom prst="rect">
                      <a:avLst/>
                    </a:prstGeom>
                  </pic:spPr>
                </pic:pic>
              </a:graphicData>
            </a:graphic>
          </wp:inline>
        </w:drawing>
      </w:r>
    </w:p>
    <w:p>
      <w:pPr>
        <w:pStyle w:val="4"/>
        <w:numPr>
          <w:ilvl w:val="0"/>
          <w:numId w:val="1"/>
        </w:numPr>
        <w:ind w:left="0" w:leftChars="0" w:firstLine="0" w:firstLineChars="0"/>
      </w:pPr>
      <w:bookmarkStart w:id="60" w:name="_Toc15396621"/>
      <w:r>
        <w:rPr>
          <w:rFonts w:hint="eastAsia" w:ascii="仿宋" w:hAnsi="仿宋" w:eastAsia="仿宋"/>
          <w:b w:val="0"/>
        </w:rPr>
        <w:t>支</w:t>
      </w:r>
      <w:r>
        <w:rPr>
          <w:rStyle w:val="25"/>
          <w:rFonts w:hint="eastAsia" w:ascii="仿宋" w:hAnsi="仿宋" w:eastAsia="仿宋"/>
          <w:b w:val="0"/>
          <w:bCs w:val="0"/>
        </w:rPr>
        <w:t>出决算表</w:t>
      </w:r>
      <w:bookmarkEnd w:id="60"/>
    </w:p>
    <w:p>
      <w:pPr>
        <w:rPr>
          <w:rFonts w:hint="eastAsia" w:eastAsia="仿宋"/>
          <w:lang w:eastAsia="zh-CN"/>
        </w:rPr>
      </w:pPr>
      <w:r>
        <w:rPr>
          <w:rFonts w:hint="eastAsia" w:eastAsia="仿宋"/>
          <w:lang w:eastAsia="zh-CN"/>
        </w:rPr>
        <w:drawing>
          <wp:inline distT="0" distB="0" distL="114300" distR="114300">
            <wp:extent cx="5272405" cy="3268345"/>
            <wp:effectExtent l="0" t="0" r="4445" b="8255"/>
            <wp:docPr id="11" name="图片 11" descr="3G_HZ}}IB@[NC)7WJ9)2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G_HZ}}IB@[NC)7WJ9)2U%G"/>
                    <pic:cNvPicPr>
                      <a:picLocks noChangeAspect="1"/>
                    </pic:cNvPicPr>
                  </pic:nvPicPr>
                  <pic:blipFill>
                    <a:blip r:embed="rId16"/>
                    <a:stretch>
                      <a:fillRect/>
                    </a:stretch>
                  </pic:blipFill>
                  <pic:spPr>
                    <a:xfrm>
                      <a:off x="0" y="0"/>
                      <a:ext cx="5272405" cy="3268345"/>
                    </a:xfrm>
                    <a:prstGeom prst="rect">
                      <a:avLst/>
                    </a:prstGeom>
                  </pic:spPr>
                </pic:pic>
              </a:graphicData>
            </a:graphic>
          </wp:inline>
        </w:drawing>
      </w:r>
    </w:p>
    <w:p>
      <w:pPr>
        <w:pStyle w:val="4"/>
        <w:numPr>
          <w:ilvl w:val="0"/>
          <w:numId w:val="1"/>
        </w:numPr>
        <w:ind w:left="0" w:leftChars="0" w:firstLine="0" w:firstLineChars="0"/>
      </w:pPr>
      <w:bookmarkStart w:id="61" w:name="_Toc15396622"/>
      <w:r>
        <w:rPr>
          <w:rFonts w:hint="eastAsia" w:ascii="仿宋" w:hAnsi="仿宋" w:eastAsia="仿宋"/>
          <w:b w:val="0"/>
        </w:rPr>
        <w:t>财</w:t>
      </w:r>
      <w:r>
        <w:rPr>
          <w:rStyle w:val="25"/>
          <w:rFonts w:hint="eastAsia" w:ascii="仿宋" w:hAnsi="仿宋" w:eastAsia="仿宋"/>
          <w:b w:val="0"/>
          <w:bCs w:val="0"/>
        </w:rPr>
        <w:t>政拨款收入支出决算总表</w:t>
      </w:r>
      <w:bookmarkEnd w:id="61"/>
    </w:p>
    <w:p>
      <w:pPr>
        <w:rPr>
          <w:rFonts w:hint="eastAsia" w:eastAsia="仿宋"/>
          <w:lang w:eastAsia="zh-CN"/>
        </w:rPr>
      </w:pPr>
      <w:r>
        <w:rPr>
          <w:rFonts w:hint="eastAsia" w:eastAsia="仿宋"/>
          <w:lang w:eastAsia="zh-CN"/>
        </w:rPr>
        <w:drawing>
          <wp:inline distT="0" distB="0" distL="114300" distR="114300">
            <wp:extent cx="5264785" cy="2249805"/>
            <wp:effectExtent l="0" t="0" r="12065" b="17145"/>
            <wp:docPr id="12" name="图片 12" descr="4VTNA}E}49}7A}Q50$B1}6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VTNA}E}49}7A}Q50$B1}6T"/>
                    <pic:cNvPicPr>
                      <a:picLocks noChangeAspect="1"/>
                    </pic:cNvPicPr>
                  </pic:nvPicPr>
                  <pic:blipFill>
                    <a:blip r:embed="rId17"/>
                    <a:stretch>
                      <a:fillRect/>
                    </a:stretch>
                  </pic:blipFill>
                  <pic:spPr>
                    <a:xfrm>
                      <a:off x="0" y="0"/>
                      <a:ext cx="5264785" cy="2249805"/>
                    </a:xfrm>
                    <a:prstGeom prst="rect">
                      <a:avLst/>
                    </a:prstGeom>
                  </pic:spPr>
                </pic:pic>
              </a:graphicData>
            </a:graphic>
          </wp:inline>
        </w:drawing>
      </w:r>
      <w:r>
        <w:rPr>
          <w:rFonts w:hint="eastAsia" w:eastAsia="仿宋"/>
          <w:lang w:eastAsia="zh-CN"/>
        </w:rPr>
        <w:drawing>
          <wp:inline distT="0" distB="0" distL="114300" distR="114300">
            <wp:extent cx="5266690" cy="1492250"/>
            <wp:effectExtent l="0" t="0" r="10160" b="12700"/>
            <wp:docPr id="13" name="图片 13" descr="P%M~]D3RES`}UZNXFF{IQ(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M~]D3RES`}UZNXFF{IQ(2"/>
                    <pic:cNvPicPr>
                      <a:picLocks noChangeAspect="1"/>
                    </pic:cNvPicPr>
                  </pic:nvPicPr>
                  <pic:blipFill>
                    <a:blip r:embed="rId18"/>
                    <a:stretch>
                      <a:fillRect/>
                    </a:stretch>
                  </pic:blipFill>
                  <pic:spPr>
                    <a:xfrm>
                      <a:off x="0" y="0"/>
                      <a:ext cx="5266690" cy="1492250"/>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2" w:name="_Toc15396623"/>
      <w:r>
        <w:rPr>
          <w:rFonts w:hint="eastAsia" w:ascii="仿宋" w:hAnsi="仿宋" w:eastAsia="仿宋"/>
          <w:b w:val="0"/>
        </w:rPr>
        <w:t>财</w:t>
      </w:r>
      <w:r>
        <w:rPr>
          <w:rStyle w:val="25"/>
          <w:rFonts w:hint="eastAsia" w:ascii="仿宋" w:hAnsi="仿宋" w:eastAsia="仿宋"/>
          <w:b w:val="0"/>
          <w:bCs w:val="0"/>
        </w:rPr>
        <w:t>政拨款支出决算明细表</w:t>
      </w:r>
      <w:bookmarkEnd w:id="62"/>
      <w:bookmarkStart w:id="63" w:name="_Toc15396624"/>
    </w:p>
    <w:p>
      <w:pPr>
        <w:rPr>
          <w:rFonts w:hint="eastAsia" w:eastAsia="仿宋"/>
          <w:lang w:eastAsia="zh-CN"/>
        </w:rPr>
      </w:pPr>
      <w:r>
        <w:rPr>
          <w:rFonts w:hint="eastAsia" w:eastAsia="仿宋"/>
          <w:lang w:eastAsia="zh-CN"/>
        </w:rPr>
        <w:drawing>
          <wp:inline distT="0" distB="0" distL="114300" distR="114300">
            <wp:extent cx="5265420" cy="2746375"/>
            <wp:effectExtent l="0" t="0" r="11430" b="15875"/>
            <wp:docPr id="14" name="图片 14" descr="H~U1%L_9Q4L~GRKI1D[2V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U1%L_9Q4L~GRKI1D[2VDN"/>
                    <pic:cNvPicPr>
                      <a:picLocks noChangeAspect="1"/>
                    </pic:cNvPicPr>
                  </pic:nvPicPr>
                  <pic:blipFill>
                    <a:blip r:embed="rId19"/>
                    <a:stretch>
                      <a:fillRect/>
                    </a:stretch>
                  </pic:blipFill>
                  <pic:spPr>
                    <a:xfrm>
                      <a:off x="0" y="0"/>
                      <a:ext cx="5265420" cy="2746375"/>
                    </a:xfrm>
                    <a:prstGeom prst="rect">
                      <a:avLst/>
                    </a:prstGeom>
                  </pic:spPr>
                </pic:pic>
              </a:graphicData>
            </a:graphic>
          </wp:inline>
        </w:drawing>
      </w:r>
      <w:r>
        <w:rPr>
          <w:rFonts w:hint="eastAsia" w:eastAsia="仿宋"/>
          <w:lang w:eastAsia="zh-CN"/>
        </w:rPr>
        <w:drawing>
          <wp:inline distT="0" distB="0" distL="114300" distR="114300">
            <wp:extent cx="5265420" cy="2596515"/>
            <wp:effectExtent l="0" t="0" r="11430" b="13335"/>
            <wp:docPr id="15" name="图片 15" descr="3XN{75AMZ_C`BDMLPQHN)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3XN{75AMZ_C`BDMLPQHN)L3"/>
                    <pic:cNvPicPr>
                      <a:picLocks noChangeAspect="1"/>
                    </pic:cNvPicPr>
                  </pic:nvPicPr>
                  <pic:blipFill>
                    <a:blip r:embed="rId20"/>
                    <a:stretch>
                      <a:fillRect/>
                    </a:stretch>
                  </pic:blipFill>
                  <pic:spPr>
                    <a:xfrm>
                      <a:off x="0" y="0"/>
                      <a:ext cx="5265420" cy="2596515"/>
                    </a:xfrm>
                    <a:prstGeom prst="rect">
                      <a:avLst/>
                    </a:prstGeom>
                  </pic:spPr>
                </pic:pic>
              </a:graphicData>
            </a:graphic>
          </wp:inline>
        </w:drawing>
      </w:r>
      <w:r>
        <w:rPr>
          <w:rFonts w:hint="eastAsia" w:eastAsia="仿宋"/>
          <w:lang w:eastAsia="zh-CN"/>
        </w:rPr>
        <w:drawing>
          <wp:inline distT="0" distB="0" distL="114300" distR="114300">
            <wp:extent cx="5265420" cy="2559050"/>
            <wp:effectExtent l="0" t="0" r="11430" b="12700"/>
            <wp:docPr id="16" name="图片 16" descr="~IKB[GQ2HJC@S@)414F8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KB[GQ2HJC@S@)414F8H]T"/>
                    <pic:cNvPicPr>
                      <a:picLocks noChangeAspect="1"/>
                    </pic:cNvPicPr>
                  </pic:nvPicPr>
                  <pic:blipFill>
                    <a:blip r:embed="rId21"/>
                    <a:stretch>
                      <a:fillRect/>
                    </a:stretch>
                  </pic:blipFill>
                  <pic:spPr>
                    <a:xfrm>
                      <a:off x="0" y="0"/>
                      <a:ext cx="5265420" cy="2559050"/>
                    </a:xfrm>
                    <a:prstGeom prst="rect">
                      <a:avLst/>
                    </a:prstGeom>
                  </pic:spPr>
                </pic:pic>
              </a:graphicData>
            </a:graphic>
          </wp:inline>
        </w:drawing>
      </w:r>
      <w:r>
        <w:rPr>
          <w:rFonts w:hint="eastAsia" w:eastAsia="仿宋"/>
          <w:lang w:eastAsia="zh-CN"/>
        </w:rPr>
        <w:drawing>
          <wp:inline distT="0" distB="0" distL="114300" distR="114300">
            <wp:extent cx="5269230" cy="1891665"/>
            <wp:effectExtent l="0" t="0" r="7620" b="13335"/>
            <wp:docPr id="17" name="图片 17" descr="_EKJB%A0621SL}~DP50P2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_EKJB%A0621SL}~DP50P2N1"/>
                    <pic:cNvPicPr>
                      <a:picLocks noChangeAspect="1"/>
                    </pic:cNvPicPr>
                  </pic:nvPicPr>
                  <pic:blipFill>
                    <a:blip r:embed="rId22"/>
                    <a:stretch>
                      <a:fillRect/>
                    </a:stretch>
                  </pic:blipFill>
                  <pic:spPr>
                    <a:xfrm>
                      <a:off x="0" y="0"/>
                      <a:ext cx="5269230" cy="1891665"/>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r>
        <w:rPr>
          <w:rFonts w:hint="eastAsia" w:ascii="仿宋" w:hAnsi="仿宋" w:eastAsia="仿宋"/>
          <w:b w:val="0"/>
        </w:rPr>
        <w:t>一</w:t>
      </w:r>
      <w:r>
        <w:rPr>
          <w:rStyle w:val="25"/>
          <w:rFonts w:hint="eastAsia" w:ascii="仿宋" w:hAnsi="仿宋" w:eastAsia="仿宋"/>
          <w:b w:val="0"/>
          <w:bCs w:val="0"/>
        </w:rPr>
        <w:t>般公共预算财政拨款支出决算表</w:t>
      </w:r>
      <w:bookmarkEnd w:id="63"/>
    </w:p>
    <w:p>
      <w:pPr>
        <w:numPr>
          <w:numId w:val="0"/>
        </w:numPr>
        <w:ind w:leftChars="0"/>
        <w:rPr>
          <w:rFonts w:hint="eastAsia" w:eastAsia="宋体"/>
          <w:lang w:eastAsia="zh-CN"/>
        </w:rPr>
      </w:pPr>
      <w:r>
        <w:rPr>
          <w:rFonts w:hint="eastAsia" w:eastAsia="宋体"/>
          <w:lang w:eastAsia="zh-CN"/>
        </w:rPr>
        <w:drawing>
          <wp:inline distT="0" distB="0" distL="114300" distR="114300">
            <wp:extent cx="5105400" cy="3571875"/>
            <wp:effectExtent l="0" t="0" r="0" b="9525"/>
            <wp:docPr id="18" name="图片 18" descr="8GVNIS%I4V_}I`C3_KX%N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8GVNIS%I4V_}I`C3_KX%NMP"/>
                    <pic:cNvPicPr>
                      <a:picLocks noChangeAspect="1"/>
                    </pic:cNvPicPr>
                  </pic:nvPicPr>
                  <pic:blipFill>
                    <a:blip r:embed="rId23"/>
                    <a:stretch>
                      <a:fillRect/>
                    </a:stretch>
                  </pic:blipFill>
                  <pic:spPr>
                    <a:xfrm>
                      <a:off x="0" y="0"/>
                      <a:ext cx="5105400" cy="3571875"/>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4" w:name="_Toc15396625"/>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64"/>
    </w:p>
    <w:p>
      <w:pPr>
        <w:numPr>
          <w:numId w:val="0"/>
        </w:numPr>
        <w:ind w:leftChars="0"/>
        <w:rPr>
          <w:rFonts w:hint="eastAsia" w:eastAsia="宋体"/>
          <w:lang w:eastAsia="zh-CN"/>
        </w:rPr>
      </w:pPr>
      <w:r>
        <w:rPr>
          <w:rFonts w:hint="eastAsia" w:eastAsia="宋体"/>
          <w:lang w:eastAsia="zh-CN"/>
        </w:rPr>
        <w:drawing>
          <wp:inline distT="0" distB="0" distL="114300" distR="114300">
            <wp:extent cx="5262880" cy="1487170"/>
            <wp:effectExtent l="0" t="0" r="13970" b="17780"/>
            <wp:docPr id="20" name="图片 20" descr="2[}9J]2X8V5CX)$POJ)2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2[}9J]2X8V5CX)$POJ)2VNE"/>
                    <pic:cNvPicPr>
                      <a:picLocks noChangeAspect="1"/>
                    </pic:cNvPicPr>
                  </pic:nvPicPr>
                  <pic:blipFill>
                    <a:blip r:embed="rId24"/>
                    <a:stretch>
                      <a:fillRect/>
                    </a:stretch>
                  </pic:blipFill>
                  <pic:spPr>
                    <a:xfrm>
                      <a:off x="0" y="0"/>
                      <a:ext cx="5262880" cy="1487170"/>
                    </a:xfrm>
                    <a:prstGeom prst="rect">
                      <a:avLst/>
                    </a:prstGeom>
                  </pic:spPr>
                </pic:pic>
              </a:graphicData>
            </a:graphic>
          </wp:inline>
        </w:drawing>
      </w:r>
      <w:r>
        <w:rPr>
          <w:rFonts w:hint="eastAsia" w:eastAsia="宋体"/>
          <w:lang w:eastAsia="zh-CN"/>
        </w:rPr>
        <w:drawing>
          <wp:inline distT="0" distB="0" distL="114300" distR="114300">
            <wp:extent cx="5269230" cy="1759585"/>
            <wp:effectExtent l="0" t="0" r="7620" b="12065"/>
            <wp:docPr id="21" name="图片 21" descr="6OELJI}R~}WKMC~)NWKBH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6OELJI}R~}WKMC~)NWKBHJE"/>
                    <pic:cNvPicPr>
                      <a:picLocks noChangeAspect="1"/>
                    </pic:cNvPicPr>
                  </pic:nvPicPr>
                  <pic:blipFill>
                    <a:blip r:embed="rId25"/>
                    <a:stretch>
                      <a:fillRect/>
                    </a:stretch>
                  </pic:blipFill>
                  <pic:spPr>
                    <a:xfrm>
                      <a:off x="0" y="0"/>
                      <a:ext cx="5269230" cy="1759585"/>
                    </a:xfrm>
                    <a:prstGeom prst="rect">
                      <a:avLst/>
                    </a:prstGeom>
                  </pic:spPr>
                </pic:pic>
              </a:graphicData>
            </a:graphic>
          </wp:inline>
        </w:drawing>
      </w:r>
      <w:r>
        <w:rPr>
          <w:rFonts w:hint="eastAsia" w:eastAsia="宋体"/>
          <w:lang w:eastAsia="zh-CN"/>
        </w:rPr>
        <w:drawing>
          <wp:inline distT="0" distB="0" distL="114300" distR="114300">
            <wp:extent cx="5269230" cy="1758315"/>
            <wp:effectExtent l="0" t="0" r="7620" b="13335"/>
            <wp:docPr id="22" name="图片 22" descr="U]_CDLR_5D5YV_ADDV`D$2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U]_CDLR_5D5YV_ADDV`D$2K"/>
                    <pic:cNvPicPr>
                      <a:picLocks noChangeAspect="1"/>
                    </pic:cNvPicPr>
                  </pic:nvPicPr>
                  <pic:blipFill>
                    <a:blip r:embed="rId26"/>
                    <a:stretch>
                      <a:fillRect/>
                    </a:stretch>
                  </pic:blipFill>
                  <pic:spPr>
                    <a:xfrm>
                      <a:off x="0" y="0"/>
                      <a:ext cx="5269230" cy="1758315"/>
                    </a:xfrm>
                    <a:prstGeom prst="rect">
                      <a:avLst/>
                    </a:prstGeom>
                  </pic:spPr>
                </pic:pic>
              </a:graphicData>
            </a:graphic>
          </wp:inline>
        </w:drawing>
      </w:r>
      <w:r>
        <w:rPr>
          <w:rFonts w:hint="eastAsia" w:eastAsia="宋体"/>
          <w:lang w:eastAsia="zh-CN"/>
        </w:rPr>
        <w:drawing>
          <wp:inline distT="0" distB="0" distL="114300" distR="114300">
            <wp:extent cx="5266690" cy="1909445"/>
            <wp:effectExtent l="0" t="0" r="10160" b="14605"/>
            <wp:docPr id="24" name="图片 24" descr="PQBQ2]{OGS}]0PG_H[X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QBQ2]{OGS}]0PG_H[X2`~8"/>
                    <pic:cNvPicPr>
                      <a:picLocks noChangeAspect="1"/>
                    </pic:cNvPicPr>
                  </pic:nvPicPr>
                  <pic:blipFill>
                    <a:blip r:embed="rId27"/>
                    <a:stretch>
                      <a:fillRect/>
                    </a:stretch>
                  </pic:blipFill>
                  <pic:spPr>
                    <a:xfrm>
                      <a:off x="0" y="0"/>
                      <a:ext cx="5266690" cy="1909445"/>
                    </a:xfrm>
                    <a:prstGeom prst="rect">
                      <a:avLst/>
                    </a:prstGeom>
                  </pic:spPr>
                </pic:pic>
              </a:graphicData>
            </a:graphic>
          </wp:inline>
        </w:drawing>
      </w:r>
    </w:p>
    <w:p>
      <w:pPr>
        <w:pStyle w:val="2"/>
        <w:rPr>
          <w:rFonts w:hint="eastAsia" w:eastAsia="宋体"/>
          <w:lang w:eastAsia="zh-CN"/>
        </w:rPr>
      </w:pPr>
      <w:r>
        <w:rPr>
          <w:rFonts w:hint="eastAsia" w:eastAsia="宋体"/>
          <w:lang w:eastAsia="zh-CN"/>
        </w:rPr>
        <w:drawing>
          <wp:inline distT="0" distB="0" distL="114300" distR="114300">
            <wp:extent cx="5264785" cy="1413510"/>
            <wp:effectExtent l="0" t="0" r="12065" b="15240"/>
            <wp:docPr id="25" name="图片 25" descr="K3MVO7AHK$QA5%%16QVLNK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K3MVO7AHK$QA5%%16QVLNKF"/>
                    <pic:cNvPicPr>
                      <a:picLocks noChangeAspect="1"/>
                    </pic:cNvPicPr>
                  </pic:nvPicPr>
                  <pic:blipFill>
                    <a:blip r:embed="rId28"/>
                    <a:stretch>
                      <a:fillRect/>
                    </a:stretch>
                  </pic:blipFill>
                  <pic:spPr>
                    <a:xfrm>
                      <a:off x="0" y="0"/>
                      <a:ext cx="5264785" cy="1413510"/>
                    </a:xfrm>
                    <a:prstGeom prst="rect">
                      <a:avLst/>
                    </a:prstGeom>
                  </pic:spPr>
                </pic:pic>
              </a:graphicData>
            </a:graphic>
          </wp:inline>
        </w:drawing>
      </w:r>
      <w:r>
        <w:rPr>
          <w:rFonts w:hint="eastAsia" w:eastAsia="宋体"/>
          <w:lang w:eastAsia="zh-CN"/>
        </w:rPr>
        <w:drawing>
          <wp:inline distT="0" distB="0" distL="114300" distR="114300">
            <wp:extent cx="5269230" cy="1447800"/>
            <wp:effectExtent l="0" t="0" r="7620" b="0"/>
            <wp:docPr id="26" name="图片 26" descr="%8HKYB)K1{JH%Z11UK6K@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8HKYB)K1{JH%Z11UK6K@LO"/>
                    <pic:cNvPicPr>
                      <a:picLocks noChangeAspect="1"/>
                    </pic:cNvPicPr>
                  </pic:nvPicPr>
                  <pic:blipFill>
                    <a:blip r:embed="rId29"/>
                    <a:stretch>
                      <a:fillRect/>
                    </a:stretch>
                  </pic:blipFill>
                  <pic:spPr>
                    <a:xfrm>
                      <a:off x="0" y="0"/>
                      <a:ext cx="5269230" cy="1447800"/>
                    </a:xfrm>
                    <a:prstGeom prst="rect">
                      <a:avLst/>
                    </a:prstGeom>
                  </pic:spPr>
                </pic:pic>
              </a:graphicData>
            </a:graphic>
          </wp:inline>
        </w:drawing>
      </w:r>
    </w:p>
    <w:p>
      <w:pPr>
        <w:pStyle w:val="2"/>
        <w:rPr>
          <w:rFonts w:hint="eastAsia" w:eastAsia="宋体"/>
          <w:lang w:eastAsia="zh-CN"/>
        </w:rPr>
      </w:pPr>
    </w:p>
    <w:p>
      <w:pPr>
        <w:pStyle w:val="2"/>
        <w:rPr>
          <w:rFonts w:hint="eastAsia" w:eastAsia="宋体"/>
          <w:lang w:eastAsia="zh-CN"/>
        </w:rPr>
      </w:pPr>
    </w:p>
    <w:p>
      <w:pPr>
        <w:pStyle w:val="2"/>
        <w:rPr>
          <w:rFonts w:hint="eastAsia" w:eastAsia="宋体"/>
          <w:lang w:eastAsia="zh-CN"/>
        </w:rPr>
      </w:pPr>
    </w:p>
    <w:p>
      <w:pPr>
        <w:pStyle w:val="2"/>
        <w:rPr>
          <w:rFonts w:hint="eastAsia" w:eastAsia="宋体"/>
          <w:lang w:eastAsia="zh-CN"/>
        </w:rPr>
      </w:pPr>
    </w:p>
    <w:p>
      <w:pPr>
        <w:pStyle w:val="2"/>
        <w:rPr>
          <w:rFonts w:hint="eastAsia" w:eastAsia="宋体"/>
          <w:lang w:eastAsia="zh-CN"/>
        </w:rPr>
      </w:pPr>
    </w:p>
    <w:p>
      <w:pPr>
        <w:pStyle w:val="2"/>
        <w:rPr>
          <w:rFonts w:hint="eastAsia" w:eastAsia="宋体"/>
          <w:lang w:eastAsia="zh-CN"/>
        </w:rPr>
      </w:pPr>
    </w:p>
    <w:p>
      <w:pPr>
        <w:pStyle w:val="4"/>
        <w:numPr>
          <w:ilvl w:val="0"/>
          <w:numId w:val="1"/>
        </w:numPr>
        <w:ind w:left="0" w:leftChars="0" w:firstLine="0" w:firstLineChars="0"/>
        <w:rPr>
          <w:rStyle w:val="25"/>
          <w:rFonts w:hint="eastAsia" w:ascii="仿宋" w:hAnsi="仿宋" w:eastAsia="仿宋"/>
          <w:b w:val="0"/>
          <w:bCs w:val="0"/>
        </w:rPr>
      </w:pPr>
      <w:bookmarkStart w:id="65" w:name="_Toc15396626"/>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65"/>
    </w:p>
    <w:p>
      <w:pPr>
        <w:numPr>
          <w:numId w:val="0"/>
        </w:numPr>
        <w:ind w:leftChars="0"/>
        <w:rPr>
          <w:rFonts w:hint="eastAsia"/>
          <w:lang w:eastAsia="zh-CN"/>
        </w:rPr>
      </w:pPr>
      <w:r>
        <w:rPr>
          <w:rFonts w:hint="eastAsia"/>
          <w:lang w:eastAsia="zh-CN"/>
        </w:rPr>
        <w:drawing>
          <wp:inline distT="0" distB="0" distL="114300" distR="114300">
            <wp:extent cx="5265420" cy="2736850"/>
            <wp:effectExtent l="0" t="0" r="11430" b="6350"/>
            <wp:docPr id="28" name="图片 28" descr="1LE5(LQKK5W`J87_$B%`}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LE5(LQKK5W`J87_$B%`}NG"/>
                    <pic:cNvPicPr>
                      <a:picLocks noChangeAspect="1"/>
                    </pic:cNvPicPr>
                  </pic:nvPicPr>
                  <pic:blipFill>
                    <a:blip r:embed="rId30"/>
                    <a:stretch>
                      <a:fillRect/>
                    </a:stretch>
                  </pic:blipFill>
                  <pic:spPr>
                    <a:xfrm>
                      <a:off x="0" y="0"/>
                      <a:ext cx="5265420" cy="2736850"/>
                    </a:xfrm>
                    <a:prstGeom prst="rect">
                      <a:avLst/>
                    </a:prstGeom>
                  </pic:spPr>
                </pic:pic>
              </a:graphicData>
            </a:graphic>
          </wp:inline>
        </w:drawing>
      </w:r>
      <w:r>
        <w:rPr>
          <w:rFonts w:hint="eastAsia"/>
          <w:lang w:eastAsia="zh-CN"/>
        </w:rPr>
        <w:drawing>
          <wp:inline distT="0" distB="0" distL="114300" distR="114300">
            <wp:extent cx="5273040" cy="695960"/>
            <wp:effectExtent l="0" t="0" r="3810" b="8890"/>
            <wp:docPr id="29" name="图片 29" descr="}%O8L~~H)PS8W$AONSM3K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O8L~~H)PS8W$AONSM3KI8"/>
                    <pic:cNvPicPr>
                      <a:picLocks noChangeAspect="1"/>
                    </pic:cNvPicPr>
                  </pic:nvPicPr>
                  <pic:blipFill>
                    <a:blip r:embed="rId31"/>
                    <a:stretch>
                      <a:fillRect/>
                    </a:stretch>
                  </pic:blipFill>
                  <pic:spPr>
                    <a:xfrm>
                      <a:off x="0" y="0"/>
                      <a:ext cx="5273040" cy="695960"/>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6" w:name="_Toc15396627"/>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6"/>
    </w:p>
    <w:p>
      <w:pPr>
        <w:numPr>
          <w:numId w:val="0"/>
        </w:numPr>
        <w:ind w:leftChars="0"/>
        <w:rPr>
          <w:rFonts w:hint="eastAsia" w:eastAsia="宋体"/>
          <w:lang w:eastAsia="zh-CN"/>
        </w:rPr>
      </w:pPr>
      <w:r>
        <w:rPr>
          <w:rFonts w:hint="eastAsia" w:eastAsia="宋体"/>
          <w:lang w:eastAsia="zh-CN"/>
        </w:rPr>
        <w:drawing>
          <wp:inline distT="0" distB="0" distL="114300" distR="114300">
            <wp:extent cx="5269865" cy="2749550"/>
            <wp:effectExtent l="0" t="0" r="6985" b="12700"/>
            <wp:docPr id="31" name="图片 31" descr="CM6UVW)ZLYFQ]5%0RSUJQ~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M6UVW)ZLYFQ]5%0RSUJQ~E"/>
                    <pic:cNvPicPr>
                      <a:picLocks noChangeAspect="1"/>
                    </pic:cNvPicPr>
                  </pic:nvPicPr>
                  <pic:blipFill>
                    <a:blip r:embed="rId32"/>
                    <a:stretch>
                      <a:fillRect/>
                    </a:stretch>
                  </pic:blipFill>
                  <pic:spPr>
                    <a:xfrm>
                      <a:off x="0" y="0"/>
                      <a:ext cx="5269865" cy="2749550"/>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7" w:name="_Toc15396628"/>
      <w:r>
        <w:rPr>
          <w:rFonts w:hint="eastAsia" w:ascii="仿宋" w:hAnsi="仿宋" w:eastAsia="仿宋"/>
          <w:b w:val="0"/>
        </w:rPr>
        <w:t>一</w:t>
      </w:r>
      <w:r>
        <w:rPr>
          <w:rStyle w:val="25"/>
          <w:rFonts w:hint="eastAsia" w:ascii="仿宋" w:hAnsi="仿宋" w:eastAsia="仿宋"/>
          <w:b w:val="0"/>
          <w:bCs w:val="0"/>
        </w:rPr>
        <w:t>般公共预算财政拨款“三公”经费支出决算表</w:t>
      </w:r>
      <w:bookmarkEnd w:id="67"/>
    </w:p>
    <w:p>
      <w:pPr>
        <w:numPr>
          <w:numId w:val="0"/>
        </w:numPr>
        <w:ind w:leftChars="0"/>
        <w:rPr>
          <w:rFonts w:hint="eastAsia" w:eastAsia="宋体"/>
          <w:lang w:eastAsia="zh-CN"/>
        </w:rPr>
      </w:pPr>
      <w:r>
        <w:rPr>
          <w:rFonts w:hint="eastAsia" w:eastAsia="宋体"/>
          <w:lang w:eastAsia="zh-CN"/>
        </w:rPr>
        <w:drawing>
          <wp:inline distT="0" distB="0" distL="114300" distR="114300">
            <wp:extent cx="5269230" cy="904875"/>
            <wp:effectExtent l="0" t="0" r="7620" b="9525"/>
            <wp:docPr id="32" name="图片 32" descr="0X$K]`IP215]G9QJA{F1ZH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0X$K]`IP215]G9QJA{F1ZH8"/>
                    <pic:cNvPicPr>
                      <a:picLocks noChangeAspect="1"/>
                    </pic:cNvPicPr>
                  </pic:nvPicPr>
                  <pic:blipFill>
                    <a:blip r:embed="rId33"/>
                    <a:stretch>
                      <a:fillRect/>
                    </a:stretch>
                  </pic:blipFill>
                  <pic:spPr>
                    <a:xfrm>
                      <a:off x="0" y="0"/>
                      <a:ext cx="5269230" cy="904875"/>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8" w:name="_Toc15396629"/>
      <w:r>
        <w:rPr>
          <w:rFonts w:hint="eastAsia" w:ascii="仿宋" w:hAnsi="仿宋" w:eastAsia="仿宋"/>
          <w:b w:val="0"/>
        </w:rPr>
        <w:t>政</w:t>
      </w:r>
      <w:r>
        <w:rPr>
          <w:rStyle w:val="25"/>
          <w:rFonts w:hint="eastAsia" w:ascii="仿宋" w:hAnsi="仿宋" w:eastAsia="仿宋"/>
          <w:b w:val="0"/>
          <w:bCs w:val="0"/>
        </w:rPr>
        <w:t>府性基金预算财政拨款收入支出决算表</w:t>
      </w:r>
      <w:bookmarkEnd w:id="68"/>
    </w:p>
    <w:p>
      <w:pPr>
        <w:numPr>
          <w:numId w:val="0"/>
        </w:numPr>
        <w:ind w:leftChars="0"/>
        <w:rPr>
          <w:rFonts w:hint="eastAsia" w:eastAsia="宋体"/>
          <w:lang w:eastAsia="zh-CN"/>
        </w:rPr>
      </w:pPr>
      <w:r>
        <w:rPr>
          <w:rFonts w:hint="eastAsia" w:eastAsia="宋体"/>
          <w:lang w:eastAsia="zh-CN"/>
        </w:rPr>
        <w:drawing>
          <wp:inline distT="0" distB="0" distL="114300" distR="114300">
            <wp:extent cx="5266690" cy="1403985"/>
            <wp:effectExtent l="0" t="0" r="10160" b="5715"/>
            <wp:docPr id="33" name="图片 33" descr="1%279XS@VMB)%@GK)ACT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279XS@VMB)%@GK)ACTT(8"/>
                    <pic:cNvPicPr>
                      <a:picLocks noChangeAspect="1"/>
                    </pic:cNvPicPr>
                  </pic:nvPicPr>
                  <pic:blipFill>
                    <a:blip r:embed="rId34"/>
                    <a:stretch>
                      <a:fillRect/>
                    </a:stretch>
                  </pic:blipFill>
                  <pic:spPr>
                    <a:xfrm>
                      <a:off x="0" y="0"/>
                      <a:ext cx="5266690" cy="1403985"/>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69" w:name="_Toc15396630"/>
      <w:r>
        <w:rPr>
          <w:rFonts w:hint="eastAsia" w:ascii="仿宋" w:hAnsi="仿宋" w:eastAsia="仿宋"/>
          <w:b w:val="0"/>
        </w:rPr>
        <w:t>政</w:t>
      </w:r>
      <w:r>
        <w:rPr>
          <w:rStyle w:val="25"/>
          <w:rFonts w:hint="eastAsia" w:ascii="仿宋" w:hAnsi="仿宋" w:eastAsia="仿宋"/>
          <w:b w:val="0"/>
          <w:bCs w:val="0"/>
        </w:rPr>
        <w:t>府性基金预算财政拨款“三公”经费支出决算表</w:t>
      </w:r>
      <w:bookmarkEnd w:id="69"/>
    </w:p>
    <w:p>
      <w:pPr>
        <w:numPr>
          <w:numId w:val="0"/>
        </w:numPr>
        <w:ind w:leftChars="0"/>
        <w:rPr>
          <w:rFonts w:hint="eastAsia" w:eastAsia="宋体"/>
          <w:lang w:eastAsia="zh-CN"/>
        </w:rPr>
      </w:pPr>
      <w:r>
        <w:rPr>
          <w:rFonts w:hint="eastAsia" w:eastAsia="宋体"/>
          <w:lang w:eastAsia="zh-CN"/>
        </w:rPr>
        <w:drawing>
          <wp:inline distT="0" distB="0" distL="114300" distR="114300">
            <wp:extent cx="5269230" cy="904875"/>
            <wp:effectExtent l="0" t="0" r="7620" b="9525"/>
            <wp:docPr id="34" name="图片 34" descr="0X$K]`IP215]G9QJA{F1ZH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0X$K]`IP215]G9QJA{F1ZH8"/>
                    <pic:cNvPicPr>
                      <a:picLocks noChangeAspect="1"/>
                    </pic:cNvPicPr>
                  </pic:nvPicPr>
                  <pic:blipFill>
                    <a:blip r:embed="rId33"/>
                    <a:stretch>
                      <a:fillRect/>
                    </a:stretch>
                  </pic:blipFill>
                  <pic:spPr>
                    <a:xfrm>
                      <a:off x="0" y="0"/>
                      <a:ext cx="5269230" cy="904875"/>
                    </a:xfrm>
                    <a:prstGeom prst="rect">
                      <a:avLst/>
                    </a:prstGeom>
                  </pic:spPr>
                </pic:pic>
              </a:graphicData>
            </a:graphic>
          </wp:inline>
        </w:drawing>
      </w:r>
    </w:p>
    <w:p>
      <w:pPr>
        <w:pStyle w:val="4"/>
        <w:numPr>
          <w:ilvl w:val="0"/>
          <w:numId w:val="1"/>
        </w:numPr>
        <w:ind w:left="0" w:leftChars="0" w:firstLine="0" w:firstLineChars="0"/>
        <w:rPr>
          <w:rStyle w:val="25"/>
          <w:rFonts w:hint="eastAsia" w:ascii="仿宋" w:hAnsi="仿宋" w:eastAsia="仿宋"/>
          <w:b w:val="0"/>
          <w:bCs w:val="0"/>
        </w:rPr>
      </w:pPr>
      <w:bookmarkStart w:id="70" w:name="_Toc15396631"/>
      <w:r>
        <w:rPr>
          <w:rFonts w:hint="eastAsia" w:ascii="仿宋" w:hAnsi="仿宋" w:eastAsia="仿宋"/>
          <w:b w:val="0"/>
        </w:rPr>
        <w:t>国</w:t>
      </w:r>
      <w:r>
        <w:rPr>
          <w:rStyle w:val="25"/>
          <w:rFonts w:hint="eastAsia" w:ascii="仿宋" w:hAnsi="仿宋" w:eastAsia="仿宋"/>
          <w:b w:val="0"/>
          <w:bCs w:val="0"/>
        </w:rPr>
        <w:t>有资本经营预算财政拨款收入支出决算表</w:t>
      </w:r>
      <w:bookmarkEnd w:id="70"/>
    </w:p>
    <w:p>
      <w:pPr>
        <w:numPr>
          <w:numId w:val="0"/>
        </w:numPr>
        <w:ind w:leftChars="0"/>
        <w:rPr>
          <w:rFonts w:hint="eastAsia" w:eastAsia="宋体"/>
          <w:lang w:eastAsia="zh-CN"/>
        </w:rPr>
      </w:pPr>
      <w:r>
        <w:rPr>
          <w:rFonts w:hint="eastAsia" w:eastAsia="宋体"/>
          <w:lang w:eastAsia="zh-CN"/>
        </w:rPr>
        <w:drawing>
          <wp:inline distT="0" distB="0" distL="114300" distR="114300">
            <wp:extent cx="5267325" cy="1950720"/>
            <wp:effectExtent l="0" t="0" r="9525" b="11430"/>
            <wp:docPr id="35" name="图片 35" descr="7U[Q64T0W4N%4ONKUP}[O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7U[Q64T0W4N%4ONKUP}[O0C"/>
                    <pic:cNvPicPr>
                      <a:picLocks noChangeAspect="1"/>
                    </pic:cNvPicPr>
                  </pic:nvPicPr>
                  <pic:blipFill>
                    <a:blip r:embed="rId35"/>
                    <a:stretch>
                      <a:fillRect/>
                    </a:stretch>
                  </pic:blipFill>
                  <pic:spPr>
                    <a:xfrm>
                      <a:off x="0" y="0"/>
                      <a:ext cx="5267325" cy="1950720"/>
                    </a:xfrm>
                    <a:prstGeom prst="rect">
                      <a:avLst/>
                    </a:prstGeom>
                  </pic:spPr>
                </pic:pic>
              </a:graphicData>
            </a:graphic>
          </wp:inline>
        </w:drawing>
      </w:r>
    </w:p>
    <w:p>
      <w:pPr>
        <w:pStyle w:val="2"/>
        <w:rPr>
          <w:rFonts w:hint="eastAsia"/>
          <w:lang w:eastAsia="zh-CN"/>
        </w:rPr>
      </w:pPr>
    </w:p>
    <w:p>
      <w:pPr>
        <w:numPr>
          <w:ilvl w:val="0"/>
          <w:numId w:val="1"/>
        </w:numPr>
        <w:ind w:left="0" w:leftChars="0" w:firstLine="0" w:firstLineChars="0"/>
        <w:rPr>
          <w:rStyle w:val="25"/>
          <w:rFonts w:hint="eastAsia" w:ascii="仿宋" w:hAnsi="仿宋" w:eastAsia="仿宋"/>
          <w:b w:val="0"/>
          <w:bCs w:val="0"/>
        </w:rPr>
      </w:pPr>
      <w:r>
        <w:rPr>
          <w:rStyle w:val="25"/>
          <w:rFonts w:hint="eastAsia" w:ascii="仿宋" w:hAnsi="仿宋" w:eastAsia="仿宋"/>
          <w:b w:val="0"/>
          <w:bCs w:val="0"/>
        </w:rPr>
        <w:t>国有资本经营预算财政拨款支出决算表</w:t>
      </w:r>
    </w:p>
    <w:p>
      <w:pPr>
        <w:pStyle w:val="2"/>
        <w:numPr>
          <w:numId w:val="0"/>
        </w:numPr>
        <w:ind w:leftChars="0"/>
        <w:rPr>
          <w:rFonts w:hint="default"/>
          <w:lang w:val="en-US" w:eastAsia="zh-CN"/>
        </w:rPr>
      </w:pPr>
      <w:r>
        <w:rPr>
          <w:rFonts w:hint="default"/>
          <w:lang w:val="en-US" w:eastAsia="zh-CN"/>
        </w:rPr>
        <w:drawing>
          <wp:inline distT="0" distB="0" distL="114300" distR="114300">
            <wp:extent cx="5267960" cy="2286635"/>
            <wp:effectExtent l="0" t="0" r="8890" b="18415"/>
            <wp:docPr id="36" name="图片 36" descr="Y@NK$$1H8({CGWGS$UCN4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Y@NK$$1H8({CGWGS$UCN41F"/>
                    <pic:cNvPicPr>
                      <a:picLocks noChangeAspect="1"/>
                    </pic:cNvPicPr>
                  </pic:nvPicPr>
                  <pic:blipFill>
                    <a:blip r:embed="rId36"/>
                    <a:stretch>
                      <a:fillRect/>
                    </a:stretch>
                  </pic:blipFill>
                  <pic:spPr>
                    <a:xfrm>
                      <a:off x="0" y="0"/>
                      <a:ext cx="5267960" cy="2286635"/>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22890F"/>
    <w:multiLevelType w:val="singleLevel"/>
    <w:tmpl w:val="C022890F"/>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F83E881"/>
    <w:multiLevelType w:val="singleLevel"/>
    <w:tmpl w:val="5F83E881"/>
    <w:lvl w:ilvl="0" w:tentative="0">
      <w:start w:val="1"/>
      <w:numFmt w:val="decimal"/>
      <w:suff w:val="nothing"/>
      <w:lvlText w:val="%1."/>
      <w:lvlJc w:val="left"/>
      <w:pPr>
        <w:ind w:left="0" w:firstLine="0"/>
      </w:pPr>
    </w:lvl>
  </w:abstractNum>
  <w:num w:numId="1">
    <w:abstractNumId w:val="0"/>
  </w:num>
  <w:num w:numId="2">
    <w:abstractNumId w:val="3"/>
  </w:num>
  <w:num w:numId="3">
    <w:abstractNumId w:val="4"/>
    <w:lvlOverride w:ilvl="0">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M5YzFjYzBjZjc1ZjM0ZmIyNTNmYWYyMTg4NzE2ZTc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7821AEF"/>
    <w:rsid w:val="0795651D"/>
    <w:rsid w:val="0A2032A3"/>
    <w:rsid w:val="0B8A37D8"/>
    <w:rsid w:val="10C055FF"/>
    <w:rsid w:val="118107EC"/>
    <w:rsid w:val="11DD6519"/>
    <w:rsid w:val="16BB723D"/>
    <w:rsid w:val="18015F3F"/>
    <w:rsid w:val="1BE8440E"/>
    <w:rsid w:val="1CD50CEC"/>
    <w:rsid w:val="1D155CEE"/>
    <w:rsid w:val="20F57F95"/>
    <w:rsid w:val="240371BF"/>
    <w:rsid w:val="25C741E6"/>
    <w:rsid w:val="27842671"/>
    <w:rsid w:val="29FD04D3"/>
    <w:rsid w:val="2ABE7A3E"/>
    <w:rsid w:val="2EFA178C"/>
    <w:rsid w:val="30B46D73"/>
    <w:rsid w:val="319F7F4E"/>
    <w:rsid w:val="3229106A"/>
    <w:rsid w:val="32374CB8"/>
    <w:rsid w:val="37564120"/>
    <w:rsid w:val="39AE70AB"/>
    <w:rsid w:val="3C0C0783"/>
    <w:rsid w:val="3C134B0E"/>
    <w:rsid w:val="3F9F3A96"/>
    <w:rsid w:val="493C27E9"/>
    <w:rsid w:val="496F39ED"/>
    <w:rsid w:val="49FF41D3"/>
    <w:rsid w:val="4BE068DB"/>
    <w:rsid w:val="4BF6002B"/>
    <w:rsid w:val="4ECE2238"/>
    <w:rsid w:val="51DB4B86"/>
    <w:rsid w:val="55333C3E"/>
    <w:rsid w:val="55923765"/>
    <w:rsid w:val="5A371B46"/>
    <w:rsid w:val="5ED40292"/>
    <w:rsid w:val="64CA39A1"/>
    <w:rsid w:val="6C4A05C8"/>
    <w:rsid w:val="72734D90"/>
    <w:rsid w:val="788B752E"/>
    <w:rsid w:val="79E7B28D"/>
    <w:rsid w:val="7DDC4857"/>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image" Target="media/image1.png"/><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3398;&#26657;&#12289;&#26041;&#26696;&#12289;&#35843;&#20837;&#26679;&#34920;\&#20915;&#31639;\2021&#24180;&#20915;&#31639;&#20844;&#24320;\2021&#24180;&#20915;&#31639;\&#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rgbClr val="C0504D"/>
              </a:solidFill>
              <a:ln w="25400" cap="flat" cmpd="sng" algn="ctr">
                <a:solidFill>
                  <a:srgbClr val="8C3836">
                    <a:shade val="50000"/>
                  </a:srgb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625.05</c:v>
                </c:pt>
                <c:pt idx="1">
                  <c:v>651.36</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73265920"/>
        <c:crosses val="autoZero"/>
        <c:crossBetween val="between"/>
      </c:valAx>
      <c:spPr>
        <a:gradFill rotWithShape="1">
          <a:gsLst>
            <a:gs pos="0">
              <a:srgbClr val="BCBCBC">
                <a:tint val="50000"/>
                <a:satMod val="300000"/>
              </a:srgbClr>
            </a:gs>
            <a:gs pos="35000">
              <a:srgbClr val="D0D0D0">
                <a:tint val="37000"/>
                <a:satMod val="300000"/>
              </a:srgbClr>
            </a:gs>
            <a:gs pos="100000">
              <a:srgbClr val="EDEDED">
                <a:tint val="15000"/>
                <a:satMod val="350000"/>
              </a:srgbClr>
            </a:gs>
          </a:gsLst>
          <a:lin ang="16200000" scaled="1"/>
        </a:gradFill>
        <a:ln w="9525" cap="flat" cmpd="sng" algn="ctr">
          <a:solidFill>
            <a:srgbClr val="000000">
              <a:shade val="95000"/>
              <a:satMod val="105000"/>
            </a:srgb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24852767962309"/>
          <c:y val="0.0234604105571848"/>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基本支出595.39万元</c:v>
                </c:pt>
                <c:pt idx="1">
                  <c:v>项目支出45.98万元</c:v>
                </c:pt>
              </c:strCache>
            </c:strRef>
          </c:cat>
          <c:val>
            <c:numRef>
              <c:f>'[附件4：2021年决算公开附图(模板)仅供参考.xlsx]支出决算结构图3'!$B$10:$B$11</c:f>
              <c:numCache>
                <c:formatCode>0.00%</c:formatCode>
                <c:ptCount val="2"/>
                <c:pt idx="0">
                  <c:v>0.780213</c:v>
                </c:pt>
                <c:pt idx="1">
                  <c:v>0.219186</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rgbClr val="9B2D2A">
                      <a:shade val="51000"/>
                      <a:satMod val="130000"/>
                    </a:srgbClr>
                  </a:gs>
                  <a:gs pos="80000">
                    <a:srgbClr val="CB3D3A">
                      <a:shade val="93000"/>
                      <a:satMod val="130000"/>
                    </a:srgbClr>
                  </a:gs>
                  <a:gs pos="100000">
                    <a:srgbClr val="CE3B37">
                      <a:shade val="94000"/>
                      <a:satMod val="135000"/>
                    </a:srgbClr>
                  </a:gs>
                </a:gsLst>
                <a:lin ang="16200000" scaled="0"/>
              </a:gradFill>
              <a:ln w="9525" cap="flat" cmpd="sng" algn="ctr">
                <a:solidFill>
                  <a:srgbClr val="BE4B48">
                    <a:shade val="95000"/>
                    <a:satMod val="105000"/>
                  </a:srgb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641.37</c:v>
                </c:pt>
                <c:pt idx="1">
                  <c:v>632.87</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91223168"/>
        <c:crosses val="autoZero"/>
        <c:crossBetween val="between"/>
      </c:valAx>
      <c:spPr>
        <a:gradFill rotWithShape="1">
          <a:gsLst>
            <a:gs pos="0">
              <a:srgbClr val="BCBCBC">
                <a:tint val="50000"/>
                <a:satMod val="300000"/>
              </a:srgbClr>
            </a:gs>
            <a:gs pos="35000">
              <a:srgbClr val="D0D0D0">
                <a:tint val="37000"/>
                <a:satMod val="300000"/>
              </a:srgbClr>
            </a:gs>
            <a:gs pos="100000">
              <a:srgbClr val="EDEDED">
                <a:tint val="15000"/>
                <a:satMod val="350000"/>
              </a:srgbClr>
            </a:gs>
          </a:gsLst>
          <a:lin ang="16200000" scaled="1"/>
        </a:gradFill>
        <a:ln w="9525" cap="flat" cmpd="sng" algn="ctr">
          <a:solidFill>
            <a:srgbClr val="000000">
              <a:shade val="95000"/>
              <a:satMod val="105000"/>
            </a:srgb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'[附件4：2021年决算公开附图(模板)仅供参考.xlsx]一般公共预算财政拨款支出决算变动图5'!$C$4</c:f>
              <c:strCache>
                <c:ptCount val="1"/>
                <c:pt idx="0">
                  <c:v>金额</c:v>
                </c:pt>
              </c:strCache>
            </c:strRef>
          </c:tx>
          <c:invertIfNegative val="0"/>
          <c:dPt>
            <c:idx val="1"/>
            <c:invertIfNegative val="0"/>
            <c:bubble3D val="0"/>
            <c:spPr>
              <a:gradFill rotWithShape="1">
                <a:gsLst>
                  <a:gs pos="0">
                    <a:srgbClr val="9B2D2A">
                      <a:shade val="51000"/>
                      <a:satMod val="130000"/>
                    </a:srgbClr>
                  </a:gs>
                  <a:gs pos="80000">
                    <a:srgbClr val="CB3D3A">
                      <a:shade val="93000"/>
                      <a:satMod val="130000"/>
                    </a:srgbClr>
                  </a:gs>
                  <a:gs pos="100000">
                    <a:srgbClr val="CE3B37">
                      <a:shade val="94000"/>
                      <a:satMod val="135000"/>
                    </a:srgbClr>
                  </a:gs>
                </a:gsLst>
                <a:lin ang="16200000" scaled="0"/>
              </a:gradFill>
              <a:ln w="9525" cap="flat" cmpd="sng" algn="ctr">
                <a:solidFill>
                  <a:srgbClr val="BE4B48">
                    <a:shade val="95000"/>
                    <a:satMod val="105000"/>
                  </a:srgb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'[附件4：2021年决算公开附图(模板)仅供参考.xlsx]一般公共预算财政拨款支出决算变动图5'!$B$5:$B$6</c:f>
              <c:strCache>
                <c:ptCount val="2"/>
                <c:pt idx="0">
                  <c:v>2021年</c:v>
                </c:pt>
                <c:pt idx="1">
                  <c:v>2020年</c:v>
                </c:pt>
              </c:strCache>
            </c:strRef>
          </c:cat>
          <c:val>
            <c:numRef>
              <c:f>'[附件4：2021年决算公开附图(模板)仅供参考.xlsx]一般公共预算财政拨款支出决算变动图5'!$C$5:$C$6</c:f>
              <c:numCache>
                <c:formatCode>#,##0.00</c:formatCode>
                <c:ptCount val="2"/>
                <c:pt idx="0">
                  <c:v>641.37</c:v>
                </c:pt>
                <c:pt idx="1">
                  <c:v>632.87</c:v>
                </c:pt>
              </c:numCache>
            </c:numRef>
          </c:val>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91268224"/>
        <c:crosses val="autoZero"/>
        <c:auto val="1"/>
        <c:lblAlgn val="ctr"/>
        <c:lblOffset val="100"/>
        <c:noMultiLvlLbl val="0"/>
      </c:catAx>
      <c:valAx>
        <c:axId val="9126822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91241856"/>
        <c:crosses val="autoZero"/>
        <c:crossBetween val="between"/>
      </c:valAx>
      <c:spPr>
        <a:gradFill rotWithShape="1">
          <a:gsLst>
            <a:gs pos="0">
              <a:srgbClr val="BCBCBC">
                <a:tint val="50000"/>
                <a:satMod val="300000"/>
              </a:srgbClr>
            </a:gs>
            <a:gs pos="35000">
              <a:srgbClr val="D0D0D0">
                <a:tint val="37000"/>
                <a:satMod val="300000"/>
              </a:srgbClr>
            </a:gs>
            <a:gs pos="100000">
              <a:srgbClr val="EDEDED">
                <a:tint val="15000"/>
                <a:satMod val="350000"/>
              </a:srgbClr>
            </a:gs>
          </a:gsLst>
          <a:lin ang="16200000" scaled="1"/>
        </a:gradFill>
        <a:ln w="9525" cap="flat" cmpd="sng" algn="ctr">
          <a:solidFill>
            <a:srgbClr val="000000">
              <a:shade val="95000"/>
              <a:satMod val="105000"/>
            </a:srgb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'[附件4：2021年决算公开附图(模板)仅供参考.xlsx]一般公共预算财政拨款支出决算结构图6'!$C$18</c:f>
              <c:strCache>
                <c:ptCount val="1"/>
                <c:pt idx="0">
                  <c:v>占比</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5"/>
              <c:layout>
                <c:manualLayout>
                  <c:x val="0.0569634882148239"/>
                  <c:y val="-0.02318275188091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305024618798017"/>
                  <c:y val="0.11904548564533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'[附件4：2021年决算公开附图(模板)仅供参考.xlsx]一般公共预算财政拨款支出决算结构图6'!$C$19:$C$25</c:f>
              <c:numCache>
                <c:formatCode>General</c:formatCode>
                <c:ptCount val="7"/>
                <c:pt idx="1" c:formatCode="0.00%">
                  <c:v>0.8078</c:v>
                </c:pt>
                <c:pt idx="2" c:formatCode="0.00%">
                  <c:v>2.61387603920544e-5</c:v>
                </c:pt>
                <c:pt idx="3" c:formatCode="0.00%">
                  <c:v>0.1043</c:v>
                </c:pt>
                <c:pt idx="4" c:formatCode="0.00%">
                  <c:v>0.0255</c:v>
                </c:pt>
                <c:pt idx="6" c:formatCode="0.00%">
                  <c:v>0.0624</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'[附件4：2021年决算公开附图(模板)仅供参考.xlsx]“三公”经费财政拨款支出结构图7 '!$B$9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'[附件4：2021年决算公开附图(模板)仅供参考.xlsx]“三公”经费财政拨款支出结构图7 '!$A$10:$A$11</c:f>
              <c:strCache>
                <c:ptCount val="2"/>
                <c:pt idx="0">
                  <c:v>公务用车购置及运行维护费支出0.51万元</c:v>
                </c:pt>
                <c:pt idx="1">
                  <c:v>公务接待费支出1.15万元</c:v>
                </c:pt>
              </c:strCache>
            </c:strRef>
          </c:cat>
          <c:val>
            <c:numRef>
              <c:f>'[附件4：2021年决算公开附图(模板)仅供参考.xlsx]“三公”经费财政拨款支出结构图7 '!$B$10:$B$11</c:f>
              <c:numCache>
                <c:formatCode>0.00%</c:formatCode>
                <c:ptCount val="2"/>
                <c:pt idx="0">
                  <c:v>0.307228915662651</c:v>
                </c:pt>
                <c:pt idx="1">
                  <c:v>0.692771084337349</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spPr>
    <a:gradFill rotWithShape="1">
      <a:gsLst>
        <a:gs pos="0">
          <a:srgbClr val="DAFDA7">
            <a:tint val="50000"/>
            <a:satMod val="300000"/>
          </a:srgbClr>
        </a:gs>
        <a:gs pos="35000">
          <a:srgbClr val="E4FDC2">
            <a:tint val="37000"/>
            <a:satMod val="300000"/>
          </a:srgbClr>
        </a:gs>
        <a:gs pos="100000">
          <a:srgbClr val="F5FFE6">
            <a:tint val="15000"/>
            <a:satMod val="350000"/>
          </a:srgbClr>
        </a:gs>
      </a:gsLst>
      <a:lin ang="16200000" scaled="1"/>
    </a:gradFill>
    <a:ln w="9525" cap="flat" cmpd="sng" algn="ctr">
      <a:solidFill>
        <a:srgbClr val="98B954">
          <a:shade val="95000"/>
          <a:satMod val="105000"/>
        </a:srgbClr>
      </a:solidFill>
      <a:prstDash val="solid"/>
      <a:round/>
    </a:ln>
    <a:effectLst>
      <a:outerShdw blurRad="40000" dist="20000" dir="5400000" rotWithShape="0">
        <a:srgbClr val="000000">
          <a:alpha val="38000"/>
        </a:srgbClr>
      </a:outerShdw>
    </a:effectLst>
  </c:spPr>
  <c:txPr>
    <a:bodyPr/>
    <a:lstStyle/>
    <a:p>
      <a:pPr>
        <a:defRPr lang="zh-CN">
          <a:solidFill>
            <a:srgbClr val="000000"/>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36</Pages>
  <Words>9253</Words>
  <Characters>9901</Characters>
  <Lines>48</Lines>
  <Paragraphs>13</Paragraphs>
  <TotalTime>37</TotalTime>
  <ScaleCrop>false</ScaleCrop>
  <LinksUpToDate>false</LinksUpToDate>
  <CharactersWithSpaces>9949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丽丽</cp:lastModifiedBy>
  <cp:lastPrinted>2022-08-06T02:23:00Z</cp:lastPrinted>
  <dcterms:modified xsi:type="dcterms:W3CDTF">2022-12-06T12:32:18Z</dcterms:modified>
  <dc:title>四川省***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227BB5FED3854F60A236C0C3D6D12652</vt:lpwstr>
  </property>
</Properties>
</file>