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96597"/>
      <w:bookmarkStart w:id="3" w:name="_Toc15377425"/>
      <w:bookmarkStart w:id="4" w:name="_Toc15378441"/>
      <w:bookmarkStart w:id="5" w:name="_Toc15377193"/>
      <w:r>
        <w:rPr>
          <w:rFonts w:hint="eastAsia" w:ascii="方正小标宋简体" w:hAns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7426"/>
      <w:bookmarkStart w:id="7" w:name="_Toc15378442"/>
      <w:bookmarkStart w:id="8" w:name="_Toc15396598"/>
      <w:bookmarkStart w:id="9" w:name="_Toc15396476"/>
      <w:bookmarkStart w:id="10" w:name="_Toc15377194"/>
      <w:r>
        <w:rPr>
          <w:rFonts w:hint="eastAsia" w:ascii="方正小标宋简体" w:hAnsi="方正小标宋简体" w:eastAsia="方正小标宋简体" w:cs="方正小标宋简体"/>
          <w:sz w:val="72"/>
          <w:szCs w:val="72"/>
        </w:rPr>
        <w:t>乐山市市中区</w:t>
      </w:r>
      <w:bookmarkEnd w:id="0"/>
      <w:bookmarkStart w:id="11" w:name="_Toc15306268"/>
      <w:r>
        <w:rPr>
          <w:rFonts w:hint="eastAsia" w:ascii="方正小标宋简体" w:hAnsi="方正小标宋简体" w:eastAsia="方正小标宋简体" w:cs="方正小标宋简体"/>
          <w:sz w:val="72"/>
          <w:szCs w:val="72"/>
          <w:lang w:eastAsia="zh-CN"/>
        </w:rPr>
        <w:t>茅桥镇初级中学</w:t>
      </w: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p>
    <w:p>
      <w:pPr>
        <w:widowControl/>
        <w:jc w:val="center"/>
        <w:rPr>
          <w:rFonts w:ascii="黑体" w:hAnsi="黑体" w:eastAsia="黑体"/>
          <w:sz w:val="48"/>
          <w:szCs w:val="48"/>
        </w:rPr>
      </w:pPr>
      <w:bookmarkStart w:id="65" w:name="_GoBack"/>
      <w:bookmarkEnd w:id="65"/>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公开时间：2022年 月 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1"/>
        <w:adjustRightInd w:val="0"/>
        <w:snapToGrid w:val="0"/>
        <w:spacing w:line="440" w:lineRule="exact"/>
        <w:jc w:val="left"/>
        <w:rPr>
          <w:rFonts w:hint="eastAsia" w:eastAsia="宋体"/>
          <w:sz w:val="24"/>
          <w:lang w:val="en-US" w:eastAsia="zh-CN"/>
        </w:rPr>
      </w:pPr>
      <w:r>
        <w:rPr>
          <w:rFonts w:hint="eastAsia"/>
          <w:sz w:val="24"/>
        </w:rPr>
        <w:t xml:space="preserve">一、职能简介 </w:t>
      </w:r>
      <w:r>
        <w:rPr>
          <w:rFonts w:hint="eastAsia" w:ascii="宋体" w:hAnsi="宋体" w:cs="宋体"/>
          <w:sz w:val="24"/>
        </w:rPr>
        <w:t>……………………………………………………………………</w:t>
      </w:r>
      <w:r>
        <w:rPr>
          <w:rFonts w:hint="eastAsia" w:ascii="宋体" w:hAnsi="宋体" w:cs="宋体"/>
          <w:sz w:val="24"/>
          <w:lang w:val="en-US" w:eastAsia="zh-CN"/>
        </w:rPr>
        <w:t>4</w:t>
      </w:r>
    </w:p>
    <w:p>
      <w:pPr>
        <w:pStyle w:val="11"/>
        <w:adjustRightInd w:val="0"/>
        <w:snapToGrid w:val="0"/>
        <w:spacing w:line="440" w:lineRule="exact"/>
        <w:jc w:val="left"/>
        <w:rPr>
          <w:rFonts w:hint="eastAsia"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w:t>
      </w:r>
      <w:r>
        <w:rPr>
          <w:rFonts w:hint="eastAsia" w:ascii="宋体" w:hAnsi="宋体" w:cs="宋体"/>
          <w:sz w:val="24"/>
          <w:lang w:val="en-US" w:eastAsia="zh-CN"/>
        </w:rPr>
        <w:t>4</w:t>
      </w:r>
    </w:p>
    <w:p>
      <w:pPr>
        <w:pStyle w:val="10"/>
        <w:adjustRightInd w:val="0"/>
        <w:snapToGrid w:val="0"/>
        <w:spacing w:before="0" w:line="440" w:lineRule="exact"/>
        <w:jc w:val="left"/>
        <w:rPr>
          <w:rFonts w:hint="eastAsia" w:eastAsia="仿宋"/>
          <w:sz w:val="24"/>
          <w:szCs w:val="24"/>
          <w:lang w:val="en-US" w:eastAsia="zh-CN"/>
        </w:rPr>
      </w:pPr>
      <w:r>
        <w:rPr>
          <w:rFonts w:hint="eastAsia"/>
          <w:sz w:val="24"/>
        </w:rPr>
        <w:t>第二部分 2021年度单位决算情况说明</w:t>
      </w:r>
      <w:r>
        <w:rPr>
          <w:rFonts w:hint="eastAsia" w:ascii="宋体" w:hAnsi="宋体" w:cs="宋体"/>
          <w:sz w:val="24"/>
        </w:rPr>
        <w:t>……………………………………………</w:t>
      </w:r>
      <w:r>
        <w:rPr>
          <w:rFonts w:hint="eastAsia" w:ascii="宋体" w:hAnsi="宋体" w:cs="宋体"/>
          <w:sz w:val="24"/>
          <w:lang w:val="en-US" w:eastAsia="zh-CN"/>
        </w:rPr>
        <w:t>6</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一、收入支出决算总体情况说明</w:t>
      </w:r>
      <w:r>
        <w:rPr>
          <w:rFonts w:hint="eastAsia" w:ascii="宋体" w:hAnsi="宋体" w:cs="宋体"/>
          <w:sz w:val="24"/>
        </w:rPr>
        <w:t>………………………………………………</w:t>
      </w:r>
      <w:r>
        <w:rPr>
          <w:rFonts w:hint="eastAsia" w:ascii="宋体" w:hAnsi="宋体" w:cs="宋体"/>
          <w:sz w:val="24"/>
          <w:lang w:val="en-US" w:eastAsia="zh-CN"/>
        </w:rPr>
        <w:t>6</w:t>
      </w:r>
    </w:p>
    <w:p>
      <w:pPr>
        <w:pStyle w:val="11"/>
        <w:adjustRightInd w:val="0"/>
        <w:snapToGrid w:val="0"/>
        <w:spacing w:line="440" w:lineRule="exact"/>
        <w:jc w:val="left"/>
        <w:rPr>
          <w:rFonts w:hint="default" w:ascii="仿宋" w:hAnsi="仿宋" w:eastAsia="仿宋" w:cstheme="minorBidi"/>
          <w:sz w:val="24"/>
        </w:rPr>
      </w:pPr>
      <w:r>
        <w:rPr>
          <w:rFonts w:hint="eastAsia"/>
          <w:sz w:val="24"/>
        </w:rPr>
        <w:t>二、收入决算情况说明</w:t>
      </w:r>
      <w:r>
        <w:rPr>
          <w:rFonts w:hint="eastAsia" w:ascii="宋体" w:hAnsi="宋体" w:cs="宋体"/>
          <w:sz w:val="24"/>
        </w:rPr>
        <w:t>…………………………………………………………</w:t>
      </w:r>
      <w:r>
        <w:rPr>
          <w:rFonts w:hint="default" w:ascii="宋体" w:hAnsi="宋体" w:cs="宋体"/>
          <w:sz w:val="24"/>
        </w:rPr>
        <w:t>7</w:t>
      </w:r>
    </w:p>
    <w:p>
      <w:pPr>
        <w:pStyle w:val="11"/>
        <w:adjustRightInd w:val="0"/>
        <w:snapToGrid w:val="0"/>
        <w:spacing w:line="440" w:lineRule="exact"/>
        <w:jc w:val="left"/>
        <w:rPr>
          <w:rFonts w:hint="default" w:ascii="仿宋" w:hAnsi="仿宋" w:eastAsia="仿宋" w:cstheme="minorBidi"/>
          <w:sz w:val="24"/>
        </w:rPr>
      </w:pPr>
      <w:r>
        <w:rPr>
          <w:rFonts w:hint="eastAsia"/>
          <w:sz w:val="24"/>
        </w:rPr>
        <w:t>三、支出决算情况说明</w:t>
      </w:r>
      <w:r>
        <w:rPr>
          <w:rFonts w:hint="eastAsia" w:ascii="宋体" w:hAnsi="宋体" w:cs="宋体"/>
          <w:sz w:val="24"/>
        </w:rPr>
        <w:t>…………………………………………………………</w:t>
      </w:r>
      <w:r>
        <w:rPr>
          <w:rFonts w:hint="default" w:ascii="宋体" w:hAnsi="宋体" w:cs="宋体"/>
          <w:sz w:val="24"/>
        </w:rPr>
        <w:t>7</w:t>
      </w:r>
    </w:p>
    <w:p>
      <w:pPr>
        <w:pStyle w:val="11"/>
        <w:adjustRightInd w:val="0"/>
        <w:snapToGrid w:val="0"/>
        <w:spacing w:line="440" w:lineRule="exact"/>
        <w:jc w:val="left"/>
        <w:rPr>
          <w:rFonts w:hint="default" w:ascii="仿宋" w:hAnsi="仿宋" w:eastAsia="仿宋" w:cstheme="minorBidi"/>
          <w:sz w:val="24"/>
        </w:rPr>
      </w:pPr>
      <w:r>
        <w:rPr>
          <w:rFonts w:hint="eastAsia"/>
          <w:sz w:val="24"/>
        </w:rPr>
        <w:t>四、财政拨款收入支出决算总体情况说明</w:t>
      </w:r>
      <w:r>
        <w:rPr>
          <w:rFonts w:hint="eastAsia" w:ascii="宋体" w:hAnsi="宋体" w:cs="宋体"/>
          <w:sz w:val="24"/>
        </w:rPr>
        <w:t>……………………………………</w:t>
      </w:r>
      <w:r>
        <w:rPr>
          <w:rFonts w:hint="default" w:ascii="宋体" w:hAnsi="宋体" w:cs="宋体"/>
          <w:sz w:val="24"/>
        </w:rPr>
        <w:t>8</w:t>
      </w:r>
    </w:p>
    <w:p>
      <w:pPr>
        <w:pStyle w:val="11"/>
        <w:adjustRightInd w:val="0"/>
        <w:snapToGrid w:val="0"/>
        <w:spacing w:line="440" w:lineRule="exact"/>
        <w:jc w:val="left"/>
        <w:rPr>
          <w:rFonts w:hint="default" w:ascii="仿宋" w:hAnsi="仿宋" w:eastAsia="仿宋" w:cstheme="minorBidi"/>
          <w:sz w:val="24"/>
        </w:rPr>
      </w:pPr>
      <w:r>
        <w:rPr>
          <w:rFonts w:hint="eastAsia"/>
          <w:sz w:val="24"/>
        </w:rPr>
        <w:t>五、一般公共预算财政拨款支出决算情况说明</w:t>
      </w:r>
      <w:r>
        <w:rPr>
          <w:rFonts w:hint="eastAsia" w:ascii="宋体" w:hAnsi="宋体" w:cs="宋体"/>
          <w:sz w:val="24"/>
        </w:rPr>
        <w:t>………………………………</w:t>
      </w:r>
      <w:r>
        <w:rPr>
          <w:rFonts w:hint="default" w:ascii="宋体" w:hAnsi="宋体" w:cs="宋体"/>
          <w:sz w:val="24"/>
        </w:rPr>
        <w:t>9</w:t>
      </w:r>
    </w:p>
    <w:p>
      <w:pPr>
        <w:pStyle w:val="11"/>
        <w:adjustRightInd w:val="0"/>
        <w:snapToGrid w:val="0"/>
        <w:spacing w:line="440" w:lineRule="exact"/>
        <w:jc w:val="left"/>
        <w:rPr>
          <w:rFonts w:hint="default" w:ascii="仿宋" w:hAnsi="仿宋" w:eastAsia="仿宋" w:cstheme="minorBidi"/>
          <w:sz w:val="24"/>
        </w:rPr>
      </w:pPr>
      <w:r>
        <w:rPr>
          <w:rFonts w:hint="eastAsia"/>
          <w:sz w:val="24"/>
        </w:rPr>
        <w:t>六、一般公共预算财政拨款基本支出决算情况说明</w:t>
      </w:r>
      <w:r>
        <w:rPr>
          <w:rFonts w:hint="eastAsia" w:ascii="宋体" w:hAnsi="宋体" w:cs="宋体"/>
          <w:sz w:val="24"/>
        </w:rPr>
        <w:t>…………………………</w:t>
      </w:r>
      <w:r>
        <w:rPr>
          <w:rFonts w:hint="default" w:ascii="宋体" w:hAnsi="宋体" w:cs="宋体"/>
          <w:sz w:val="24"/>
        </w:rPr>
        <w:t>11</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 xml:space="preserve">七、“三公”经费财政拨款支出决算情况说明 </w:t>
      </w:r>
      <w:r>
        <w:rPr>
          <w:rFonts w:hint="eastAsia" w:ascii="宋体" w:hAnsi="宋体" w:cs="宋体"/>
          <w:sz w:val="24"/>
        </w:rPr>
        <w:t>……………………………</w:t>
      </w:r>
      <w:r>
        <w:rPr>
          <w:rFonts w:hint="eastAsia" w:ascii="宋体" w:hAnsi="宋体" w:cs="宋体"/>
          <w:sz w:val="24"/>
          <w:lang w:val="en-US" w:eastAsia="zh-CN"/>
        </w:rPr>
        <w:t xml:space="preserve"> 12</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 xml:space="preserve">八、政府性基金预算支出决算情况说明 </w:t>
      </w:r>
      <w:r>
        <w:rPr>
          <w:rFonts w:hint="eastAsia" w:ascii="宋体" w:hAnsi="宋体" w:cs="宋体"/>
          <w:sz w:val="24"/>
        </w:rPr>
        <w:t>……………………………………</w:t>
      </w:r>
      <w:r>
        <w:rPr>
          <w:rFonts w:hint="eastAsia" w:ascii="宋体" w:hAnsi="宋体" w:cs="宋体"/>
          <w:sz w:val="24"/>
          <w:lang w:val="en-US" w:eastAsia="zh-CN"/>
        </w:rPr>
        <w:t xml:space="preserve"> 13</w:t>
      </w:r>
    </w:p>
    <w:p>
      <w:pPr>
        <w:pStyle w:val="11"/>
        <w:adjustRightInd w:val="0"/>
        <w:snapToGrid w:val="0"/>
        <w:spacing w:line="440" w:lineRule="exact"/>
        <w:jc w:val="left"/>
        <w:rPr>
          <w:rFonts w:hint="default" w:eastAsia="宋体"/>
          <w:sz w:val="24"/>
          <w:lang w:val="en-US" w:eastAsia="zh-CN"/>
        </w:rPr>
      </w:pPr>
      <w:r>
        <w:rPr>
          <w:rFonts w:hint="eastAsia"/>
          <w:sz w:val="24"/>
        </w:rPr>
        <w:t>九、国有资本经营预算支出决算情况说明</w:t>
      </w:r>
      <w:r>
        <w:rPr>
          <w:rFonts w:hint="eastAsia" w:ascii="宋体" w:hAnsi="宋体" w:cs="宋体"/>
          <w:sz w:val="24"/>
        </w:rPr>
        <w:t>…………………………………</w:t>
      </w:r>
      <w:r>
        <w:rPr>
          <w:rFonts w:hint="eastAsia" w:ascii="宋体" w:hAnsi="宋体" w:cs="宋体"/>
          <w:sz w:val="24"/>
          <w:lang w:val="en-US" w:eastAsia="zh-CN"/>
        </w:rPr>
        <w:t xml:space="preserve"> 14</w:t>
      </w:r>
    </w:p>
    <w:p>
      <w:pPr>
        <w:pStyle w:val="11"/>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ascii="宋体" w:hAnsi="宋体" w:cs="宋体"/>
          <w:sz w:val="24"/>
        </w:rPr>
        <w:t>…………………………………………………</w:t>
      </w:r>
      <w:r>
        <w:rPr>
          <w:rFonts w:hint="eastAsia" w:ascii="宋体" w:hAnsi="宋体" w:cs="宋体"/>
          <w:sz w:val="24"/>
          <w:lang w:val="en-US" w:eastAsia="zh-CN"/>
        </w:rPr>
        <w:t>14</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名词解释</w:t>
      </w:r>
      <w:r>
        <w:rPr>
          <w:rFonts w:hint="eastAsia" w:ascii="宋体" w:hAnsi="宋体" w:cs="宋体"/>
          <w:sz w:val="24"/>
        </w:rPr>
        <w:t>…………………………………………………………………</w:t>
      </w:r>
      <w:r>
        <w:rPr>
          <w:rFonts w:hint="eastAsia" w:ascii="宋体" w:hAnsi="宋体" w:cs="宋体"/>
          <w:sz w:val="24"/>
          <w:lang w:val="en-US" w:eastAsia="zh-CN"/>
        </w:rPr>
        <w:t>15</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w:t>
      </w:r>
      <w:r>
        <w:rPr>
          <w:rFonts w:hint="eastAsia" w:ascii="宋体" w:hAnsi="宋体" w:cs="宋体"/>
          <w:sz w:val="24"/>
          <w:lang w:val="en-US" w:eastAsia="zh-CN"/>
        </w:rPr>
        <w:t xml:space="preserve"> 19</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w:t>
      </w:r>
      <w:r>
        <w:rPr>
          <w:rFonts w:hint="eastAsia" w:ascii="宋体" w:hAnsi="宋体" w:cs="宋体"/>
          <w:sz w:val="24"/>
          <w:lang w:val="en-US" w:eastAsia="zh-CN"/>
        </w:rPr>
        <w:t xml:space="preserve"> 21</w:t>
      </w:r>
    </w:p>
    <w:p>
      <w:pPr>
        <w:pStyle w:val="11"/>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二、收入决算表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四、财政拨款收入支出决算总表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五、财政拨款支出决算明细表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七、一般公共预算财政拨款支出决算明细表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八、一般公共预算财政拨款基本支出决算表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十、一般公共预算财政拨款“三公”经费支出决算表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十一、政府性基金预算财政拨款收入支出决算表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十二、政府性基金预算财政拨款“三公”经费支出决算表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十三、国有资本经营预算财政拨款收入支出决算表</w:t>
      </w:r>
      <w:r>
        <w:rPr>
          <w:rFonts w:hint="eastAsia" w:ascii="宋体" w:hAnsi="宋体" w:cs="宋体"/>
          <w:sz w:val="24"/>
        </w:rPr>
        <w:t>…………………………</w:t>
      </w:r>
      <w:r>
        <w:rPr>
          <w:rFonts w:hint="eastAsia" w:ascii="宋体" w:hAnsi="宋体" w:cs="宋体"/>
          <w:sz w:val="24"/>
          <w:lang w:val="en-US" w:eastAsia="zh-CN"/>
        </w:rPr>
        <w:t>21</w:t>
      </w:r>
    </w:p>
    <w:p>
      <w:pPr>
        <w:pStyle w:val="11"/>
        <w:adjustRightInd w:val="0"/>
        <w:snapToGrid w:val="0"/>
        <w:spacing w:line="440" w:lineRule="exact"/>
        <w:jc w:val="left"/>
        <w:rPr>
          <w:rFonts w:hint="default" w:eastAsia="宋体"/>
          <w:sz w:val="24"/>
          <w:lang w:val="en-US" w:eastAsia="zh-CN"/>
        </w:rPr>
      </w:pPr>
      <w:r>
        <w:rPr>
          <w:rFonts w:hint="eastAsia"/>
          <w:sz w:val="24"/>
        </w:rPr>
        <w:t>十四、国有资本经营预算财政拨款支出决算表</w:t>
      </w:r>
      <w:r>
        <w:rPr>
          <w:rFonts w:hint="eastAsia" w:ascii="宋体" w:hAnsi="宋体" w:cs="宋体"/>
          <w:sz w:val="24"/>
        </w:rPr>
        <w:t>………………………………</w:t>
      </w:r>
      <w:r>
        <w:rPr>
          <w:rFonts w:hint="eastAsia" w:ascii="宋体" w:hAnsi="宋体" w:cs="宋体"/>
          <w:sz w:val="24"/>
          <w:lang w:val="en-US" w:eastAsia="zh-CN"/>
        </w:rPr>
        <w:t>21</w:t>
      </w:r>
    </w:p>
    <w:p>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pPr>
        <w:pStyle w:val="3"/>
        <w:jc w:val="center"/>
        <w:rPr>
          <w:rStyle w:val="24"/>
          <w:rFonts w:ascii="黑体" w:hAnsi="黑体" w:eastAsia="黑体"/>
          <w:b/>
          <w:bCs w:val="0"/>
        </w:rPr>
      </w:pPr>
      <w:r>
        <w:rPr>
          <w:rFonts w:hint="eastAsia" w:ascii="黑体" w:hAnsi="黑体" w:eastAsia="黑体"/>
          <w:b w:val="0"/>
        </w:rPr>
        <w:t>第一部分 单位</w:t>
      </w:r>
      <w:r>
        <w:rPr>
          <w:rStyle w:val="24"/>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25"/>
          <w:rFonts w:hint="eastAsia" w:ascii="黑体" w:hAnsi="黑体" w:eastAsia="黑体"/>
          <w:b w:val="0"/>
          <w:bCs w:val="0"/>
        </w:rPr>
      </w:pPr>
      <w:bookmarkStart w:id="14" w:name="_Toc15377197"/>
      <w:bookmarkStart w:id="15" w:name="_Toc15396600"/>
      <w:r>
        <w:rPr>
          <w:rStyle w:val="25"/>
          <w:rFonts w:hint="eastAsia" w:ascii="黑体" w:hAnsi="黑体" w:eastAsia="黑体"/>
          <w:b w:val="0"/>
          <w:bCs w:val="0"/>
        </w:rPr>
        <w:t>职能简介</w:t>
      </w:r>
    </w:p>
    <w:p>
      <w:pPr>
        <w:pStyle w:val="2"/>
        <w:adjustRightInd w:val="0"/>
        <w:snapToGrid w:val="0"/>
        <w:spacing w:before="93" w:line="600" w:lineRule="exact"/>
        <w:ind w:firstLine="480" w:firstLineChars="200"/>
        <w:outlineLvl w:val="2"/>
        <w:rPr>
          <w:rFonts w:hint="eastAsia" w:ascii="宋体" w:hAnsi="宋体" w:eastAsia="宋体"/>
          <w:bCs/>
          <w:color w:val="000000"/>
          <w:sz w:val="24"/>
          <w:szCs w:val="32"/>
        </w:rPr>
      </w:pPr>
      <w:r>
        <w:rPr>
          <w:rFonts w:hint="eastAsia" w:ascii="宋体" w:hAnsi="宋体" w:eastAsia="宋体"/>
          <w:bCs/>
          <w:color w:val="000000"/>
          <w:sz w:val="24"/>
          <w:szCs w:val="32"/>
        </w:rPr>
        <w:t>乐山市市中区</w:t>
      </w:r>
      <w:r>
        <w:rPr>
          <w:rFonts w:hint="eastAsia" w:ascii="宋体" w:hAnsi="宋体" w:eastAsia="宋体"/>
          <w:bCs/>
          <w:color w:val="000000"/>
          <w:sz w:val="24"/>
          <w:szCs w:val="32"/>
          <w:lang w:eastAsia="zh-CN"/>
        </w:rPr>
        <w:t>茅桥镇初级中学</w:t>
      </w:r>
      <w:r>
        <w:rPr>
          <w:rFonts w:hint="eastAsia" w:ascii="宋体" w:hAnsi="宋体" w:eastAsia="宋体"/>
          <w:bCs/>
          <w:color w:val="000000"/>
          <w:sz w:val="24"/>
          <w:szCs w:val="32"/>
        </w:rPr>
        <w:t>是隶属于乐山市市中区教育局的一级预决算单位，属事业单位。其主要职责：实施中学义务教育，促进基础教育发展</w:t>
      </w:r>
      <w:r>
        <w:rPr>
          <w:rFonts w:hint="eastAsia" w:ascii="宋体" w:hAnsi="宋体" w:eastAsia="宋体"/>
          <w:bCs/>
          <w:color w:val="000000"/>
          <w:sz w:val="24"/>
          <w:szCs w:val="32"/>
          <w:lang w:eastAsia="zh-CN"/>
        </w:rPr>
        <w:t>，</w:t>
      </w:r>
      <w:r>
        <w:rPr>
          <w:rFonts w:hint="eastAsia" w:ascii="宋体" w:hAnsi="宋体" w:eastAsia="宋体"/>
          <w:bCs/>
          <w:color w:val="000000"/>
          <w:sz w:val="24"/>
          <w:szCs w:val="32"/>
        </w:rPr>
        <w:t>中学学历教育。在学校建设和发展的过程中，遵守国家教育法规，以生为本，全面实施素质教育，让每一名学生都得到相应的发展，努力为国家和社会培育合格人才。</w:t>
      </w:r>
    </w:p>
    <w:p>
      <w:pPr>
        <w:numPr>
          <w:ilvl w:val="0"/>
          <w:numId w:val="0"/>
        </w:numPr>
        <w:rPr>
          <w:rFonts w:hint="default" w:eastAsia="宋体"/>
          <w:lang w:val="en-US" w:eastAsia="zh-CN"/>
        </w:rPr>
      </w:pPr>
    </w:p>
    <w:p>
      <w:pPr>
        <w:pStyle w:val="4"/>
        <w:rPr>
          <w:rFonts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我校严格遵守国家法律法规，全面执行党的教育方针，坚持公办教育事业的公益性原则：坚持严格管理信守职业道德，坚持以严谨的教学管理取信于社会，以较高的教育质量回报社会。</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1、安全工作</w:t>
      </w:r>
    </w:p>
    <w:p>
      <w:pPr>
        <w:pStyle w:val="2"/>
        <w:adjustRightInd w:val="0"/>
        <w:snapToGrid w:val="0"/>
        <w:spacing w:before="93" w:line="600" w:lineRule="exact"/>
        <w:ind w:firstLine="504" w:firstLineChars="210"/>
        <w:outlineLvl w:val="2"/>
        <w:rPr>
          <w:rFonts w:hint="default" w:ascii="宋体" w:hAnsi="宋体" w:eastAsia="宋体" w:cs="Times New Roman"/>
          <w:bCs/>
          <w:color w:val="000000"/>
          <w:sz w:val="24"/>
          <w:szCs w:val="32"/>
          <w:lang w:val="en-US" w:eastAsia="zh-CN"/>
        </w:rPr>
      </w:pPr>
      <w:r>
        <w:rPr>
          <w:rFonts w:hint="eastAsia" w:ascii="宋体" w:hAnsi="宋体" w:eastAsia="宋体" w:cs="Times New Roman"/>
          <w:bCs/>
          <w:color w:val="000000"/>
          <w:sz w:val="24"/>
          <w:szCs w:val="32"/>
        </w:rPr>
        <w:t>增强责任意识，防范校园安全事故发生。建立以校长为组长，</w:t>
      </w:r>
      <w:r>
        <w:rPr>
          <w:rFonts w:hint="eastAsia" w:ascii="宋体" w:hAnsi="宋体" w:eastAsia="宋体" w:cs="Times New Roman"/>
          <w:bCs/>
          <w:color w:val="000000"/>
          <w:sz w:val="24"/>
          <w:szCs w:val="32"/>
          <w:lang w:eastAsia="zh-CN"/>
        </w:rPr>
        <w:t>教导</w:t>
      </w:r>
      <w:r>
        <w:rPr>
          <w:rFonts w:hint="eastAsia" w:ascii="宋体" w:hAnsi="宋体" w:eastAsia="宋体" w:cs="Times New Roman"/>
          <w:bCs/>
          <w:color w:val="000000"/>
          <w:sz w:val="24"/>
          <w:szCs w:val="32"/>
        </w:rPr>
        <w:t>主任为主管行政，</w:t>
      </w:r>
      <w:r>
        <w:rPr>
          <w:rFonts w:hint="eastAsia" w:ascii="宋体" w:hAnsi="宋体" w:eastAsia="宋体" w:cs="Times New Roman"/>
          <w:bCs/>
          <w:color w:val="000000"/>
          <w:sz w:val="24"/>
          <w:szCs w:val="32"/>
          <w:lang w:eastAsia="zh-CN"/>
        </w:rPr>
        <w:t>后勤主任协助，</w:t>
      </w:r>
      <w:r>
        <w:rPr>
          <w:rFonts w:hint="eastAsia" w:ascii="宋体" w:hAnsi="宋体" w:eastAsia="宋体" w:cs="Times New Roman"/>
          <w:bCs/>
          <w:color w:val="000000"/>
          <w:sz w:val="24"/>
          <w:szCs w:val="32"/>
        </w:rPr>
        <w:t>其他行政和班主任为成员的学校安全管理工作领导小组，分工负责，协同合作。认真落实安全管理责任制。实行“一岗双责”，</w:t>
      </w:r>
      <w:r>
        <w:rPr>
          <w:rFonts w:hint="eastAsia" w:ascii="宋体" w:hAnsi="宋体" w:eastAsia="宋体" w:cs="Times New Roman"/>
          <w:bCs/>
          <w:color w:val="000000"/>
          <w:sz w:val="24"/>
          <w:szCs w:val="32"/>
          <w:lang w:eastAsia="zh-CN"/>
        </w:rPr>
        <w:t>所有教职工</w:t>
      </w:r>
      <w:r>
        <w:rPr>
          <w:rFonts w:hint="eastAsia" w:ascii="宋体" w:hAnsi="宋体" w:eastAsia="宋体" w:cs="Times New Roman"/>
          <w:bCs/>
          <w:color w:val="000000"/>
          <w:sz w:val="24"/>
          <w:szCs w:val="32"/>
        </w:rPr>
        <w:t>签订安全责任书，</w:t>
      </w:r>
      <w:r>
        <w:rPr>
          <w:rFonts w:hint="eastAsia" w:ascii="宋体" w:hAnsi="宋体" w:eastAsia="宋体" w:cs="Times New Roman"/>
          <w:bCs/>
          <w:color w:val="000000"/>
          <w:sz w:val="24"/>
          <w:szCs w:val="32"/>
          <w:lang w:eastAsia="zh-CN"/>
        </w:rPr>
        <w:t>以</w:t>
      </w:r>
      <w:r>
        <w:rPr>
          <w:rFonts w:hint="eastAsia" w:ascii="宋体" w:hAnsi="宋体" w:eastAsia="宋体" w:cs="Times New Roman"/>
          <w:bCs/>
          <w:color w:val="000000"/>
          <w:sz w:val="24"/>
          <w:szCs w:val="32"/>
        </w:rPr>
        <w:t>确保</w:t>
      </w:r>
      <w:r>
        <w:rPr>
          <w:rFonts w:hint="eastAsia" w:ascii="宋体" w:hAnsi="宋体" w:eastAsia="宋体" w:cs="Times New Roman"/>
          <w:bCs/>
          <w:color w:val="000000"/>
          <w:sz w:val="24"/>
          <w:szCs w:val="32"/>
          <w:lang w:eastAsia="zh-CN"/>
        </w:rPr>
        <w:t>校园的</w:t>
      </w:r>
      <w:r>
        <w:rPr>
          <w:rFonts w:hint="eastAsia" w:ascii="宋体" w:hAnsi="宋体" w:eastAsia="宋体" w:cs="Times New Roman"/>
          <w:bCs/>
          <w:color w:val="000000"/>
          <w:sz w:val="24"/>
          <w:szCs w:val="32"/>
        </w:rPr>
        <w:t>安全工作</w:t>
      </w:r>
      <w:r>
        <w:rPr>
          <w:rFonts w:hint="eastAsia" w:ascii="宋体" w:hAnsi="宋体" w:eastAsia="宋体" w:cs="Times New Roman"/>
          <w:bCs/>
          <w:color w:val="000000"/>
          <w:sz w:val="24"/>
          <w:szCs w:val="32"/>
          <w:lang w:eastAsia="zh-CN"/>
        </w:rPr>
        <w:t>。</w:t>
      </w:r>
      <w:r>
        <w:rPr>
          <w:rFonts w:hint="eastAsia" w:ascii="宋体" w:hAnsi="宋体" w:eastAsia="宋体" w:cs="Times New Roman"/>
          <w:bCs/>
          <w:color w:val="000000"/>
          <w:sz w:val="24"/>
          <w:szCs w:val="32"/>
        </w:rPr>
        <w:t>大力开展安全宣传教育，提高师生安全意识。</w:t>
      </w:r>
      <w:r>
        <w:rPr>
          <w:rFonts w:hint="eastAsia" w:ascii="宋体" w:hAnsi="宋体" w:eastAsia="宋体" w:cs="Times New Roman"/>
          <w:bCs/>
          <w:color w:val="000000"/>
          <w:sz w:val="24"/>
          <w:szCs w:val="32"/>
          <w:lang w:val="en-US" w:eastAsia="zh-CN"/>
        </w:rPr>
        <w:t>2021年一年里未出现任何一起安全事故。</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2、教学工作</w:t>
      </w:r>
    </w:p>
    <w:p>
      <w:pPr>
        <w:pStyle w:val="2"/>
        <w:adjustRightInd w:val="0"/>
        <w:snapToGrid w:val="0"/>
        <w:spacing w:before="93" w:line="600" w:lineRule="exact"/>
        <w:ind w:firstLine="504" w:firstLineChars="210"/>
        <w:outlineLvl w:val="2"/>
        <w:rPr>
          <w:rFonts w:hint="default" w:ascii="宋体" w:hAnsi="宋体" w:eastAsia="宋体" w:cs="Times New Roman"/>
          <w:bCs/>
          <w:color w:val="000000"/>
          <w:sz w:val="24"/>
          <w:szCs w:val="32"/>
          <w:lang w:val="en-US" w:eastAsia="zh-CN"/>
        </w:rPr>
      </w:pPr>
      <w:r>
        <w:rPr>
          <w:rFonts w:hint="eastAsia" w:ascii="宋体" w:hAnsi="宋体" w:eastAsia="宋体" w:cs="Times New Roman"/>
          <w:bCs/>
          <w:color w:val="000000"/>
          <w:sz w:val="24"/>
          <w:szCs w:val="32"/>
          <w:lang w:eastAsia="zh-CN"/>
        </w:rPr>
        <w:t>按照国家的部班计划</w:t>
      </w:r>
      <w:r>
        <w:rPr>
          <w:rFonts w:hint="eastAsia" w:ascii="宋体" w:hAnsi="宋体" w:eastAsia="宋体" w:cs="Times New Roman"/>
          <w:bCs/>
          <w:color w:val="000000"/>
          <w:sz w:val="24"/>
          <w:szCs w:val="32"/>
        </w:rPr>
        <w:t>开齐课程，开足课时，</w:t>
      </w:r>
      <w:r>
        <w:rPr>
          <w:rFonts w:hint="eastAsia" w:ascii="宋体" w:hAnsi="宋体" w:eastAsia="宋体" w:cs="Times New Roman"/>
          <w:bCs/>
          <w:color w:val="000000"/>
          <w:sz w:val="24"/>
          <w:szCs w:val="32"/>
          <w:lang w:eastAsia="zh-CN"/>
        </w:rPr>
        <w:t>开展推门听课</w:t>
      </w:r>
      <w:r>
        <w:rPr>
          <w:rFonts w:hint="eastAsia" w:ascii="宋体" w:hAnsi="宋体" w:eastAsia="宋体" w:cs="Times New Roman"/>
          <w:bCs/>
          <w:color w:val="000000"/>
          <w:sz w:val="24"/>
          <w:szCs w:val="32"/>
        </w:rPr>
        <w:t>和“教学六认真检查”，</w:t>
      </w:r>
      <w:r>
        <w:rPr>
          <w:rFonts w:hint="eastAsia" w:ascii="宋体" w:hAnsi="宋体" w:eastAsia="宋体" w:cs="Times New Roman"/>
          <w:bCs/>
          <w:color w:val="000000"/>
          <w:sz w:val="24"/>
          <w:szCs w:val="32"/>
          <w:lang w:eastAsia="zh-CN"/>
        </w:rPr>
        <w:t>以</w:t>
      </w:r>
      <w:r>
        <w:rPr>
          <w:rFonts w:hint="eastAsia" w:ascii="宋体" w:hAnsi="宋体" w:eastAsia="宋体" w:cs="Times New Roman"/>
          <w:bCs/>
          <w:color w:val="000000"/>
          <w:sz w:val="24"/>
          <w:szCs w:val="32"/>
        </w:rPr>
        <w:t>提</w:t>
      </w:r>
      <w:r>
        <w:rPr>
          <w:rFonts w:hint="eastAsia" w:ascii="宋体" w:hAnsi="宋体" w:eastAsia="宋体" w:cs="Times New Roman"/>
          <w:bCs/>
          <w:color w:val="000000"/>
          <w:sz w:val="24"/>
          <w:szCs w:val="32"/>
          <w:lang w:eastAsia="zh-CN"/>
        </w:rPr>
        <w:t>高</w:t>
      </w:r>
      <w:r>
        <w:rPr>
          <w:rFonts w:hint="eastAsia" w:ascii="宋体" w:hAnsi="宋体" w:eastAsia="宋体" w:cs="Times New Roman"/>
          <w:bCs/>
          <w:color w:val="000000"/>
          <w:sz w:val="24"/>
          <w:szCs w:val="32"/>
        </w:rPr>
        <w:t>课堂教学效</w:t>
      </w:r>
      <w:r>
        <w:rPr>
          <w:rFonts w:hint="eastAsia" w:ascii="宋体" w:hAnsi="宋体" w:eastAsia="宋体" w:cs="Times New Roman"/>
          <w:bCs/>
          <w:color w:val="000000"/>
          <w:sz w:val="24"/>
          <w:szCs w:val="32"/>
          <w:lang w:eastAsia="zh-CN"/>
        </w:rPr>
        <w:t>率，促进教学质量</w:t>
      </w:r>
      <w:r>
        <w:rPr>
          <w:rFonts w:hint="eastAsia" w:ascii="宋体" w:hAnsi="宋体" w:eastAsia="宋体" w:cs="Times New Roman"/>
          <w:bCs/>
          <w:color w:val="000000"/>
          <w:sz w:val="24"/>
          <w:szCs w:val="32"/>
        </w:rPr>
        <w:t>。认真组织开展多形式培训和教研</w:t>
      </w:r>
      <w:r>
        <w:rPr>
          <w:rFonts w:hint="eastAsia" w:ascii="宋体" w:hAnsi="宋体" w:eastAsia="宋体" w:cs="Times New Roman"/>
          <w:bCs/>
          <w:color w:val="000000"/>
          <w:sz w:val="24"/>
          <w:szCs w:val="32"/>
          <w:lang w:eastAsia="zh-CN"/>
        </w:rPr>
        <w:t>，</w:t>
      </w:r>
      <w:r>
        <w:rPr>
          <w:rFonts w:hint="eastAsia" w:ascii="宋体" w:hAnsi="宋体" w:eastAsia="宋体" w:cs="Times New Roman"/>
          <w:bCs/>
          <w:color w:val="000000"/>
          <w:sz w:val="24"/>
          <w:szCs w:val="32"/>
        </w:rPr>
        <w:t>提高教师教学水平。</w:t>
      </w:r>
      <w:r>
        <w:rPr>
          <w:rFonts w:hint="eastAsia" w:ascii="宋体" w:hAnsi="宋体" w:eastAsia="宋体" w:cs="Times New Roman"/>
          <w:bCs/>
          <w:color w:val="000000"/>
          <w:sz w:val="24"/>
          <w:szCs w:val="32"/>
          <w:lang w:eastAsia="zh-CN"/>
        </w:rPr>
        <w:t>在艺体专业教师缺乏的情况下，我校仍注重学生艺体素质的培养，推行</w:t>
      </w:r>
      <w:r>
        <w:rPr>
          <w:rFonts w:hint="eastAsia" w:ascii="宋体" w:hAnsi="宋体" w:eastAsia="宋体" w:cs="Times New Roman"/>
          <w:bCs/>
          <w:color w:val="000000"/>
          <w:sz w:val="24"/>
          <w:szCs w:val="32"/>
          <w:lang w:val="en-US" w:eastAsia="zh-CN"/>
        </w:rPr>
        <w:t>121艺体教育工作，利用运动会、五四青年节和艺术节，为学生搭建平台，展现学生的风采。</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3、党风廉政建设</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lang w:eastAsia="zh-CN"/>
        </w:rPr>
      </w:pPr>
      <w:r>
        <w:rPr>
          <w:rFonts w:hint="eastAsia" w:ascii="宋体" w:hAnsi="宋体" w:eastAsia="宋体" w:cs="Times New Roman"/>
          <w:bCs/>
          <w:color w:val="000000"/>
          <w:sz w:val="24"/>
          <w:szCs w:val="32"/>
          <w:lang w:eastAsia="zh-CN"/>
        </w:rPr>
        <w:t>领导班子强抓党建工作，</w:t>
      </w:r>
      <w:r>
        <w:rPr>
          <w:rFonts w:hint="eastAsia" w:ascii="宋体" w:hAnsi="宋体" w:eastAsia="宋体" w:cs="Times New Roman"/>
          <w:bCs/>
          <w:color w:val="000000"/>
          <w:sz w:val="24"/>
          <w:szCs w:val="32"/>
        </w:rPr>
        <w:t>坚持“三会一课”制度。党支部每月</w:t>
      </w:r>
      <w:r>
        <w:rPr>
          <w:rFonts w:hint="eastAsia" w:ascii="宋体" w:hAnsi="宋体" w:eastAsia="宋体" w:cs="Times New Roman"/>
          <w:bCs/>
          <w:color w:val="000000"/>
          <w:sz w:val="24"/>
          <w:szCs w:val="32"/>
          <w:lang w:eastAsia="zh-CN"/>
        </w:rPr>
        <w:t>定期</w:t>
      </w:r>
      <w:r>
        <w:rPr>
          <w:rFonts w:hint="eastAsia" w:ascii="宋体" w:hAnsi="宋体" w:eastAsia="宋体" w:cs="Times New Roman"/>
          <w:bCs/>
          <w:color w:val="000000"/>
          <w:sz w:val="24"/>
          <w:szCs w:val="32"/>
        </w:rPr>
        <w:t>开展活动，用学习讨论活动改进和加强党的建设，特别是要将学习的内容用于指导实际工作，切实发挥党员先锋模范作用和党支部的战斗堡垒作</w:t>
      </w:r>
      <w:r>
        <w:rPr>
          <w:rFonts w:hint="eastAsia" w:ascii="宋体" w:hAnsi="宋体" w:eastAsia="宋体" w:cs="Times New Roman"/>
          <w:bCs/>
          <w:color w:val="000000"/>
          <w:sz w:val="24"/>
          <w:szCs w:val="32"/>
          <w:lang w:eastAsia="zh-CN"/>
        </w:rPr>
        <w:t>用。学习党史，不忘初心，牢记使命，砥砺前行，</w:t>
      </w:r>
      <w:r>
        <w:rPr>
          <w:rFonts w:hint="eastAsia" w:ascii="宋体" w:hAnsi="宋体" w:eastAsia="宋体" w:cs="Times New Roman"/>
          <w:bCs/>
          <w:color w:val="000000"/>
          <w:sz w:val="24"/>
          <w:szCs w:val="32"/>
        </w:rPr>
        <w:t>依法依规管好用好</w:t>
      </w:r>
      <w:r>
        <w:rPr>
          <w:rFonts w:hint="eastAsia" w:ascii="宋体" w:hAnsi="宋体" w:eastAsia="宋体" w:cs="Times New Roman"/>
          <w:bCs/>
          <w:color w:val="000000"/>
          <w:sz w:val="24"/>
          <w:szCs w:val="32"/>
          <w:lang w:eastAsia="zh-CN"/>
        </w:rPr>
        <w:t>党员活动经</w:t>
      </w:r>
      <w:r>
        <w:rPr>
          <w:rFonts w:hint="eastAsia" w:ascii="宋体" w:hAnsi="宋体" w:eastAsia="宋体" w:cs="Times New Roman"/>
          <w:bCs/>
          <w:color w:val="000000"/>
          <w:sz w:val="24"/>
          <w:szCs w:val="32"/>
        </w:rPr>
        <w:t>费</w:t>
      </w:r>
      <w:r>
        <w:rPr>
          <w:rFonts w:hint="eastAsia" w:ascii="宋体" w:hAnsi="宋体" w:eastAsia="宋体" w:cs="Times New Roman"/>
          <w:bCs/>
          <w:color w:val="000000"/>
          <w:sz w:val="24"/>
          <w:szCs w:val="32"/>
          <w:lang w:eastAsia="zh-CN"/>
        </w:rPr>
        <w:t>，开展丰富的党员活动，慰问困难党员和群众。</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 xml:space="preserve">4、工会工作 </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 xml:space="preserve">积极支持工会按照《工会法》的规定履行工会职责，把维护教职工合法权益作为工会的基本职责，使工会真正成为党 联系群众的桥梁和纽带。通过工会了解群众情况，征求群众意见，为学校的改革发展献计献策。指导工会开展好教工学习和创优争先活动。通过工会关注、配合，帮助困难职工，依法依规管好用好工会福利费，构建和谐校园。        </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5、德育工作</w:t>
      </w:r>
    </w:p>
    <w:p>
      <w:pPr>
        <w:pStyle w:val="2"/>
        <w:adjustRightInd w:val="0"/>
        <w:snapToGrid w:val="0"/>
        <w:spacing w:before="93" w:line="600" w:lineRule="exact"/>
        <w:ind w:firstLine="504" w:firstLineChars="210"/>
        <w:outlineLvl w:val="2"/>
        <w:rPr>
          <w:rFonts w:hint="eastAsia" w:ascii="宋体" w:hAnsi="宋体" w:eastAsia="宋体" w:cs="Times New Roman"/>
          <w:bCs/>
          <w:color w:val="000000"/>
          <w:sz w:val="24"/>
          <w:szCs w:val="32"/>
        </w:rPr>
      </w:pPr>
      <w:r>
        <w:rPr>
          <w:rFonts w:hint="eastAsia" w:ascii="宋体" w:hAnsi="宋体" w:eastAsia="宋体" w:cs="Times New Roman"/>
          <w:bCs/>
          <w:color w:val="000000"/>
          <w:sz w:val="24"/>
          <w:szCs w:val="32"/>
        </w:rPr>
        <w:t>我校高度重视德育活动的开展，秉承“</w:t>
      </w:r>
      <w:r>
        <w:rPr>
          <w:rFonts w:hint="eastAsia" w:ascii="宋体" w:hAnsi="宋体" w:eastAsia="宋体" w:cs="Times New Roman"/>
          <w:bCs/>
          <w:color w:val="000000"/>
          <w:sz w:val="24"/>
          <w:szCs w:val="32"/>
          <w:lang w:eastAsia="zh-CN"/>
        </w:rPr>
        <w:t>鼎道毓德</w:t>
      </w:r>
      <w:r>
        <w:rPr>
          <w:rFonts w:hint="eastAsia" w:ascii="宋体" w:hAnsi="宋体" w:eastAsia="宋体" w:cs="Times New Roman"/>
          <w:bCs/>
          <w:color w:val="000000"/>
          <w:sz w:val="24"/>
          <w:szCs w:val="32"/>
        </w:rPr>
        <w:t>”的校训，开展丰富多彩的德育活动，让每位学生都能够德、智、体、美、劳全面发展。</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4"/>
          <w:rFonts w:ascii="黑体" w:hAnsi="黑体" w:eastAsia="黑体"/>
          <w:b w:val="0"/>
          <w:bCs/>
        </w:rPr>
      </w:pPr>
      <w:bookmarkStart w:id="16" w:name="_Toc15377204"/>
      <w:bookmarkStart w:id="17" w:name="_Toc15396602"/>
      <w:r>
        <w:rPr>
          <w:rFonts w:hint="eastAsia" w:ascii="黑体" w:hAnsi="黑体" w:eastAsia="黑体"/>
          <w:b w:val="0"/>
        </w:rPr>
        <w:t>第二部分 2021年度</w:t>
      </w:r>
      <w:r>
        <w:rPr>
          <w:rStyle w:val="24"/>
          <w:rFonts w:hint="eastAsia" w:ascii="黑体" w:hAnsi="黑体" w:eastAsia="黑体"/>
          <w:b w:val="0"/>
          <w:bCs/>
        </w:rPr>
        <w:t>单位决算情况说明</w:t>
      </w:r>
      <w:bookmarkEnd w:id="16"/>
      <w:bookmarkEnd w:id="17"/>
    </w:p>
    <w:p/>
    <w:p>
      <w:pPr>
        <w:pStyle w:val="23"/>
        <w:numPr>
          <w:ilvl w:val="0"/>
          <w:numId w:val="2"/>
        </w:numPr>
        <w:spacing w:line="600" w:lineRule="exact"/>
        <w:ind w:firstLineChars="0"/>
        <w:outlineLvl w:val="1"/>
        <w:rPr>
          <w:rStyle w:val="25"/>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5"/>
          <w:rFonts w:hint="eastAsia" w:ascii="黑体" w:hAnsi="黑体" w:eastAsia="黑体"/>
          <w:b w:val="0"/>
        </w:rPr>
        <w:t>入支出决算总体情况说明</w:t>
      </w:r>
      <w:bookmarkEnd w:id="18"/>
      <w:bookmarkEnd w:id="19"/>
    </w:p>
    <w:p>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sz w:val="32"/>
          <w:szCs w:val="32"/>
        </w:rPr>
        <w:t>2021年度收、支总计</w:t>
      </w:r>
      <w:r>
        <w:rPr>
          <w:rFonts w:hint="eastAsia" w:ascii="仿宋" w:hAnsi="仿宋" w:eastAsia="仿宋"/>
          <w:sz w:val="32"/>
          <w:szCs w:val="32"/>
          <w:lang w:val="en-US" w:eastAsia="zh-CN"/>
        </w:rPr>
        <w:t>1304.9</w:t>
      </w:r>
      <w:r>
        <w:rPr>
          <w:rFonts w:hint="eastAsia" w:ascii="仿宋" w:hAnsi="仿宋" w:eastAsia="仿宋"/>
          <w:sz w:val="32"/>
          <w:szCs w:val="32"/>
        </w:rPr>
        <w:t>万元。与2020年相比，收、支总计各增加</w:t>
      </w:r>
      <w:r>
        <w:rPr>
          <w:rFonts w:hint="eastAsia" w:ascii="仿宋" w:hAnsi="仿宋" w:eastAsia="仿宋"/>
          <w:sz w:val="32"/>
          <w:szCs w:val="32"/>
          <w:lang w:val="en-US" w:eastAsia="zh-CN"/>
        </w:rPr>
        <w:t>64.25</w:t>
      </w:r>
      <w:r>
        <w:rPr>
          <w:rFonts w:hint="eastAsia" w:ascii="仿宋" w:hAnsi="仿宋" w:eastAsia="仿宋"/>
          <w:sz w:val="32"/>
          <w:szCs w:val="32"/>
        </w:rPr>
        <w:t>万元，增长</w:t>
      </w:r>
      <w:r>
        <w:rPr>
          <w:rFonts w:hint="eastAsia" w:ascii="仿宋" w:hAnsi="仿宋" w:eastAsia="仿宋"/>
          <w:sz w:val="32"/>
          <w:szCs w:val="32"/>
          <w:lang w:val="en-US" w:eastAsia="zh-CN"/>
        </w:rPr>
        <w:t>5.2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000000"/>
          <w:sz w:val="32"/>
          <w:szCs w:val="32"/>
          <w:lang w:eastAsia="zh-CN"/>
        </w:rPr>
        <w:t>教育支出、社会保障和就业支出、卫生健康支出和住房保障因微调而增加。</w:t>
      </w:r>
    </w:p>
    <w:tbl>
      <w:tblPr>
        <w:tblStyle w:val="12"/>
        <w:tblW w:w="33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6"/>
        <w:gridCol w:w="1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图1：收、支决算总计变动情况图</w:t>
            </w:r>
          </w:p>
        </w:tc>
        <w:tc>
          <w:tcPr>
            <w:tcW w:w="153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1,304.90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1,240.65</w:t>
            </w:r>
          </w:p>
        </w:tc>
      </w:tr>
    </w:tbl>
    <w:p>
      <w:pPr>
        <w:pStyle w:val="2"/>
        <w:rPr>
          <w:rFonts w:ascii="仿宋" w:hAnsi="仿宋" w:eastAsia="仿宋"/>
          <w:sz w:val="32"/>
          <w:szCs w:val="32"/>
        </w:rPr>
      </w:pPr>
      <w:r>
        <w:drawing>
          <wp:inline distT="0" distB="0" distL="114300" distR="114300">
            <wp:extent cx="5271135" cy="3213100"/>
            <wp:effectExtent l="38735" t="18415" r="43180" b="6413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jc w:val="left"/>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5"/>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652.15</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649.47</w:t>
      </w:r>
      <w:r>
        <w:rPr>
          <w:rFonts w:hint="eastAsia" w:ascii="仿宋" w:hAnsi="仿宋" w:eastAsia="仿宋"/>
          <w:sz w:val="32"/>
          <w:szCs w:val="32"/>
        </w:rPr>
        <w:t>万元，占</w:t>
      </w:r>
      <w:r>
        <w:rPr>
          <w:rFonts w:hint="eastAsia" w:ascii="仿宋" w:hAnsi="仿宋" w:eastAsia="仿宋"/>
          <w:sz w:val="32"/>
          <w:szCs w:val="32"/>
          <w:lang w:val="en-US" w:eastAsia="zh-CN"/>
        </w:rPr>
        <w:t>99.6</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tbl>
      <w:tblPr>
        <w:tblStyle w:val="12"/>
        <w:tblW w:w="5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25"/>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42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图2：2021年收入决算结构图</w:t>
            </w:r>
          </w:p>
        </w:tc>
        <w:tc>
          <w:tcPr>
            <w:tcW w:w="112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一般公共预算财政拨款收入649.47万元</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政府性基金预算财政拨款0万元</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事业收入0万元</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其他收入0万元</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2"/>
                <w:szCs w:val="22"/>
                <w:u w:val="none"/>
                <w:lang w:val="en-US" w:eastAsia="zh-CN" w:bidi="ar"/>
              </w:rPr>
            </w:pPr>
            <w:bookmarkStart w:id="22" w:name="_Toc15377207"/>
            <w:bookmarkStart w:id="23" w:name="_Toc15396605"/>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22"/>
                <w:szCs w:val="22"/>
                <w:u w:val="none"/>
                <w:lang w:val="en-US" w:eastAsia="zh-CN" w:bidi="ar"/>
              </w:rPr>
            </w:pPr>
          </w:p>
        </w:tc>
      </w:tr>
    </w:tbl>
    <w:p>
      <w:pPr>
        <w:pStyle w:val="23"/>
        <w:numPr>
          <w:ilvl w:val="0"/>
          <w:numId w:val="0"/>
        </w:numPr>
        <w:spacing w:line="240" w:lineRule="auto"/>
        <w:ind w:left="640" w:leftChars="0"/>
        <w:outlineLvl w:val="1"/>
        <w:rPr>
          <w:rFonts w:hint="eastAsia" w:eastAsia="宋体"/>
          <w:lang w:eastAsia="zh-CN"/>
        </w:rPr>
      </w:pPr>
      <w:r>
        <w:rPr>
          <w:rFonts w:hint="eastAsia" w:eastAsia="宋体"/>
          <w:lang w:eastAsia="zh-CN"/>
        </w:rPr>
        <w:drawing>
          <wp:inline distT="0" distB="0" distL="114300" distR="114300">
            <wp:extent cx="5268595" cy="3003550"/>
            <wp:effectExtent l="0" t="0" r="8255" b="6350"/>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7"/>
                    <a:stretch>
                      <a:fillRect/>
                    </a:stretch>
                  </pic:blipFill>
                  <pic:spPr>
                    <a:xfrm>
                      <a:off x="0" y="0"/>
                      <a:ext cx="5268595" cy="3003550"/>
                    </a:xfrm>
                    <a:prstGeom prst="rect">
                      <a:avLst/>
                    </a:prstGeom>
                  </pic:spPr>
                </pic:pic>
              </a:graphicData>
            </a:graphic>
          </wp:inline>
        </w:drawing>
      </w:r>
    </w:p>
    <w:p>
      <w:pPr>
        <w:pStyle w:val="23"/>
        <w:numPr>
          <w:ilvl w:val="0"/>
          <w:numId w:val="0"/>
        </w:numPr>
        <w:spacing w:line="600" w:lineRule="exact"/>
        <w:outlineLvl w:val="1"/>
        <w:rPr>
          <w:rFonts w:hint="eastAsia"/>
          <w:lang w:eastAsia="zh-CN"/>
        </w:rPr>
      </w:pPr>
    </w:p>
    <w:p>
      <w:pPr>
        <w:pStyle w:val="23"/>
        <w:numPr>
          <w:ilvl w:val="0"/>
          <w:numId w:val="0"/>
        </w:numPr>
        <w:spacing w:line="600" w:lineRule="exact"/>
        <w:ind w:left="640" w:leftChars="0"/>
        <w:outlineLvl w:val="1"/>
        <w:rPr>
          <w:rStyle w:val="25"/>
          <w:rFonts w:ascii="黑体" w:hAnsi="黑体" w:eastAsia="黑体"/>
          <w:b w:val="0"/>
        </w:rPr>
      </w:pPr>
      <w:r>
        <w:rPr>
          <w:rFonts w:hint="eastAsia"/>
          <w:lang w:eastAsia="zh-CN"/>
        </w:rPr>
        <w:t>三、</w:t>
      </w:r>
      <w:r>
        <w:rPr>
          <w:rFonts w:hint="eastAsia" w:ascii="黑体" w:hAnsi="黑体" w:eastAsia="黑体"/>
          <w:sz w:val="32"/>
          <w:szCs w:val="32"/>
        </w:rPr>
        <w:t>支</w:t>
      </w:r>
      <w:r>
        <w:rPr>
          <w:rStyle w:val="25"/>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652.45</w:t>
      </w:r>
      <w:r>
        <w:rPr>
          <w:rFonts w:hint="eastAsia" w:ascii="仿宋" w:hAnsi="仿宋" w:eastAsia="仿宋"/>
          <w:sz w:val="32"/>
          <w:szCs w:val="32"/>
        </w:rPr>
        <w:t>万元，其中：基本支出</w:t>
      </w:r>
      <w:r>
        <w:rPr>
          <w:rFonts w:hint="eastAsia" w:ascii="仿宋" w:hAnsi="仿宋" w:eastAsia="仿宋"/>
          <w:sz w:val="32"/>
          <w:szCs w:val="32"/>
          <w:lang w:val="en-US" w:eastAsia="zh-CN"/>
        </w:rPr>
        <w:t>629.81</w:t>
      </w:r>
      <w:r>
        <w:rPr>
          <w:rFonts w:hint="eastAsia" w:ascii="仿宋" w:hAnsi="仿宋" w:eastAsia="仿宋"/>
          <w:sz w:val="32"/>
          <w:szCs w:val="32"/>
        </w:rPr>
        <w:t>万元，占</w:t>
      </w:r>
      <w:r>
        <w:rPr>
          <w:rFonts w:hint="eastAsia" w:ascii="仿宋" w:hAnsi="仿宋" w:eastAsia="仿宋"/>
          <w:sz w:val="32"/>
          <w:szCs w:val="32"/>
          <w:lang w:val="en-US" w:eastAsia="zh-CN"/>
        </w:rPr>
        <w:t>96.5</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22.63</w:t>
      </w:r>
      <w:r>
        <w:rPr>
          <w:rFonts w:hint="eastAsia" w:ascii="仿宋" w:hAnsi="仿宋" w:eastAsia="仿宋"/>
          <w:sz w:val="32"/>
          <w:szCs w:val="32"/>
        </w:rPr>
        <w:t>万元，占</w:t>
      </w:r>
      <w:r>
        <w:rPr>
          <w:rFonts w:hint="eastAsia" w:ascii="仿宋" w:hAnsi="仿宋" w:eastAsia="仿宋"/>
          <w:sz w:val="32"/>
          <w:szCs w:val="32"/>
          <w:lang w:val="en-US" w:eastAsia="zh-CN"/>
        </w:rPr>
        <w:t>3.5</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tbl>
      <w:tblPr>
        <w:tblStyle w:val="12"/>
        <w:tblW w:w="47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631"/>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30"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图3：2021年支出决算结构图</w:t>
            </w:r>
          </w:p>
        </w:tc>
        <w:tc>
          <w:tcPr>
            <w:tcW w:w="108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基本支出629.81万元</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项目支出22.63万元</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r>
    </w:tbl>
    <w:p>
      <w:pPr>
        <w:spacing w:line="240" w:lineRule="auto"/>
        <w:ind w:firstLine="640"/>
        <w:rPr>
          <w:rFonts w:hint="eastAsia" w:ascii="仿宋" w:hAnsi="仿宋" w:eastAsia="仿宋"/>
          <w:sz w:val="32"/>
          <w:szCs w:val="32"/>
          <w:shd w:val="pct10" w:color="auto" w:fill="FFFFFF"/>
          <w:lang w:eastAsia="zh-CN"/>
        </w:rPr>
      </w:pPr>
      <w:r>
        <w:rPr>
          <w:rFonts w:hint="eastAsia" w:ascii="仿宋" w:hAnsi="仿宋" w:eastAsia="仿宋"/>
          <w:sz w:val="32"/>
          <w:szCs w:val="32"/>
          <w:shd w:val="pct10" w:color="auto" w:fill="FFFFFF"/>
          <w:lang w:eastAsia="zh-CN"/>
        </w:rPr>
        <w:drawing>
          <wp:inline distT="0" distB="0" distL="114300" distR="114300">
            <wp:extent cx="5271770" cy="3205480"/>
            <wp:effectExtent l="0" t="0" r="5080" b="13970"/>
            <wp:docPr id="8" name="图片 8"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2"/>
                    <pic:cNvPicPr>
                      <a:picLocks noChangeAspect="1"/>
                    </pic:cNvPicPr>
                  </pic:nvPicPr>
                  <pic:blipFill>
                    <a:blip r:embed="rId8"/>
                    <a:stretch>
                      <a:fillRect/>
                    </a:stretch>
                  </pic:blipFill>
                  <pic:spPr>
                    <a:xfrm>
                      <a:off x="0" y="0"/>
                      <a:ext cx="5271770" cy="3205480"/>
                    </a:xfrm>
                    <a:prstGeom prst="rect">
                      <a:avLst/>
                    </a:prstGeom>
                  </pic:spPr>
                </pic:pic>
              </a:graphicData>
            </a:graphic>
          </wp:inline>
        </w:drawing>
      </w:r>
    </w:p>
    <w:p>
      <w:pPr>
        <w:spacing w:line="600" w:lineRule="exact"/>
        <w:ind w:firstLine="640" w:firstLineChars="200"/>
        <w:outlineLvl w:val="1"/>
        <w:rPr>
          <w:rStyle w:val="25"/>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25"/>
          <w:rFonts w:hint="eastAsia" w:ascii="黑体" w:hAnsi="黑体" w:eastAsia="黑体"/>
          <w:b w:val="0"/>
        </w:rPr>
        <w:t>政拨款收入支出决算总体情况说明</w:t>
      </w:r>
      <w:bookmarkEnd w:id="24"/>
      <w:bookmarkEnd w:id="25"/>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1304.9</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20年相比，财政拨款收、支总计各增加</w:t>
      </w:r>
      <w:r>
        <w:rPr>
          <w:rFonts w:hint="eastAsia" w:ascii="仿宋" w:hAnsi="仿宋" w:eastAsia="仿宋"/>
          <w:sz w:val="32"/>
          <w:szCs w:val="32"/>
          <w:lang w:val="en-US" w:eastAsia="zh-CN"/>
        </w:rPr>
        <w:t>64.25</w:t>
      </w:r>
      <w:r>
        <w:rPr>
          <w:rFonts w:hint="eastAsia" w:ascii="仿宋" w:hAnsi="仿宋" w:eastAsia="仿宋"/>
          <w:sz w:val="32"/>
          <w:szCs w:val="32"/>
        </w:rPr>
        <w:t>万元，增长</w:t>
      </w:r>
      <w:r>
        <w:rPr>
          <w:rFonts w:hint="eastAsia" w:ascii="仿宋" w:hAnsi="仿宋" w:eastAsia="仿宋"/>
          <w:sz w:val="32"/>
          <w:szCs w:val="32"/>
          <w:lang w:val="en-US" w:eastAsia="zh-CN"/>
        </w:rPr>
        <w:t>5.2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000000"/>
          <w:sz w:val="32"/>
          <w:szCs w:val="32"/>
          <w:lang w:eastAsia="zh-CN"/>
        </w:rPr>
        <w:t>教育支出、社会保障和就业支出、卫生健康支出和住房保障因微调而增加。</w:t>
      </w:r>
    </w:p>
    <w:tbl>
      <w:tblPr>
        <w:tblStyle w:val="12"/>
        <w:tblW w:w="68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650"/>
        <w:gridCol w:w="1395"/>
        <w:gridCol w:w="1080"/>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08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1650"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图4：财政拨款收、支决算总计变动情况图</w:t>
            </w:r>
          </w:p>
        </w:tc>
        <w:tc>
          <w:tcPr>
            <w:tcW w:w="139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108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165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1,304.90</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1,240.65</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5.18%</w:t>
            </w:r>
          </w:p>
        </w:tc>
      </w:tr>
    </w:tbl>
    <w:p>
      <w:pPr>
        <w:spacing w:line="240" w:lineRule="auto"/>
        <w:ind w:firstLine="640"/>
        <w:rPr>
          <w:rFonts w:ascii="仿宋" w:hAnsi="仿宋" w:eastAsia="仿宋"/>
          <w:b/>
          <w:sz w:val="32"/>
          <w:szCs w:val="32"/>
        </w:rPr>
      </w:pPr>
      <w:r>
        <w:rPr>
          <w:rFonts w:hint="eastAsia" w:ascii="仿宋" w:hAnsi="仿宋" w:eastAsia="仿宋"/>
          <w:b/>
          <w:sz w:val="32"/>
          <w:szCs w:val="32"/>
          <w:lang w:eastAsia="zh-CN"/>
        </w:rPr>
        <w:drawing>
          <wp:inline distT="0" distB="0" distL="114300" distR="114300">
            <wp:extent cx="5271770" cy="3097530"/>
            <wp:effectExtent l="0" t="0" r="5080" b="7620"/>
            <wp:docPr id="9" name="图片 9"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3"/>
                    <pic:cNvPicPr>
                      <a:picLocks noChangeAspect="1"/>
                    </pic:cNvPicPr>
                  </pic:nvPicPr>
                  <pic:blipFill>
                    <a:blip r:embed="rId9"/>
                    <a:stretch>
                      <a:fillRect/>
                    </a:stretch>
                  </pic:blipFill>
                  <pic:spPr>
                    <a:xfrm>
                      <a:off x="0" y="0"/>
                      <a:ext cx="5271770" cy="3097530"/>
                    </a:xfrm>
                    <a:prstGeom prst="rect">
                      <a:avLst/>
                    </a:prstGeom>
                  </pic:spPr>
                </pic:pic>
              </a:graphicData>
            </a:graphic>
          </wp:inline>
        </w:drawing>
      </w:r>
    </w:p>
    <w:p>
      <w:pPr>
        <w:spacing w:line="600" w:lineRule="exact"/>
        <w:ind w:firstLine="640" w:firstLineChars="200"/>
        <w:outlineLvl w:val="1"/>
        <w:rPr>
          <w:rStyle w:val="25"/>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5"/>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649.47</w:t>
      </w:r>
      <w:r>
        <w:rPr>
          <w:rFonts w:hint="eastAsia" w:ascii="仿宋" w:hAnsi="仿宋" w:eastAsia="仿宋"/>
          <w:sz w:val="32"/>
          <w:szCs w:val="32"/>
        </w:rPr>
        <w:t>万元，占本年支出合计的</w:t>
      </w:r>
      <w:r>
        <w:rPr>
          <w:rFonts w:hint="eastAsia" w:ascii="仿宋" w:hAnsi="仿宋" w:eastAsia="仿宋"/>
          <w:sz w:val="32"/>
          <w:szCs w:val="32"/>
          <w:lang w:val="en-US" w:eastAsia="zh-CN"/>
        </w:rPr>
        <w:t>99.6</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20年相比，一般公共预算财政拨款支出增加</w:t>
      </w:r>
      <w:r>
        <w:rPr>
          <w:rFonts w:hint="eastAsia" w:ascii="仿宋" w:hAnsi="仿宋" w:eastAsia="仿宋"/>
          <w:sz w:val="32"/>
          <w:szCs w:val="32"/>
          <w:lang w:val="en-US" w:eastAsia="zh-CN"/>
        </w:rPr>
        <w:t>25.89</w:t>
      </w:r>
      <w:r>
        <w:rPr>
          <w:rFonts w:hint="eastAsia" w:ascii="仿宋" w:hAnsi="仿宋" w:eastAsia="仿宋"/>
          <w:sz w:val="32"/>
          <w:szCs w:val="32"/>
        </w:rPr>
        <w:t>万元，增长</w:t>
      </w:r>
      <w:r>
        <w:rPr>
          <w:rFonts w:hint="eastAsia" w:ascii="仿宋" w:hAnsi="仿宋" w:eastAsia="仿宋"/>
          <w:sz w:val="32"/>
          <w:szCs w:val="32"/>
          <w:lang w:val="en-US" w:eastAsia="zh-CN"/>
        </w:rPr>
        <w:t>4</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000000"/>
          <w:sz w:val="32"/>
          <w:szCs w:val="32"/>
          <w:lang w:eastAsia="zh-CN"/>
        </w:rPr>
        <w:t>教育支出、社会保障和就业支出、卫生健康支出和住房保障因微调而增加。</w:t>
      </w:r>
    </w:p>
    <w:tbl>
      <w:tblPr>
        <w:tblStyle w:val="12"/>
        <w:tblW w:w="71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3"/>
        <w:gridCol w:w="1815"/>
        <w:gridCol w:w="1708"/>
        <w:gridCol w:w="433"/>
        <w:gridCol w:w="2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170" w:type="dxa"/>
            <w:gridSpan w:val="5"/>
            <w:tcBorders>
              <w:top w:val="nil"/>
              <w:left w:val="nil"/>
              <w:bottom w:val="nil"/>
              <w:right w:val="nil"/>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图5：一般公共预算财政拨款支出决算变动情况图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649.47</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623.58</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4.151832964</w:t>
            </w:r>
          </w:p>
        </w:tc>
      </w:tr>
    </w:tbl>
    <w:p>
      <w:pPr>
        <w:spacing w:line="24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998720" cy="2953385"/>
            <wp:effectExtent l="0" t="0" r="11430" b="18415"/>
            <wp:docPr id="10" name="图片 10"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4"/>
                    <pic:cNvPicPr>
                      <a:picLocks noChangeAspect="1"/>
                    </pic:cNvPicPr>
                  </pic:nvPicPr>
                  <pic:blipFill>
                    <a:blip r:embed="rId10"/>
                    <a:stretch>
                      <a:fillRect/>
                    </a:stretch>
                  </pic:blipFill>
                  <pic:spPr>
                    <a:xfrm>
                      <a:off x="0" y="0"/>
                      <a:ext cx="4998720" cy="2953385"/>
                    </a:xfrm>
                    <a:prstGeom prst="rect">
                      <a:avLst/>
                    </a:prstGeom>
                  </pic:spPr>
                </pic:pic>
              </a:graphicData>
            </a:graphic>
          </wp:inline>
        </w:drawing>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652.45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506.58</w:t>
      </w:r>
      <w:r>
        <w:rPr>
          <w:rFonts w:hint="eastAsia" w:ascii="仿宋" w:hAnsi="仿宋" w:eastAsia="仿宋"/>
          <w:sz w:val="32"/>
          <w:szCs w:val="32"/>
        </w:rPr>
        <w:t>万元，占</w:t>
      </w:r>
      <w:r>
        <w:rPr>
          <w:rFonts w:hint="eastAsia" w:ascii="仿宋" w:hAnsi="仿宋" w:eastAsia="仿宋"/>
          <w:sz w:val="32"/>
          <w:szCs w:val="32"/>
          <w:lang w:val="en-US" w:eastAsia="zh-CN"/>
        </w:rPr>
        <w:t>77.6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80.42</w:t>
      </w:r>
      <w:r>
        <w:rPr>
          <w:rFonts w:hint="eastAsia" w:ascii="仿宋" w:hAnsi="仿宋" w:eastAsia="仿宋"/>
          <w:sz w:val="32"/>
          <w:szCs w:val="32"/>
        </w:rPr>
        <w:t>万元，占</w:t>
      </w:r>
      <w:r>
        <w:rPr>
          <w:rFonts w:hint="eastAsia" w:ascii="仿宋" w:hAnsi="仿宋" w:eastAsia="仿宋"/>
          <w:sz w:val="32"/>
          <w:szCs w:val="32"/>
          <w:lang w:val="en-US" w:eastAsia="zh-CN"/>
        </w:rPr>
        <w:t>12.3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18.69</w:t>
      </w:r>
      <w:r>
        <w:rPr>
          <w:rFonts w:hint="eastAsia" w:ascii="仿宋" w:hAnsi="仿宋" w:eastAsia="仿宋"/>
          <w:sz w:val="32"/>
          <w:szCs w:val="32"/>
        </w:rPr>
        <w:t>万元，占</w:t>
      </w:r>
      <w:r>
        <w:rPr>
          <w:rFonts w:hint="eastAsia" w:ascii="仿宋" w:hAnsi="仿宋" w:eastAsia="仿宋"/>
          <w:sz w:val="32"/>
          <w:szCs w:val="32"/>
          <w:lang w:val="en-US" w:eastAsia="zh-CN"/>
        </w:rPr>
        <w:t>28.6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46.75</w:t>
      </w:r>
      <w:r>
        <w:rPr>
          <w:rFonts w:hint="eastAsia" w:ascii="仿宋" w:hAnsi="仿宋" w:eastAsia="仿宋"/>
          <w:sz w:val="32"/>
          <w:szCs w:val="32"/>
        </w:rPr>
        <w:t>万元，占</w:t>
      </w:r>
      <w:r>
        <w:rPr>
          <w:rFonts w:hint="eastAsia" w:ascii="仿宋" w:hAnsi="仿宋" w:eastAsia="仿宋"/>
          <w:sz w:val="32"/>
          <w:szCs w:val="32"/>
          <w:lang w:val="en-US" w:eastAsia="zh-CN"/>
        </w:rPr>
        <w:t>7.2</w:t>
      </w:r>
      <w:r>
        <w:rPr>
          <w:rFonts w:ascii="仿宋" w:hAnsi="仿宋" w:eastAsia="仿宋"/>
          <w:sz w:val="32"/>
          <w:szCs w:val="32"/>
        </w:rPr>
        <w:t>%</w:t>
      </w:r>
      <w:r>
        <w:rPr>
          <w:rFonts w:hint="eastAsia" w:ascii="仿宋" w:hAnsi="仿宋" w:eastAsia="仿宋"/>
          <w:sz w:val="32"/>
          <w:szCs w:val="32"/>
        </w:rPr>
        <w:t>；</w:t>
      </w:r>
    </w:p>
    <w:tbl>
      <w:tblPr>
        <w:tblStyle w:val="12"/>
        <w:tblW w:w="79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4665"/>
        <w:gridCol w:w="112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9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46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12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151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506.58</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文化旅游体育与传媒支出</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80.42</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18.69</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46.75</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652.44</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bl>
    <w:p>
      <w:pPr>
        <w:spacing w:line="240" w:lineRule="auto"/>
        <w:ind w:firstLine="640"/>
        <w:rPr>
          <w:rFonts w:ascii="仿宋" w:hAnsi="仿宋" w:eastAsia="仿宋"/>
          <w:sz w:val="32"/>
          <w:szCs w:val="32"/>
        </w:rPr>
      </w:pPr>
      <w:r>
        <w:rPr>
          <w:rFonts w:hint="eastAsia" w:ascii="仿宋" w:hAnsi="仿宋" w:eastAsia="仿宋"/>
          <w:b/>
          <w:sz w:val="32"/>
          <w:szCs w:val="32"/>
        </w:rPr>
        <w:drawing>
          <wp:inline distT="0" distB="0" distL="114300" distR="114300">
            <wp:extent cx="5273675" cy="3425825"/>
            <wp:effectExtent l="0" t="0" r="3175" b="3175"/>
            <wp:docPr id="11" name="图片 11"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5"/>
                    <pic:cNvPicPr>
                      <a:picLocks noChangeAspect="1"/>
                    </pic:cNvPicPr>
                  </pic:nvPicPr>
                  <pic:blipFill>
                    <a:blip r:embed="rId11"/>
                    <a:stretch>
                      <a:fillRect/>
                    </a:stretch>
                  </pic:blipFill>
                  <pic:spPr>
                    <a:xfrm>
                      <a:off x="0" y="0"/>
                      <a:ext cx="5273675" cy="3425825"/>
                    </a:xfrm>
                    <a:prstGeom prst="rect">
                      <a:avLst/>
                    </a:prstGeom>
                  </pic:spPr>
                </pic:pic>
              </a:graphicData>
            </a:graphic>
          </wp:inline>
        </w:drawing>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7444"/>
      <w:bookmarkStart w:id="32" w:name="_Toc15377213"/>
      <w:bookmarkStart w:id="33" w:name="_Toc15378460"/>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652.45</w:t>
      </w:r>
      <w:r>
        <w:rPr>
          <w:rFonts w:hint="eastAsia" w:ascii="仿宋" w:hAnsi="仿宋" w:eastAsia="仿宋"/>
          <w:sz w:val="32"/>
          <w:szCs w:val="32"/>
        </w:rPr>
        <w:t>，</w:t>
      </w:r>
      <w:r>
        <w:rPr>
          <w:rStyle w:val="14"/>
          <w:rFonts w:hint="eastAsia" w:ascii="仿宋" w:hAnsi="仿宋" w:eastAsia="仿宋"/>
          <w:bCs/>
          <w:sz w:val="32"/>
          <w:szCs w:val="32"/>
        </w:rPr>
        <w:t>完成预算</w:t>
      </w:r>
      <w:r>
        <w:rPr>
          <w:rStyle w:val="14"/>
          <w:rFonts w:hint="eastAsia" w:ascii="仿宋" w:hAnsi="仿宋" w:eastAsia="仿宋"/>
          <w:bCs/>
          <w:sz w:val="32"/>
          <w:szCs w:val="32"/>
          <w:lang w:val="en-US" w:eastAsia="zh-CN"/>
        </w:rPr>
        <w:t>100</w:t>
      </w:r>
      <w:r>
        <w:rPr>
          <w:rStyle w:val="14"/>
          <w:rFonts w:ascii="仿宋" w:hAnsi="仿宋" w:eastAsia="仿宋"/>
          <w:bCs/>
          <w:sz w:val="32"/>
          <w:szCs w:val="32"/>
        </w:rPr>
        <w:t>%</w:t>
      </w:r>
      <w:r>
        <w:rPr>
          <w:rStyle w:val="14"/>
          <w:rFonts w:hint="eastAsia" w:ascii="仿宋" w:hAnsi="仿宋" w:eastAsia="仿宋"/>
          <w:bCs/>
          <w:sz w:val="32"/>
          <w:szCs w:val="32"/>
        </w:rPr>
        <w:t>。其中：</w:t>
      </w:r>
      <w:bookmarkEnd w:id="31"/>
      <w:bookmarkEnd w:id="32"/>
      <w:bookmarkEnd w:id="33"/>
    </w:p>
    <w:p>
      <w:pPr>
        <w:numPr>
          <w:ilvl w:val="0"/>
          <w:numId w:val="3"/>
        </w:numPr>
        <w:spacing w:line="600" w:lineRule="exact"/>
        <w:ind w:left="0" w:leftChars="0" w:firstLine="643" w:firstLineChars="200"/>
        <w:rPr>
          <w:rStyle w:val="14"/>
          <w:rFonts w:hint="eastAsia" w:ascii="仿宋" w:hAnsi="仿宋" w:eastAsia="仿宋"/>
          <w:b w:val="0"/>
          <w:bCs/>
          <w:sz w:val="32"/>
          <w:szCs w:val="32"/>
          <w:lang w:eastAsia="zh-CN"/>
        </w:rPr>
      </w:pPr>
      <w:r>
        <w:rPr>
          <w:rStyle w:val="14"/>
          <w:rFonts w:hint="eastAsia" w:ascii="仿宋" w:hAnsi="仿宋" w:eastAsia="仿宋"/>
          <w:bCs/>
          <w:sz w:val="32"/>
          <w:szCs w:val="32"/>
        </w:rPr>
        <w:t>教育（类）</w:t>
      </w:r>
      <w:r>
        <w:rPr>
          <w:rStyle w:val="14"/>
          <w:rFonts w:hint="eastAsia" w:ascii="仿宋" w:hAnsi="仿宋" w:eastAsia="仿宋"/>
          <w:bCs/>
          <w:color w:val="000000"/>
          <w:sz w:val="32"/>
          <w:szCs w:val="32"/>
        </w:rPr>
        <w:t>财政事务（款）教育支出（项）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506.58</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lang w:eastAsia="zh-CN"/>
        </w:rPr>
        <w:t>。</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lang w:val="en-US" w:eastAsia="zh-CN"/>
        </w:rPr>
        <w:t>2</w:t>
      </w:r>
      <w:r>
        <w:rPr>
          <w:rStyle w:val="14"/>
          <w:rFonts w:ascii="仿宋" w:hAnsi="仿宋" w:eastAsia="仿宋"/>
          <w:bCs/>
          <w:sz w:val="32"/>
          <w:szCs w:val="32"/>
        </w:rPr>
        <w:t>.</w:t>
      </w:r>
      <w:r>
        <w:rPr>
          <w:rStyle w:val="14"/>
          <w:rFonts w:hint="eastAsia" w:ascii="仿宋" w:hAnsi="仿宋" w:eastAsia="仿宋"/>
          <w:bCs/>
          <w:sz w:val="32"/>
          <w:szCs w:val="32"/>
        </w:rPr>
        <w:t>社会保障和就业（类）</w:t>
      </w:r>
      <w:r>
        <w:rPr>
          <w:rStyle w:val="14"/>
          <w:rFonts w:hint="eastAsia" w:ascii="仿宋" w:hAnsi="仿宋" w:eastAsia="仿宋"/>
          <w:bCs/>
          <w:color w:val="000000"/>
          <w:sz w:val="32"/>
          <w:szCs w:val="32"/>
        </w:rPr>
        <w:t>财政事务（款）社会保障和就业支出（项）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80.42</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lang w:val="en-US" w:eastAsia="zh-CN"/>
        </w:rPr>
        <w:t>3</w:t>
      </w:r>
      <w:r>
        <w:rPr>
          <w:rStyle w:val="14"/>
          <w:rFonts w:ascii="仿宋" w:hAnsi="仿宋" w:eastAsia="仿宋"/>
          <w:bCs/>
          <w:sz w:val="32"/>
          <w:szCs w:val="32"/>
        </w:rPr>
        <w:t>.</w:t>
      </w:r>
      <w:r>
        <w:rPr>
          <w:rFonts w:hint="eastAsia" w:ascii="仿宋" w:hAnsi="仿宋" w:eastAsia="仿宋"/>
          <w:b/>
          <w:bCs/>
          <w:sz w:val="32"/>
          <w:szCs w:val="32"/>
        </w:rPr>
        <w:t>卫生健康</w:t>
      </w:r>
      <w:r>
        <w:rPr>
          <w:rStyle w:val="14"/>
          <w:rFonts w:hint="eastAsia" w:ascii="仿宋" w:hAnsi="仿宋" w:eastAsia="仿宋"/>
          <w:bCs/>
          <w:sz w:val="32"/>
          <w:szCs w:val="32"/>
        </w:rPr>
        <w:t>（类）</w:t>
      </w:r>
      <w:r>
        <w:rPr>
          <w:rStyle w:val="14"/>
          <w:rFonts w:hint="eastAsia" w:ascii="仿宋" w:hAnsi="仿宋" w:eastAsia="仿宋"/>
          <w:bCs/>
          <w:color w:val="000000"/>
          <w:sz w:val="32"/>
          <w:szCs w:val="32"/>
        </w:rPr>
        <w:t>财政事</w:t>
      </w:r>
      <w:r>
        <w:rPr>
          <w:rStyle w:val="14"/>
          <w:rFonts w:hint="eastAsia" w:ascii="仿宋" w:hAnsi="仿宋" w:eastAsia="仿宋"/>
          <w:bCs/>
          <w:color w:val="000000"/>
          <w:sz w:val="32"/>
          <w:szCs w:val="32"/>
          <w:lang w:eastAsia="zh-CN"/>
        </w:rPr>
        <w:t>务</w:t>
      </w:r>
      <w:r>
        <w:rPr>
          <w:rStyle w:val="14"/>
          <w:rFonts w:hint="eastAsia" w:ascii="仿宋" w:hAnsi="仿宋" w:eastAsia="仿宋"/>
          <w:bCs/>
          <w:color w:val="000000"/>
          <w:sz w:val="32"/>
          <w:szCs w:val="32"/>
        </w:rPr>
        <w:t>（款）卫生健康支出（项）</w:t>
      </w:r>
      <w:r>
        <w:rPr>
          <w:rStyle w:val="14"/>
          <w:rFonts w:ascii="仿宋" w:hAnsi="仿宋" w:eastAsia="仿宋"/>
          <w:bCs/>
          <w:color w:val="000000"/>
          <w:sz w:val="32"/>
          <w:szCs w:val="32"/>
        </w:rPr>
        <w:t>:</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18.69</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0"/>
        <w:rPr>
          <w:rFonts w:ascii="仿宋" w:hAnsi="仿宋" w:eastAsia="仿宋"/>
          <w:b/>
          <w:sz w:val="32"/>
          <w:szCs w:val="32"/>
        </w:rPr>
      </w:pPr>
      <w:r>
        <w:rPr>
          <w:rStyle w:val="14"/>
          <w:rFonts w:hint="eastAsia" w:ascii="仿宋" w:hAnsi="仿宋" w:eastAsia="仿宋"/>
          <w:bCs/>
          <w:color w:val="000000"/>
          <w:sz w:val="32"/>
          <w:szCs w:val="32"/>
          <w:lang w:val="en-US" w:eastAsia="zh-CN"/>
        </w:rPr>
        <w:t>4</w:t>
      </w:r>
      <w:r>
        <w:rPr>
          <w:rStyle w:val="14"/>
          <w:rFonts w:ascii="仿宋" w:hAnsi="仿宋" w:eastAsia="仿宋"/>
          <w:bCs/>
          <w:color w:val="000000"/>
          <w:sz w:val="32"/>
          <w:szCs w:val="32"/>
        </w:rPr>
        <w:t>.</w:t>
      </w:r>
      <w:r>
        <w:rPr>
          <w:rFonts w:hint="eastAsia"/>
        </w:rPr>
        <w:t xml:space="preserve"> </w:t>
      </w:r>
      <w:r>
        <w:rPr>
          <w:rFonts w:hint="eastAsia" w:ascii="仿宋" w:hAnsi="仿宋" w:eastAsia="仿宋"/>
          <w:b/>
          <w:bCs/>
          <w:color w:val="000000"/>
          <w:sz w:val="32"/>
          <w:szCs w:val="32"/>
        </w:rPr>
        <w:t>住房保障支出</w:t>
      </w:r>
      <w:r>
        <w:rPr>
          <w:rStyle w:val="14"/>
          <w:rFonts w:hint="eastAsia" w:ascii="仿宋" w:hAnsi="仿宋" w:eastAsia="仿宋"/>
          <w:bCs/>
          <w:color w:val="000000"/>
          <w:sz w:val="32"/>
          <w:szCs w:val="32"/>
        </w:rPr>
        <w:t>（类）住房改革支出（款）住房公积金（项）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46.75</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tabs>
          <w:tab w:val="right" w:pos="8306"/>
        </w:tabs>
        <w:spacing w:line="600" w:lineRule="exact"/>
        <w:ind w:firstLine="640"/>
        <w:outlineLvl w:val="1"/>
        <w:rPr>
          <w:rStyle w:val="25"/>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5"/>
          <w:rFonts w:hint="eastAsia" w:ascii="黑体" w:hAnsi="黑体" w:eastAsia="黑体"/>
          <w:b w:val="0"/>
        </w:rPr>
        <w:t>般公共预算财政拨款基本支出决算情况说明</w:t>
      </w:r>
      <w:bookmarkEnd w:id="34"/>
      <w:bookmarkEnd w:id="35"/>
      <w:r>
        <w:rPr>
          <w:rStyle w:val="25"/>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629.82</w:t>
      </w:r>
      <w:r>
        <w:rPr>
          <w:rFonts w:hint="eastAsia" w:ascii="仿宋" w:hAnsi="仿宋" w:eastAsia="仿宋"/>
          <w:sz w:val="32"/>
          <w:szCs w:val="32"/>
        </w:rPr>
        <w:t>万元，其中：</w:t>
      </w:r>
    </w:p>
    <w:p>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573.01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hint="eastAsia" w:ascii="仿宋" w:hAnsi="仿宋" w:eastAsia="仿宋"/>
          <w:sz w:val="32"/>
          <w:szCs w:val="32"/>
        </w:rPr>
      </w:pPr>
      <w:r>
        <w:rPr>
          <w:rFonts w:hint="eastAsia" w:ascii="仿宋" w:hAnsi="仿宋" w:eastAsia="仿宋"/>
          <w:sz w:val="32"/>
          <w:szCs w:val="32"/>
        </w:rPr>
        <w:t>公用经费56.81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25"/>
          <w:rFonts w:ascii="黑体" w:hAnsi="黑体" w:eastAsia="黑体"/>
          <w:b w:val="0"/>
        </w:rPr>
      </w:pPr>
      <w:bookmarkStart w:id="36" w:name="_Toc15396609"/>
      <w:bookmarkStart w:id="37" w:name="_Toc15377215"/>
      <w:r>
        <w:rPr>
          <w:rFonts w:hint="eastAsia" w:ascii="黑体" w:eastAsia="黑体"/>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w:t>
      </w:r>
      <w:r>
        <w:rPr>
          <w:rFonts w:hint="eastAsia" w:ascii="仿宋" w:hAnsi="仿宋" w:eastAsia="仿宋"/>
          <w:sz w:val="32"/>
          <w:szCs w:val="32"/>
          <w:lang w:val="en-US" w:eastAsia="zh-CN"/>
        </w:rPr>
        <w:t>0</w:t>
      </w:r>
      <w:r>
        <w:rPr>
          <w:rFonts w:hint="eastAsia" w:ascii="仿宋" w:hAnsi="仿宋" w:eastAsia="仿宋"/>
          <w:sz w:val="32"/>
          <w:szCs w:val="32"/>
        </w:rPr>
        <w:t>万元，完成预算</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。具体情况如下：</w:t>
      </w:r>
    </w:p>
    <w:tbl>
      <w:tblPr>
        <w:tblStyle w:val="12"/>
        <w:tblW w:w="72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55"/>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55"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108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108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因公出国（境）费用</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bl>
    <w:p>
      <w:pPr>
        <w:spacing w:line="240" w:lineRule="auto"/>
        <w:ind w:firstLine="640"/>
        <w:rPr>
          <w:rFonts w:ascii="仿宋" w:hAnsi="仿宋" w:eastAsia="仿宋"/>
          <w:sz w:val="32"/>
          <w:szCs w:val="32"/>
        </w:rPr>
      </w:pPr>
      <w:r>
        <w:rPr>
          <w:rFonts w:hint="eastAsia" w:ascii="仿宋" w:hAnsi="仿宋" w:eastAsia="仿宋"/>
          <w:sz w:val="32"/>
          <w:szCs w:val="32"/>
        </w:rPr>
        <w:drawing>
          <wp:inline distT="0" distB="0" distL="114300" distR="114300">
            <wp:extent cx="5268595" cy="2821940"/>
            <wp:effectExtent l="0" t="0" r="8255" b="16510"/>
            <wp:docPr id="12" name="图片 12"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6"/>
                    <pic:cNvPicPr>
                      <a:picLocks noChangeAspect="1"/>
                    </pic:cNvPicPr>
                  </pic:nvPicPr>
                  <pic:blipFill>
                    <a:blip r:embed="rId12"/>
                    <a:stretch>
                      <a:fillRect/>
                    </a:stretch>
                  </pic:blipFill>
                  <pic:spPr>
                    <a:xfrm>
                      <a:off x="0" y="0"/>
                      <a:ext cx="5268595" cy="2821940"/>
                    </a:xfrm>
                    <a:prstGeom prst="rect">
                      <a:avLst/>
                    </a:prstGeom>
                  </pic:spPr>
                </pic:pic>
              </a:graphicData>
            </a:graphic>
          </wp:inline>
        </w:drawing>
      </w:r>
    </w:p>
    <w:p>
      <w:pPr>
        <w:spacing w:line="600" w:lineRule="exact"/>
        <w:ind w:firstLine="640"/>
        <w:rPr>
          <w:rFonts w:hint="default" w:ascii="仿宋_GB2312" w:eastAsia="仿宋_GB2312"/>
          <w:sz w:val="32"/>
          <w:szCs w:val="32"/>
          <w:lang w:val="en-US" w:eastAsia="zh-CN"/>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rPr>
        <w:t>完成预算</w:t>
      </w:r>
      <w:r>
        <w:rPr>
          <w:rStyle w:val="14"/>
          <w:rFonts w:hint="eastAsia" w:ascii="仿宋" w:hAnsi="仿宋" w:eastAsia="仿宋"/>
          <w:b w:val="0"/>
          <w:bCs/>
          <w:sz w:val="32"/>
          <w:szCs w:val="32"/>
          <w:lang w:val="en-US" w:eastAsia="zh-CN"/>
        </w:rPr>
        <w:t>0</w:t>
      </w:r>
      <w:r>
        <w:rPr>
          <w:rStyle w:val="14"/>
          <w:rFonts w:ascii="仿宋" w:hAnsi="仿宋" w:eastAsia="仿宋"/>
          <w:b w:val="0"/>
          <w:bCs/>
          <w:sz w:val="32"/>
          <w:szCs w:val="32"/>
        </w:rPr>
        <w:t>%</w:t>
      </w:r>
      <w:r>
        <w:rPr>
          <w:rStyle w:val="14"/>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rPr>
        <w:t>完成预算</w:t>
      </w:r>
      <w:r>
        <w:rPr>
          <w:rStyle w:val="14"/>
          <w:rFonts w:hint="eastAsia" w:ascii="仿宋" w:hAnsi="仿宋" w:eastAsia="仿宋"/>
          <w:b w:val="0"/>
          <w:bCs/>
          <w:sz w:val="32"/>
          <w:szCs w:val="32"/>
          <w:lang w:val="en-US" w:eastAsia="zh-CN"/>
        </w:rPr>
        <w:t>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spacing w:line="600" w:lineRule="exact"/>
        <w:ind w:firstLine="640" w:firstLineChars="200"/>
        <w:rPr>
          <w:rFonts w:hint="eastAsia" w:ascii="仿宋_GB2312" w:eastAsia="仿宋_GB2312"/>
          <w:b/>
          <w:sz w:val="32"/>
          <w:szCs w:val="32"/>
          <w:lang w:eastAsia="zh-CN"/>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4"/>
        </w:numPr>
        <w:spacing w:line="600" w:lineRule="exact"/>
        <w:ind w:firstLine="640"/>
        <w:rPr>
          <w:rStyle w:val="14"/>
          <w:rFonts w:hint="eastAsia" w:ascii="仿宋" w:hAnsi="仿宋" w:eastAsia="仿宋"/>
          <w:b w:val="0"/>
          <w:bCs/>
          <w:sz w:val="32"/>
          <w:szCs w:val="32"/>
        </w:rPr>
      </w:pPr>
      <w:r>
        <w:rPr>
          <w:rFonts w:hint="eastAsia" w:ascii="仿宋_GB2312" w:eastAsia="仿宋_GB2312"/>
          <w:b/>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rPr>
        <w:t>完成预算</w:t>
      </w:r>
      <w:r>
        <w:rPr>
          <w:rStyle w:val="14"/>
          <w:rFonts w:hint="eastAsia" w:ascii="仿宋" w:hAnsi="仿宋" w:eastAsia="仿宋"/>
          <w:b w:val="0"/>
          <w:bCs/>
          <w:sz w:val="32"/>
          <w:szCs w:val="32"/>
          <w:lang w:val="en-US" w:eastAsia="zh-CN"/>
        </w:rPr>
        <w:t>0</w:t>
      </w:r>
      <w:r>
        <w:rPr>
          <w:rStyle w:val="14"/>
          <w:rFonts w:ascii="仿宋" w:hAnsi="仿宋" w:eastAsia="仿宋"/>
          <w:b w:val="0"/>
          <w:bCs/>
          <w:sz w:val="32"/>
          <w:szCs w:val="32"/>
        </w:rPr>
        <w:t>%</w:t>
      </w:r>
      <w:r>
        <w:rPr>
          <w:rStyle w:val="14"/>
          <w:rFonts w:hint="eastAsia" w:ascii="仿宋" w:hAnsi="仿宋" w:eastAsia="仿宋"/>
          <w:b w:val="0"/>
          <w:bCs/>
          <w:sz w:val="32"/>
          <w:szCs w:val="32"/>
        </w:rPr>
        <w:t>。</w:t>
      </w:r>
    </w:p>
    <w:p>
      <w:pPr>
        <w:numPr>
          <w:ilvl w:val="0"/>
          <w:numId w:val="0"/>
        </w:numPr>
        <w:spacing w:line="600" w:lineRule="exact"/>
        <w:ind w:firstLine="643" w:firstLineChars="20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hint="eastAsia" w:ascii="仿宋_GB2312" w:eastAsia="仿宋_GB2312"/>
          <w:sz w:val="32"/>
          <w:szCs w:val="32"/>
          <w:lang w:eastAsia="zh-CN"/>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0"/>
        <w:outlineLvl w:val="1"/>
        <w:rPr>
          <w:rStyle w:val="25"/>
          <w:rFonts w:ascii="黑体" w:hAnsi="黑体" w:eastAsia="黑体"/>
        </w:rPr>
      </w:pPr>
      <w:bookmarkStart w:id="40" w:name="_Toc15377218"/>
      <w:bookmarkStart w:id="41" w:name="_Toc15396610"/>
      <w:r>
        <w:rPr>
          <w:rFonts w:hint="eastAsia" w:ascii="黑体" w:eastAsia="黑体"/>
          <w:sz w:val="32"/>
          <w:szCs w:val="32"/>
        </w:rPr>
        <w:t>八、</w:t>
      </w:r>
      <w:r>
        <w:rPr>
          <w:rStyle w:val="25"/>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5"/>
        </w:numPr>
        <w:spacing w:line="600" w:lineRule="exact"/>
        <w:ind w:firstLine="640"/>
        <w:outlineLvl w:val="1"/>
        <w:rPr>
          <w:rStyle w:val="25"/>
          <w:rFonts w:ascii="黑体" w:hAnsi="黑体" w:eastAsia="黑体"/>
          <w:b w:val="0"/>
        </w:rPr>
      </w:pPr>
      <w:bookmarkStart w:id="42" w:name="_Toc15377219"/>
      <w:bookmarkStart w:id="43" w:name="_Toc15396611"/>
      <w:r>
        <w:rPr>
          <w:rStyle w:val="25"/>
          <w:rFonts w:hint="eastAsia" w:ascii="黑体" w:hAnsi="黑体" w:eastAsia="黑体"/>
          <w:b w:val="0"/>
        </w:rPr>
        <w:t>国有资本经营预算支出决算情况说明</w:t>
      </w:r>
      <w:bookmarkEnd w:id="42"/>
      <w:bookmarkEnd w:id="43"/>
    </w:p>
    <w:p>
      <w:pPr>
        <w:spacing w:line="600" w:lineRule="exact"/>
        <w:ind w:firstLine="640"/>
      </w:pPr>
      <w:r>
        <w:rPr>
          <w:rFonts w:ascii="仿宋_GB2312" w:eastAsia="仿宋_GB2312"/>
          <w:sz w:val="32"/>
          <w:szCs w:val="32"/>
        </w:rPr>
        <w:t>20</w:t>
      </w:r>
      <w:r>
        <w:rPr>
          <w:rFonts w:hint="eastAsia" w:ascii="仿宋_GB2312" w:eastAsia="仿宋_GB2312"/>
          <w:sz w:val="32"/>
          <w:szCs w:val="32"/>
        </w:rPr>
        <w:t>21年国有资本经营预算财政拨款支出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0"/>
        </w:numPr>
        <w:spacing w:line="600" w:lineRule="exact"/>
        <w:ind w:firstLine="640" w:firstLineChars="200"/>
        <w:outlineLvl w:val="1"/>
        <w:rPr>
          <w:rFonts w:ascii="仿宋" w:hAnsi="仿宋" w:eastAsia="仿宋"/>
          <w:b/>
          <w:sz w:val="32"/>
          <w:szCs w:val="32"/>
        </w:rPr>
      </w:pPr>
      <w:bookmarkStart w:id="44" w:name="_Toc15377221"/>
      <w:bookmarkStart w:id="45" w:name="_Toc15396612"/>
      <w:r>
        <w:rPr>
          <w:rStyle w:val="25"/>
          <w:rFonts w:hint="eastAsia" w:ascii="黑体" w:hAnsi="黑体" w:eastAsia="黑体"/>
          <w:b w:val="0"/>
          <w:lang w:eastAsia="zh-CN"/>
        </w:rPr>
        <w:t>十、</w:t>
      </w:r>
      <w:r>
        <w:rPr>
          <w:rStyle w:val="25"/>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hint="eastAsia" w:ascii="仿宋_GB2312" w:eastAsia="仿宋_GB2312"/>
          <w:sz w:val="32"/>
          <w:szCs w:val="32"/>
          <w:lang w:val="en-US" w:eastAsia="zh-CN"/>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eastAsia="zh-CN"/>
        </w:rPr>
        <w:t>茅桥中学</w:t>
      </w:r>
      <w:r>
        <w:rPr>
          <w:rFonts w:hint="eastAsia" w:ascii="仿宋_GB2312" w:eastAsia="仿宋_GB2312"/>
          <w:sz w:val="32"/>
          <w:szCs w:val="32"/>
        </w:rPr>
        <w:t>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20年增加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lang w:val="en-US" w:eastAsia="zh-CN"/>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 w:hAnsi="仿宋" w:eastAsia="仿宋"/>
          <w:b/>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eastAsia="zh-CN"/>
        </w:rPr>
        <w:t>茅桥中学</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 w:hAnsi="仿宋" w:eastAsia="仿宋"/>
          <w:b/>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茅桥中学</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lang w:eastAsia="zh-CN"/>
        </w:rPr>
        <w:t>（四）</w:t>
      </w:r>
      <w:r>
        <w:rPr>
          <w:rFonts w:hint="eastAsia" w:ascii="仿宋" w:hAnsi="仿宋" w:eastAsia="仿宋"/>
          <w:b/>
          <w:sz w:val="32"/>
          <w:szCs w:val="32"/>
        </w:rPr>
        <w:t>预算绩效管理情况</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根据预算绩效管理要求，本单位在2021年度预算编制阶段，组织对</w:t>
      </w:r>
      <w:r>
        <w:rPr>
          <w:rFonts w:hint="eastAsia" w:ascii="仿宋_GB2312" w:hAnsi="仿宋_GB2312" w:eastAsia="仿宋_GB2312" w:cs="仿宋_GB2312"/>
          <w:sz w:val="32"/>
          <w:szCs w:val="32"/>
          <w:lang w:eastAsia="zh-CN"/>
        </w:rPr>
        <w:t>校园保安、临聘教师</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、学生作业本</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3个</w:t>
      </w:r>
      <w:r>
        <w:rPr>
          <w:rFonts w:hint="eastAsia" w:ascii="仿宋_GB2312" w:hAnsi="仿宋_GB2312" w:eastAsia="仿宋_GB2312" w:cs="仿宋_GB2312"/>
          <w:sz w:val="32"/>
          <w:szCs w:val="32"/>
        </w:rPr>
        <w:t>项目开展绩效监控，年终执行完毕后，对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个项目开展了绩效自评</w:t>
      </w:r>
      <w:r>
        <w:rPr>
          <w:rFonts w:hint="eastAsia" w:ascii="仿宋_GB2312" w:hAnsi="仿宋_GB2312" w:eastAsia="仿宋_GB2312" w:cs="仿宋_GB2312"/>
          <w:sz w:val="32"/>
          <w:szCs w:val="32"/>
          <w:lang w:eastAsia="zh-CN"/>
        </w:rPr>
        <w:t>。</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按要求对202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年部门整体支出开展绩效自评，从评价情况来看预决算编制合理，支出高效，进度执行规范。财政支出既保障本园正常运转，又保证了重点项目开支，财政支出绩效良好。</w:t>
      </w:r>
    </w:p>
    <w:p>
      <w:pPr>
        <w:numPr>
          <w:ilvl w:val="0"/>
          <w:numId w:val="6"/>
        </w:num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w:t>
      </w:r>
      <w:r>
        <w:rPr>
          <w:rFonts w:hint="eastAsia" w:ascii="楷体_GB2312" w:hAnsi="楷体_GB2312" w:eastAsia="楷体_GB2312" w:cs="楷体_GB2312"/>
          <w:sz w:val="32"/>
          <w:szCs w:val="32"/>
        </w:rPr>
        <w:t>项目绩效目标完成情况</w:t>
      </w:r>
      <w:r>
        <w:rPr>
          <w:rFonts w:hint="eastAsia" w:ascii="楷体_GB2312" w:hAnsi="楷体_GB2312" w:eastAsia="楷体_GB2312" w:cs="楷体_GB2312"/>
          <w:sz w:val="32"/>
          <w:szCs w:val="32"/>
          <w:lang w:eastAsia="zh-CN"/>
        </w:rPr>
        <w:t>：</w:t>
      </w:r>
    </w:p>
    <w:p>
      <w:pPr>
        <w:numPr>
          <w:ilvl w:val="0"/>
          <w:numId w:val="6"/>
        </w:num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年度部门决算中反映“</w:t>
      </w:r>
      <w:r>
        <w:rPr>
          <w:rFonts w:hint="eastAsia" w:ascii="仿宋_GB2312" w:hAnsi="仿宋_GB2312" w:eastAsia="仿宋_GB2312" w:cs="仿宋_GB2312"/>
          <w:sz w:val="32"/>
          <w:szCs w:val="32"/>
          <w:lang w:eastAsia="zh-CN"/>
        </w:rPr>
        <w:t>校园安保</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“中小学临聘教师”“学生作业本”</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个项目绩效目标实际完成情况。</w:t>
      </w:r>
    </w:p>
    <w:p>
      <w:pPr>
        <w:numPr>
          <w:ilvl w:val="0"/>
          <w:numId w:val="0"/>
        </w:numPr>
        <w:spacing w:line="580" w:lineRule="exact"/>
        <w:ind w:firstLine="320" w:firstLineChars="100"/>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）校园安保</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7.66</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7.66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%。通过项目实施，保障确保安保人员到岗到位，确保安保经费足额按时发放，确保广大师生生命安全和校园财产安全。</w:t>
      </w:r>
    </w:p>
    <w:p>
      <w:pPr>
        <w:pStyle w:val="2"/>
        <w:numPr>
          <w:ilvl w:val="0"/>
          <w:numId w:val="0"/>
        </w:numPr>
        <w:ind w:firstLine="640"/>
        <w:rPr>
          <w:rFonts w:hint="eastAsia" w:ascii="仿宋_GB2312" w:hAnsi="仿宋_GB2312" w:eastAsia="仿宋_GB2312" w:cs="仿宋_GB2312"/>
          <w:sz w:val="32"/>
          <w:szCs w:val="32"/>
        </w:rPr>
      </w:pPr>
      <w:r>
        <w:rPr>
          <w:rFonts w:hint="eastAsia" w:hAnsi="仿宋_GB2312" w:cs="仿宋_GB2312"/>
          <w:sz w:val="32"/>
          <w:szCs w:val="32"/>
          <w:lang w:val="en-US" w:eastAsia="zh-CN"/>
        </w:rPr>
        <w:t>（2）</w:t>
      </w:r>
      <w:r>
        <w:rPr>
          <w:rFonts w:hint="eastAsia" w:hAnsi="仿宋_GB2312" w:cs="仿宋_GB2312"/>
          <w:sz w:val="32"/>
          <w:szCs w:val="32"/>
          <w:lang w:eastAsia="zh-CN"/>
        </w:rPr>
        <w:t>中小学临聘教师</w:t>
      </w:r>
      <w:r>
        <w:rPr>
          <w:rFonts w:hint="eastAsia" w:ascii="仿宋_GB2312" w:hAnsi="仿宋_GB2312" w:eastAsia="仿宋_GB2312" w:cs="仿宋_GB2312"/>
          <w:sz w:val="32"/>
          <w:szCs w:val="32"/>
        </w:rPr>
        <w:t>项目绩效目标完成情况综述。项目全年预算数</w:t>
      </w:r>
      <w:r>
        <w:rPr>
          <w:rFonts w:hint="eastAsia" w:hAnsi="仿宋_GB2312" w:cs="仿宋_GB2312"/>
          <w:sz w:val="32"/>
          <w:szCs w:val="32"/>
          <w:lang w:val="en-US" w:eastAsia="zh-CN"/>
        </w:rPr>
        <w:t>14.3</w:t>
      </w:r>
      <w:r>
        <w:rPr>
          <w:rFonts w:hint="eastAsia" w:ascii="仿宋_GB2312" w:hAnsi="仿宋_GB2312" w:eastAsia="仿宋_GB2312" w:cs="仿宋_GB2312"/>
          <w:sz w:val="32"/>
          <w:szCs w:val="32"/>
        </w:rPr>
        <w:t>万元，执行数为</w:t>
      </w:r>
      <w:r>
        <w:rPr>
          <w:rFonts w:hint="eastAsia" w:hAnsi="仿宋_GB2312" w:cs="仿宋_GB2312"/>
          <w:sz w:val="32"/>
          <w:szCs w:val="32"/>
          <w:lang w:val="en-US" w:eastAsia="zh-CN"/>
        </w:rPr>
        <w:t>14.3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%。通过项目实施，保障确</w:t>
      </w:r>
      <w:r>
        <w:rPr>
          <w:rFonts w:hint="eastAsia" w:hAnsi="仿宋_GB2312" w:cs="仿宋_GB2312"/>
          <w:sz w:val="32"/>
          <w:szCs w:val="32"/>
          <w:lang w:eastAsia="zh-CN"/>
        </w:rPr>
        <w:t>临聘教师</w:t>
      </w:r>
      <w:r>
        <w:rPr>
          <w:rFonts w:hint="eastAsia" w:ascii="仿宋_GB2312" w:hAnsi="仿宋_GB2312" w:eastAsia="仿宋_GB2312" w:cs="仿宋_GB2312"/>
          <w:sz w:val="32"/>
          <w:szCs w:val="32"/>
        </w:rPr>
        <w:t>到岗到位，确保</w:t>
      </w:r>
      <w:r>
        <w:rPr>
          <w:rFonts w:hint="eastAsia" w:hAnsi="仿宋_GB2312" w:cs="仿宋_GB2312"/>
          <w:sz w:val="32"/>
          <w:szCs w:val="32"/>
          <w:lang w:eastAsia="zh-CN"/>
        </w:rPr>
        <w:t>临聘教师</w:t>
      </w:r>
      <w:r>
        <w:rPr>
          <w:rFonts w:hint="eastAsia" w:ascii="仿宋_GB2312" w:hAnsi="仿宋_GB2312" w:eastAsia="仿宋_GB2312" w:cs="仿宋_GB2312"/>
          <w:sz w:val="32"/>
          <w:szCs w:val="32"/>
        </w:rPr>
        <w:t>经费足额按时发放，确保</w:t>
      </w:r>
      <w:r>
        <w:rPr>
          <w:rFonts w:hint="eastAsia" w:hAnsi="仿宋_GB2312" w:cs="仿宋_GB2312"/>
          <w:sz w:val="32"/>
          <w:szCs w:val="32"/>
          <w:lang w:eastAsia="zh-CN"/>
        </w:rPr>
        <w:t>教学工作顺利进行</w:t>
      </w:r>
      <w:r>
        <w:rPr>
          <w:rFonts w:hint="eastAsia" w:ascii="仿宋_GB2312" w:hAnsi="仿宋_GB2312" w:eastAsia="仿宋_GB2312" w:cs="仿宋_GB2312"/>
          <w:sz w:val="32"/>
          <w:szCs w:val="32"/>
        </w:rPr>
        <w:t>。</w:t>
      </w:r>
    </w:p>
    <w:p>
      <w:pPr>
        <w:pStyle w:val="2"/>
        <w:numPr>
          <w:ilvl w:val="0"/>
          <w:numId w:val="0"/>
        </w:numPr>
        <w:ind w:firstLine="640"/>
        <w:rPr>
          <w:rFonts w:hint="default" w:ascii="仿宋_GB2312" w:hAnsi="仿宋_GB2312" w:eastAsia="仿宋_GB2312" w:cs="仿宋_GB2312"/>
          <w:sz w:val="32"/>
          <w:szCs w:val="32"/>
          <w:lang w:val="en-US" w:eastAsia="zh-CN"/>
        </w:rPr>
      </w:pPr>
      <w:r>
        <w:rPr>
          <w:rFonts w:hint="eastAsia" w:hAnsi="仿宋_GB2312" w:cs="仿宋_GB2312"/>
          <w:sz w:val="32"/>
          <w:szCs w:val="32"/>
          <w:lang w:eastAsia="zh-CN"/>
        </w:rPr>
        <w:t>（</w:t>
      </w:r>
      <w:r>
        <w:rPr>
          <w:rFonts w:hint="eastAsia" w:hAnsi="仿宋_GB2312" w:cs="仿宋_GB2312"/>
          <w:sz w:val="32"/>
          <w:szCs w:val="32"/>
          <w:lang w:val="en-US" w:eastAsia="zh-CN"/>
        </w:rPr>
        <w:t>3</w:t>
      </w:r>
      <w:r>
        <w:rPr>
          <w:rFonts w:hint="eastAsia" w:hAnsi="仿宋_GB2312" w:cs="仿宋_GB2312"/>
          <w:sz w:val="32"/>
          <w:szCs w:val="32"/>
          <w:lang w:eastAsia="zh-CN"/>
        </w:rPr>
        <w:t>）学生作业本</w:t>
      </w:r>
      <w:r>
        <w:rPr>
          <w:rFonts w:hint="eastAsia" w:hAnsi="仿宋_GB2312" w:cs="仿宋_GB2312"/>
          <w:sz w:val="32"/>
          <w:szCs w:val="32"/>
          <w:lang w:val="en-US" w:eastAsia="zh-CN"/>
        </w:rPr>
        <w:t>0.65万元。</w:t>
      </w:r>
    </w:p>
    <w:p>
      <w:pPr>
        <w:numPr>
          <w:ilvl w:val="0"/>
          <w:numId w:val="7"/>
        </w:numPr>
        <w:spacing w:line="600" w:lineRule="exact"/>
        <w:ind w:firstLine="660" w:firstLineChars="150"/>
        <w:jc w:val="center"/>
        <w:outlineLvl w:val="0"/>
        <w:rPr>
          <w:rStyle w:val="24"/>
          <w:rFonts w:ascii="黑体" w:hAnsi="黑体" w:eastAsia="黑体"/>
          <w:b w:val="0"/>
        </w:rPr>
      </w:pPr>
      <w:r>
        <w:rPr>
          <w:rFonts w:hint="eastAsia" w:ascii="黑体" w:hAnsi="黑体" w:eastAsia="黑体"/>
          <w:sz w:val="44"/>
          <w:szCs w:val="44"/>
        </w:rPr>
        <w:t>名</w:t>
      </w:r>
      <w:r>
        <w:rPr>
          <w:rStyle w:val="24"/>
          <w:rFonts w:hint="eastAsia" w:ascii="黑体" w:hAnsi="黑体" w:eastAsia="黑体"/>
          <w:b w:val="0"/>
        </w:rPr>
        <w:t>词解释</w:t>
      </w:r>
    </w:p>
    <w:p>
      <w:pPr>
        <w:spacing w:line="600" w:lineRule="exact"/>
        <w:jc w:val="left"/>
        <w:rPr>
          <w:rFonts w:ascii="宋体"/>
          <w:b/>
          <w:sz w:val="44"/>
          <w:szCs w:val="44"/>
        </w:rPr>
      </w:pPr>
    </w:p>
    <w:p>
      <w:pPr>
        <w:pStyle w:val="22"/>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2"/>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9</w:t>
      </w:r>
      <w:r>
        <w:rPr>
          <w:rFonts w:ascii="仿宋_GB2312" w:eastAsia="仿宋_GB2312"/>
          <w:color w:val="000000"/>
          <w:sz w:val="32"/>
          <w:szCs w:val="32"/>
        </w:rPr>
        <w:t>.</w:t>
      </w:r>
      <w:r>
        <w:rPr>
          <w:rFonts w:hint="eastAsia" w:ascii="仿宋_GB2312" w:eastAsia="仿宋_GB2312"/>
          <w:color w:val="000000"/>
          <w:sz w:val="32"/>
          <w:szCs w:val="32"/>
        </w:rPr>
        <w:t>社会保障和就业（类）行政事业单位养老（款）行政单位离退休（项）：指实行归口管理的行政单位（包括实行公务员管理的事业单位）开支的离退休支出。</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社会保障和就业（类）行政事业单位养老（款）事业单位离退休（项）：指事业单位开支的离退休支出。</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社会保障和就业（类）行政事业单位养老（款）机关事业单位基本养老保险缴费（项）：指机关事业单位实施养老保险制度由单位实际缴纳的基本养老保险费支出。</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社会保障和就业（类）行政事业单位养老（款）机关事业单位职业年金缴费（项）：指机关事业单位实施养老保险制度由单位实际缴纳的职业年金支出。</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13.</w:t>
      </w:r>
      <w:r>
        <w:rPr>
          <w:rFonts w:hint="eastAsia" w:ascii="仿宋_GB2312" w:eastAsia="仿宋_GB2312"/>
          <w:color w:val="000000"/>
          <w:sz w:val="32"/>
          <w:szCs w:val="32"/>
        </w:rPr>
        <w:t>社会保障和就业（类）行政事业单位养老（款）其他行政事业单位养老（项）：指除上述其他用于行政事业单位养老方面的支出。</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14.</w:t>
      </w:r>
      <w:r>
        <w:rPr>
          <w:rFonts w:hint="eastAsia" w:ascii="仿宋_GB2312" w:eastAsia="仿宋_GB2312"/>
          <w:color w:val="000000"/>
          <w:sz w:val="32"/>
          <w:szCs w:val="32"/>
        </w:rPr>
        <w:t>社会保障和就业（类）抚恤（款）死亡抚恤（项）：指规定用于烈士和牺牲、病故人员家属的一次性和定期抚恤金以及丧葬补助费。</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社会保障和就业（类）残疾人事业（款）其他残疾人事业（项）：指除上述项目以外其他用于残疾人事业方面的支出。</w:t>
      </w:r>
    </w:p>
    <w:p>
      <w:pPr>
        <w:ind w:firstLine="566" w:firstLineChars="177"/>
        <w:rPr>
          <w:rFonts w:hint="eastAsia" w:ascii="仿宋_GB2312" w:eastAsia="仿宋_GB2312"/>
          <w:color w:val="000000"/>
          <w:sz w:val="32"/>
          <w:szCs w:val="32"/>
        </w:rPr>
      </w:pPr>
      <w:r>
        <w:rPr>
          <w:rFonts w:hint="eastAsia" w:ascii="仿宋_GB2312" w:eastAsia="仿宋_GB2312"/>
          <w:color w:val="000000"/>
          <w:sz w:val="32"/>
          <w:szCs w:val="32"/>
          <w:lang w:val="en-US" w:eastAsia="zh-CN"/>
        </w:rPr>
        <w:t>16.</w:t>
      </w:r>
      <w:r>
        <w:rPr>
          <w:rFonts w:hint="eastAsia" w:ascii="仿宋_GB2312" w:eastAsia="仿宋_GB2312"/>
          <w:color w:val="000000"/>
          <w:sz w:val="32"/>
          <w:szCs w:val="32"/>
        </w:rPr>
        <w:t>社会保障和就业（类）其他社会保障和就业（款）其他社会保障和就业（项）：指除上述项目以外其他用于社会保障和就业方面的支出。</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17</w:t>
      </w:r>
      <w:r>
        <w:rPr>
          <w:rFonts w:ascii="仿宋_GB2312" w:eastAsia="仿宋_GB2312"/>
          <w:color w:val="000000"/>
          <w:sz w:val="32"/>
          <w:szCs w:val="32"/>
        </w:rPr>
        <w:t>.</w:t>
      </w:r>
      <w:r>
        <w:rPr>
          <w:rFonts w:hint="eastAsia"/>
        </w:rPr>
        <w:t xml:space="preserve"> </w:t>
      </w:r>
      <w:r>
        <w:rPr>
          <w:rFonts w:hint="eastAsia" w:ascii="仿宋_GB2312" w:eastAsia="仿宋_GB2312"/>
          <w:color w:val="000000"/>
          <w:sz w:val="32"/>
          <w:szCs w:val="32"/>
        </w:rPr>
        <w:t>卫生健康（类）行政事业单位医疗（款）行政单位医疗（项）：指财政部门集中安排的行政单位基本医疗保险缴费经费，未参加医疗保险的行政单位的公费医疗经费，按国家规定享受离休人员、红军老战士待遇的医疗经费。</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18.</w:t>
      </w:r>
      <w:r>
        <w:rPr>
          <w:rFonts w:hint="eastAsia" w:ascii="仿宋_GB2312" w:eastAsia="仿宋_GB2312"/>
          <w:color w:val="000000"/>
          <w:sz w:val="32"/>
          <w:szCs w:val="32"/>
        </w:rPr>
        <w:t>卫生健康（类）行政事业单位医疗（款）事业单位医疗（项）：指财政部门集中安排的事业单位基本医疗保险缴费经费，未参加医疗保险的事业单位的公费医疗经费，按国家规定享受离休人员待遇人员的医疗经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19</w:t>
      </w:r>
      <w:r>
        <w:rPr>
          <w:rFonts w:ascii="仿宋_GB2312" w:eastAsia="仿宋_GB2312"/>
          <w:color w:val="000000"/>
          <w:sz w:val="32"/>
          <w:szCs w:val="32"/>
        </w:rPr>
        <w:t>.</w:t>
      </w:r>
      <w:r>
        <w:rPr>
          <w:rFonts w:hint="eastAsia" w:ascii="仿宋_GB2312" w:eastAsia="仿宋_GB2312"/>
          <w:color w:val="000000"/>
          <w:sz w:val="32"/>
          <w:szCs w:val="32"/>
        </w:rPr>
        <w:t>住房保障（类）住房改革（款）住房公积金（项）：指行政事业单位按人力资源和社会保障部、财政部规定的基本工资和津贴补贴以及规定比例为职工缴纳的住房公积金。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lang w:val="en-US" w:eastAsia="zh-CN"/>
        </w:rPr>
        <w:t>1</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lang w:val="en-US" w:eastAsia="zh-CN"/>
        </w:rPr>
        <w:t>2</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23</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cs="黑体"/>
          <w:color w:val="auto"/>
          <w:sz w:val="32"/>
          <w:szCs w:val="32"/>
        </w:rPr>
      </w:pPr>
    </w:p>
    <w:p>
      <w:pPr>
        <w:pStyle w:val="22"/>
        <w:spacing w:line="560" w:lineRule="exact"/>
        <w:ind w:firstLine="640" w:firstLineChars="200"/>
        <w:rPr>
          <w:rFonts w:ascii="仿宋_GB2312" w:eastAsia="仿宋_GB2312" w:cs="黑体"/>
          <w:color w:val="auto"/>
          <w:sz w:val="32"/>
          <w:szCs w:val="32"/>
        </w:rPr>
      </w:pPr>
    </w:p>
    <w:p>
      <w:pPr>
        <w:pStyle w:val="22"/>
        <w:spacing w:line="560" w:lineRule="exact"/>
        <w:ind w:firstLine="640" w:firstLineChars="200"/>
        <w:rPr>
          <w:rFonts w:ascii="仿宋_GB2312" w:eastAsia="仿宋_GB2312" w:cs="黑体"/>
          <w:color w:val="auto"/>
          <w:sz w:val="32"/>
          <w:szCs w:val="32"/>
        </w:rPr>
      </w:pPr>
    </w:p>
    <w:p>
      <w:pPr>
        <w:pStyle w:val="22"/>
        <w:spacing w:line="560" w:lineRule="exact"/>
        <w:ind w:firstLine="640" w:firstLineChars="200"/>
        <w:rPr>
          <w:rFonts w:ascii="仿宋_GB2312" w:eastAsia="仿宋_GB2312" w:cs="黑体"/>
          <w:color w:val="auto"/>
          <w:sz w:val="32"/>
          <w:szCs w:val="32"/>
        </w:rPr>
      </w:pPr>
    </w:p>
    <w:p>
      <w:pPr>
        <w:pStyle w:val="22"/>
        <w:spacing w:line="560" w:lineRule="exact"/>
        <w:ind w:firstLine="640" w:firstLineChars="200"/>
        <w:rPr>
          <w:rFonts w:ascii="仿宋_GB2312" w:eastAsia="仿宋_GB2312" w:cs="黑体"/>
          <w:color w:val="auto"/>
          <w:sz w:val="32"/>
          <w:szCs w:val="32"/>
        </w:rPr>
      </w:pPr>
    </w:p>
    <w:p>
      <w:pPr>
        <w:autoSpaceDE w:val="0"/>
        <w:autoSpaceDN w:val="0"/>
        <w:adjustRightInd w:val="0"/>
        <w:spacing w:line="600" w:lineRule="exact"/>
        <w:ind w:firstLine="643" w:firstLineChars="200"/>
        <w:rPr>
          <w:rFonts w:ascii="仿宋" w:hAnsi="仿宋" w:eastAsia="仿宋"/>
          <w:b/>
          <w:sz w:val="32"/>
          <w:szCs w:val="32"/>
        </w:rPr>
      </w:pPr>
    </w:p>
    <w:p>
      <w:pPr>
        <w:spacing w:line="600" w:lineRule="exact"/>
        <w:jc w:val="both"/>
        <w:outlineLvl w:val="0"/>
        <w:rPr>
          <w:rFonts w:hint="eastAsia" w:ascii="黑体" w:hAnsi="黑体" w:eastAsia="黑体"/>
          <w:sz w:val="44"/>
          <w:szCs w:val="44"/>
        </w:rPr>
      </w:pPr>
      <w:bookmarkStart w:id="49" w:name="_Toc15396614"/>
      <w:bookmarkStart w:id="50" w:name="_Toc15377226"/>
    </w:p>
    <w:p>
      <w:pPr>
        <w:spacing w:line="600" w:lineRule="exact"/>
        <w:jc w:val="center"/>
        <w:outlineLvl w:val="0"/>
        <w:rPr>
          <w:rStyle w:val="24"/>
          <w:rFonts w:ascii="黑体" w:hAnsi="黑体" w:eastAsia="黑体"/>
          <w:b w:val="0"/>
        </w:rPr>
      </w:pPr>
      <w:r>
        <w:rPr>
          <w:rFonts w:hint="eastAsia" w:ascii="黑体" w:hAnsi="黑体" w:eastAsia="黑体"/>
          <w:sz w:val="44"/>
          <w:szCs w:val="44"/>
        </w:rPr>
        <w:t>第</w:t>
      </w:r>
      <w:r>
        <w:rPr>
          <w:rStyle w:val="24"/>
          <w:rFonts w:hint="eastAsia" w:ascii="黑体" w:hAnsi="黑体" w:eastAsia="黑体"/>
          <w:b w:val="0"/>
        </w:rPr>
        <w:t>四部分 附件</w:t>
      </w:r>
      <w:bookmarkEnd w:id="49"/>
    </w:p>
    <w:p>
      <w:pPr>
        <w:spacing w:line="572" w:lineRule="exact"/>
        <w:jc w:val="left"/>
        <w:outlineLvl w:val="0"/>
        <w:rPr>
          <w:rFonts w:ascii="仿宋_GB2312" w:hAnsi="仿宋_GB2312" w:eastAsia="仿宋_GB2312" w:cs="仿宋_GB2312"/>
          <w:sz w:val="32"/>
          <w:szCs w:val="32"/>
        </w:rPr>
      </w:pPr>
      <w:r>
        <w:rPr>
          <w:rFonts w:hint="eastAsia" w:ascii="黑体" w:hAnsi="黑体" w:eastAsia="黑体" w:cs="黑体"/>
          <w:sz w:val="32"/>
          <w:szCs w:val="32"/>
        </w:rPr>
        <w:t>附件</w:t>
      </w:r>
    </w:p>
    <w:tbl>
      <w:tblPr>
        <w:tblStyle w:val="12"/>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32"/>
                <w:szCs w:val="32"/>
              </w:rPr>
            </w:pPr>
            <w:bookmarkStart w:id="51" w:name="_Toc15396618"/>
            <w:r>
              <w:rPr>
                <w:rFonts w:hint="eastAsia" w:ascii="宋体" w:hAnsi="宋体" w:cs="宋体"/>
                <w:b/>
                <w:sz w:val="32"/>
                <w:szCs w:val="32"/>
              </w:rPr>
              <w:t>2021年特定目标类部门预算项目绩效目标自评</w:t>
            </w:r>
          </w:p>
        </w:tc>
        <w:tc>
          <w:tcPr>
            <w:tcW w:w="234"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r>
        <w:tblPrEx>
          <w:tblCellMar>
            <w:top w:w="0" w:type="dxa"/>
            <w:left w:w="108" w:type="dxa"/>
            <w:bottom w:w="0" w:type="dxa"/>
            <w:right w:w="108" w:type="dxa"/>
          </w:tblCellMar>
        </w:tblPrEx>
        <w:trPr>
          <w:gridAfter w:val="1"/>
          <w:wAfter w:w="234"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eastAsia" w:ascii="宋体" w:hAnsi="宋体" w:eastAsia="宋体" w:cs="宋体"/>
                <w:sz w:val="24"/>
                <w:lang w:eastAsia="zh-CN"/>
              </w:rPr>
            </w:pPr>
            <w:r>
              <w:rPr>
                <w:rFonts w:hint="eastAsia" w:ascii="宋体" w:hAnsi="宋体" w:cs="宋体"/>
                <w:sz w:val="24"/>
                <w:lang w:eastAsia="zh-CN"/>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sz w:val="24"/>
                <w:lang w:eastAsia="zh-CN"/>
              </w:rPr>
            </w:pPr>
            <w:r>
              <w:rPr>
                <w:rFonts w:hint="eastAsia" w:ascii="宋体" w:hAnsi="宋体" w:cs="宋体"/>
                <w:sz w:val="24"/>
                <w:lang w:eastAsia="zh-CN"/>
              </w:rPr>
              <w:t>茅桥中学</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项目预算</w:t>
            </w:r>
          </w:p>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执行情况</w:t>
            </w:r>
          </w:p>
          <w:p>
            <w:pPr>
              <w:widowControl/>
              <w:spacing w:line="320" w:lineRule="exact"/>
              <w:jc w:val="center"/>
              <w:textAlignment w:val="center"/>
              <w:rPr>
                <w:rFonts w:ascii="宋体" w:hAnsi="宋体" w:cs="宋体"/>
                <w:sz w:val="24"/>
              </w:rPr>
            </w:pPr>
            <w:r>
              <w:rPr>
                <w:rFonts w:hint="eastAsia" w:ascii="宋体" w:hAnsi="宋体" w:cs="宋体"/>
                <w:kern w:val="0"/>
                <w:sz w:val="24"/>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24"/>
                <w:lang w:val="en-US" w:eastAsia="zh-CN"/>
              </w:rPr>
            </w:pPr>
            <w:r>
              <w:rPr>
                <w:rFonts w:hint="eastAsia" w:ascii="宋体" w:hAnsi="宋体" w:cs="宋体"/>
                <w:sz w:val="24"/>
                <w:lang w:val="en-US" w:eastAsia="zh-CN"/>
              </w:rPr>
              <w:t>7.6574</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24"/>
                <w:lang w:val="en-US" w:eastAsia="zh-CN"/>
              </w:rPr>
            </w:pPr>
            <w:r>
              <w:rPr>
                <w:rFonts w:hint="eastAsia" w:ascii="宋体" w:hAnsi="宋体" w:cs="宋体"/>
                <w:sz w:val="24"/>
                <w:lang w:val="en-US" w:eastAsia="zh-CN"/>
              </w:rPr>
              <w:t>7.6574</w:t>
            </w:r>
          </w:p>
        </w:tc>
      </w:tr>
      <w:tr>
        <w:tblPrEx>
          <w:tblCellMar>
            <w:top w:w="0" w:type="dxa"/>
            <w:left w:w="108" w:type="dxa"/>
            <w:bottom w:w="0" w:type="dxa"/>
            <w:right w:w="108" w:type="dxa"/>
          </w:tblCellMar>
        </w:tblPrEx>
        <w:trPr>
          <w:gridAfter w:val="1"/>
          <w:wAfter w:w="234"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24"/>
                <w:lang w:val="en-US" w:eastAsia="zh-CN"/>
              </w:rPr>
            </w:pPr>
            <w:r>
              <w:rPr>
                <w:rFonts w:hint="eastAsia" w:ascii="宋体" w:hAnsi="宋体" w:cs="宋体"/>
                <w:sz w:val="24"/>
                <w:lang w:val="en-US" w:eastAsia="zh-CN"/>
              </w:rPr>
              <w:t>7.65754</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default" w:ascii="宋体" w:hAnsi="宋体" w:eastAsia="宋体" w:cs="宋体"/>
                <w:sz w:val="24"/>
                <w:lang w:val="en-US" w:eastAsia="zh-CN"/>
              </w:rPr>
            </w:pPr>
            <w:r>
              <w:rPr>
                <w:rFonts w:hint="eastAsia" w:ascii="宋体" w:hAnsi="宋体" w:cs="宋体"/>
                <w:sz w:val="24"/>
                <w:lang w:val="en-US" w:eastAsia="zh-CN"/>
              </w:rPr>
              <w:t>7.6574</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p>
        </w:tc>
      </w:tr>
      <w:tr>
        <w:tblPrEx>
          <w:tblCellMar>
            <w:top w:w="0" w:type="dxa"/>
            <w:left w:w="108" w:type="dxa"/>
            <w:bottom w:w="0" w:type="dxa"/>
            <w:right w:w="108" w:type="dxa"/>
          </w:tblCellMar>
        </w:tblPrEx>
        <w:trPr>
          <w:gridAfter w:val="1"/>
          <w:wAfter w:w="234"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hAnsi="宋体" w:cs="宋体"/>
                <w:sz w:val="24"/>
              </w:rPr>
            </w:pPr>
            <w:r>
              <w:rPr>
                <w:rFonts w:hint="eastAsia" w:ascii="宋体" w:hAnsi="宋体" w:cs="宋体"/>
                <w:kern w:val="0"/>
                <w:sz w:val="24"/>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4"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24"/>
              </w:rPr>
            </w:pPr>
            <w:r>
              <w:rPr>
                <w:rFonts w:hint="eastAsia" w:ascii="宋体" w:hAnsi="宋体" w:cs="宋体"/>
                <w:sz w:val="18"/>
                <w:szCs w:val="18"/>
              </w:rPr>
              <w:t>通过劳务派遣的方式，聘请</w:t>
            </w:r>
            <w:r>
              <w:rPr>
                <w:rFonts w:hint="eastAsia" w:ascii="宋体" w:hAnsi="宋体" w:cs="宋体"/>
                <w:sz w:val="18"/>
                <w:szCs w:val="18"/>
                <w:lang w:val="en-US" w:eastAsia="zh-CN"/>
              </w:rPr>
              <w:t>2</w:t>
            </w:r>
            <w:r>
              <w:rPr>
                <w:rFonts w:hint="eastAsia" w:ascii="宋体" w:hAnsi="宋体" w:cs="宋体"/>
                <w:sz w:val="18"/>
                <w:szCs w:val="18"/>
              </w:rPr>
              <w:t>名保安完成校园安保工作，营造良好教育环境，保障校园师生及校产安全，以利正常教育教学秩序开展</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pPr>
          </w:p>
          <w:p>
            <w:pPr>
              <w:tabs>
                <w:tab w:val="left" w:pos="719"/>
              </w:tabs>
              <w:bidi w:val="0"/>
              <w:jc w:val="left"/>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ab/>
            </w:r>
            <w:r>
              <w:rPr>
                <w:rFonts w:hint="eastAsia" w:cs="Times New Roman"/>
                <w:kern w:val="2"/>
                <w:sz w:val="21"/>
                <w:szCs w:val="24"/>
                <w:lang w:val="en-US" w:eastAsia="zh-CN" w:bidi="ar-SA"/>
              </w:rPr>
              <w:t>全部完成</w:t>
            </w:r>
          </w:p>
        </w:tc>
      </w:tr>
      <w:tr>
        <w:tblPrEx>
          <w:tblCellMar>
            <w:top w:w="0" w:type="dxa"/>
            <w:left w:w="108" w:type="dxa"/>
            <w:bottom w:w="0" w:type="dxa"/>
            <w:right w:w="108" w:type="dxa"/>
          </w:tblCellMar>
        </w:tblPrEx>
        <w:trPr>
          <w:gridAfter w:val="1"/>
          <w:wAfter w:w="234" w:type="dxa"/>
          <w:trHeight w:val="693" w:hRule="atLeast"/>
        </w:trPr>
        <w:tc>
          <w:tcPr>
            <w:tcW w:w="197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eastAsia="zh-CN"/>
              </w:rPr>
              <w:t>校园安保人数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eastAsia="zh-CN"/>
              </w:rPr>
              <w:t>工资发放准确率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100%</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eastAsia="zh-CN"/>
              </w:rPr>
              <w:t>工资发放时间周期</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eastAsia="zh-CN"/>
              </w:rPr>
              <w:t>校园安保经费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38287元/人</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38287元/人</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eastAsia="zh-CN"/>
              </w:rPr>
              <w:t>校园安全事故发生率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18"/>
                <w:szCs w:val="18"/>
                <w:lang w:val="en-US" w:eastAsia="zh-CN"/>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18"/>
                <w:szCs w:val="18"/>
                <w:lang w:val="en-US" w:eastAsia="zh-CN"/>
              </w:rPr>
              <w:t>0%</w:t>
            </w:r>
          </w:p>
        </w:tc>
      </w:tr>
      <w:tr>
        <w:tblPrEx>
          <w:tblCellMar>
            <w:top w:w="0" w:type="dxa"/>
            <w:left w:w="108" w:type="dxa"/>
            <w:bottom w:w="0" w:type="dxa"/>
            <w:right w:w="108" w:type="dxa"/>
          </w:tblCellMar>
        </w:tblPrEx>
        <w:trPr>
          <w:gridAfter w:val="1"/>
          <w:wAfter w:w="234" w:type="dxa"/>
          <w:trHeight w:val="577"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463" w:leftChars="87" w:hanging="280" w:hangingChars="100"/>
              <w:jc w:val="left"/>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p>
        </w:tc>
      </w:tr>
      <w:tr>
        <w:tblPrEx>
          <w:tblCellMar>
            <w:top w:w="0" w:type="dxa"/>
            <w:left w:w="108" w:type="dxa"/>
            <w:bottom w:w="0" w:type="dxa"/>
            <w:right w:w="108" w:type="dxa"/>
          </w:tblCellMar>
        </w:tblPrEx>
        <w:trPr>
          <w:gridAfter w:val="1"/>
          <w:wAfter w:w="234" w:type="dxa"/>
          <w:trHeight w:val="530" w:hRule="atLeast"/>
        </w:trPr>
        <w:tc>
          <w:tcPr>
            <w:tcW w:w="197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满意度</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eastAsia="zh-CN"/>
              </w:rPr>
              <w:t>安保人员满意度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sz w:val="18"/>
                <w:szCs w:val="18"/>
                <w:lang w:val="en-US" w:eastAsia="zh-CN"/>
              </w:rPr>
              <w:t>100%</w:t>
            </w:r>
          </w:p>
        </w:tc>
      </w:tr>
    </w:tbl>
    <w:p>
      <w:pPr>
        <w:spacing w:line="600" w:lineRule="exact"/>
        <w:jc w:val="center"/>
        <w:outlineLvl w:val="0"/>
        <w:rPr>
          <w:rFonts w:ascii="黑体" w:hAnsi="黑体" w:eastAsia="黑体"/>
          <w:sz w:val="44"/>
          <w:szCs w:val="44"/>
        </w:rPr>
      </w:pPr>
    </w:p>
    <w:p>
      <w:pPr>
        <w:widowControl/>
        <w:adjustRightInd w:val="0"/>
        <w:snapToGrid w:val="0"/>
        <w:spacing w:line="580" w:lineRule="exact"/>
        <w:contextualSpacing/>
        <w:jc w:val="left"/>
      </w:pPr>
      <w:r>
        <w:rPr>
          <w:rFonts w:hint="eastAsia" w:ascii="仿宋_GB2312" w:hAnsi="宋体" w:eastAsia="仿宋_GB2312" w:cs="宋体"/>
          <w:color w:val="000000"/>
          <w:kern w:val="0"/>
          <w:sz w:val="32"/>
          <w:szCs w:val="32"/>
          <w:shd w:val="clear" w:color="auto" w:fill="FFFFFF"/>
        </w:rPr>
        <w:t>（注：有两个及以上特定目标类部门预算项目的，需分别开展绩效目标自评并填写附表）</w:t>
      </w:r>
    </w:p>
    <w:p>
      <w:pPr>
        <w:spacing w:line="600" w:lineRule="exact"/>
        <w:jc w:val="center"/>
        <w:outlineLvl w:val="0"/>
        <w:rPr>
          <w:rFonts w:ascii="黑体" w:hAnsi="黑体" w:eastAsia="黑体"/>
          <w:sz w:val="44"/>
          <w:szCs w:val="44"/>
        </w:rPr>
      </w:pPr>
    </w:p>
    <w:tbl>
      <w:tblPr>
        <w:tblStyle w:val="12"/>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32"/>
                <w:szCs w:val="32"/>
              </w:rPr>
            </w:pPr>
            <w:r>
              <w:rPr>
                <w:rFonts w:hint="eastAsia" w:ascii="宋体" w:hAnsi="宋体" w:cs="宋体"/>
                <w:b/>
                <w:sz w:val="32"/>
                <w:szCs w:val="32"/>
              </w:rPr>
              <w:t>2021年特定目标类部门预算项目绩效目标自评</w:t>
            </w:r>
          </w:p>
        </w:tc>
        <w:tc>
          <w:tcPr>
            <w:tcW w:w="234"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r>
        <w:tblPrEx>
          <w:tblCellMar>
            <w:top w:w="0" w:type="dxa"/>
            <w:left w:w="108" w:type="dxa"/>
            <w:bottom w:w="0" w:type="dxa"/>
            <w:right w:w="108" w:type="dxa"/>
          </w:tblCellMar>
        </w:tblPrEx>
        <w:trPr>
          <w:gridAfter w:val="1"/>
          <w:wAfter w:w="234"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eastAsia" w:ascii="宋体" w:hAnsi="宋体" w:eastAsia="宋体" w:cs="宋体"/>
                <w:sz w:val="18"/>
                <w:szCs w:val="18"/>
                <w:lang w:eastAsia="zh-CN"/>
              </w:rPr>
            </w:pPr>
            <w:r>
              <w:rPr>
                <w:rFonts w:hint="eastAsia" w:ascii="宋体" w:hAnsi="宋体" w:cs="宋体"/>
                <w:sz w:val="18"/>
                <w:szCs w:val="18"/>
                <w:lang w:eastAsia="zh-CN"/>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sz w:val="18"/>
                <w:szCs w:val="18"/>
                <w:lang w:eastAsia="zh-CN"/>
              </w:rPr>
            </w:pPr>
            <w:r>
              <w:rPr>
                <w:rFonts w:hint="eastAsia" w:ascii="宋体" w:hAnsi="宋体" w:cs="宋体"/>
                <w:sz w:val="18"/>
                <w:szCs w:val="18"/>
                <w:lang w:eastAsia="zh-CN"/>
              </w:rPr>
              <w:t>茅桥中学</w:t>
            </w:r>
          </w:p>
        </w:tc>
      </w:tr>
      <w:tr>
        <w:tblPrEx>
          <w:tblCellMar>
            <w:top w:w="0" w:type="dxa"/>
            <w:left w:w="108" w:type="dxa"/>
            <w:bottom w:w="0" w:type="dxa"/>
            <w:right w:w="108" w:type="dxa"/>
          </w:tblCellMar>
        </w:tblPrEx>
        <w:trPr>
          <w:gridAfter w:val="1"/>
          <w:wAfter w:w="234" w:type="dxa"/>
          <w:trHeight w:val="376"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kern w:val="0"/>
                <w:sz w:val="18"/>
                <w:szCs w:val="18"/>
                <w:lang w:eastAsia="zh-CN"/>
              </w:rPr>
            </w:pPr>
            <w:r>
              <w:rPr>
                <w:rFonts w:hint="eastAsia" w:ascii="宋体" w:hAnsi="宋体" w:cs="宋体"/>
                <w:kern w:val="0"/>
                <w:sz w:val="18"/>
                <w:szCs w:val="18"/>
              </w:rPr>
              <w:t>项目预算</w:t>
            </w:r>
          </w:p>
          <w:p>
            <w:pPr>
              <w:widowControl/>
              <w:spacing w:line="320" w:lineRule="exact"/>
              <w:jc w:val="center"/>
              <w:textAlignment w:val="center"/>
              <w:rPr>
                <w:rFonts w:hint="eastAsia" w:ascii="宋体" w:hAnsi="宋体" w:eastAsia="宋体" w:cs="宋体"/>
                <w:kern w:val="0"/>
                <w:sz w:val="18"/>
                <w:szCs w:val="18"/>
                <w:lang w:eastAsia="zh-CN"/>
              </w:rPr>
            </w:pPr>
            <w:r>
              <w:rPr>
                <w:rFonts w:hint="eastAsia" w:ascii="宋体" w:hAnsi="宋体" w:cs="宋体"/>
                <w:kern w:val="0"/>
                <w:sz w:val="18"/>
                <w:szCs w:val="18"/>
              </w:rPr>
              <w:t>执行情况</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14.3</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both"/>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14.3</w:t>
            </w:r>
          </w:p>
        </w:tc>
      </w:tr>
      <w:tr>
        <w:tblPrEx>
          <w:tblCellMar>
            <w:top w:w="0" w:type="dxa"/>
            <w:left w:w="108" w:type="dxa"/>
            <w:bottom w:w="0" w:type="dxa"/>
            <w:right w:w="108" w:type="dxa"/>
          </w:tblCellMar>
        </w:tblPrEx>
        <w:trPr>
          <w:gridAfter w:val="1"/>
          <w:wAfter w:w="234"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14.3</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14.3</w:t>
            </w:r>
          </w:p>
        </w:tc>
      </w:tr>
      <w:tr>
        <w:tblPrEx>
          <w:tblCellMar>
            <w:top w:w="0" w:type="dxa"/>
            <w:left w:w="108" w:type="dxa"/>
            <w:bottom w:w="0" w:type="dxa"/>
            <w:right w:w="108" w:type="dxa"/>
          </w:tblCellMar>
        </w:tblPrEx>
        <w:trPr>
          <w:gridAfter w:val="1"/>
          <w:wAfter w:w="234"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p>
        </w:tc>
      </w:tr>
      <w:tr>
        <w:tblPrEx>
          <w:tblCellMar>
            <w:top w:w="0" w:type="dxa"/>
            <w:left w:w="108" w:type="dxa"/>
            <w:bottom w:w="0" w:type="dxa"/>
            <w:right w:w="108" w:type="dxa"/>
          </w:tblCellMar>
        </w:tblPrEx>
        <w:trPr>
          <w:gridAfter w:val="1"/>
          <w:wAfter w:w="234"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18"/>
                <w:szCs w:val="18"/>
              </w:rPr>
            </w:pPr>
            <w:r>
              <w:rPr>
                <w:rFonts w:hint="eastAsia" w:ascii="宋体" w:hAnsi="宋体" w:cs="宋体"/>
                <w:kern w:val="0"/>
                <w:sz w:val="18"/>
                <w:szCs w:val="18"/>
              </w:rPr>
              <w:t>年度总体目标</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目标实际完成情况</w:t>
            </w:r>
          </w:p>
        </w:tc>
      </w:tr>
      <w:tr>
        <w:tblPrEx>
          <w:tblCellMar>
            <w:top w:w="0" w:type="dxa"/>
            <w:left w:w="108" w:type="dxa"/>
            <w:bottom w:w="0" w:type="dxa"/>
            <w:right w:w="108" w:type="dxa"/>
          </w:tblCellMar>
        </w:tblPrEx>
        <w:trPr>
          <w:gridAfter w:val="1"/>
          <w:wAfter w:w="234"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为缓解在编在职教师严重不足，聘请</w:t>
            </w:r>
            <w:r>
              <w:rPr>
                <w:rFonts w:hint="eastAsia" w:ascii="宋体" w:hAnsi="宋体" w:cs="宋体"/>
                <w:sz w:val="18"/>
                <w:szCs w:val="18"/>
                <w:lang w:val="en-US" w:eastAsia="zh-CN"/>
              </w:rPr>
              <w:t>2</w:t>
            </w:r>
            <w:r>
              <w:rPr>
                <w:rFonts w:hint="eastAsia" w:ascii="宋体" w:hAnsi="宋体" w:cs="宋体"/>
                <w:sz w:val="18"/>
                <w:szCs w:val="18"/>
              </w:rPr>
              <w:t>名临聘教师从事教育教学工作，保障学校的正常教育教学秩序，提高教育教学质量，促进学生全面发展</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hint="eastAsia" w:ascii="宋体" w:hAnsi="宋体" w:eastAsia="宋体" w:cs="宋体"/>
                <w:sz w:val="18"/>
                <w:szCs w:val="18"/>
                <w:lang w:eastAsia="zh-CN"/>
              </w:rPr>
            </w:pPr>
            <w:r>
              <w:rPr>
                <w:rFonts w:hint="eastAsia" w:ascii="宋体" w:hAnsi="宋体" w:cs="宋体"/>
                <w:sz w:val="18"/>
                <w:szCs w:val="18"/>
                <w:lang w:eastAsia="zh-CN"/>
              </w:rPr>
              <w:t>全部完成</w:t>
            </w:r>
          </w:p>
        </w:tc>
      </w:tr>
      <w:tr>
        <w:tblPrEx>
          <w:tblCellMar>
            <w:top w:w="0" w:type="dxa"/>
            <w:left w:w="108" w:type="dxa"/>
            <w:bottom w:w="0" w:type="dxa"/>
            <w:right w:w="108" w:type="dxa"/>
          </w:tblCellMar>
        </w:tblPrEx>
        <w:trPr>
          <w:gridAfter w:val="1"/>
          <w:wAfter w:w="234" w:type="dxa"/>
          <w:trHeight w:val="693" w:hRule="atLeast"/>
        </w:trPr>
        <w:tc>
          <w:tcPr>
            <w:tcW w:w="197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一级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二级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实际完成指标值</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完成</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中小学临聘教师人数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2</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工资发放准确率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abs>
                <w:tab w:val="left" w:pos="374"/>
              </w:tabs>
              <w:spacing w:line="320" w:lineRule="exact"/>
              <w:jc w:val="left"/>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eastAsia="zh-CN"/>
              </w:rPr>
              <w:tab/>
            </w: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r>
      <w:tr>
        <w:tblPrEx>
          <w:tblCellMar>
            <w:top w:w="0" w:type="dxa"/>
            <w:left w:w="108" w:type="dxa"/>
            <w:bottom w:w="0" w:type="dxa"/>
            <w:right w:w="108" w:type="dxa"/>
          </w:tblCellMar>
        </w:tblPrEx>
        <w:trPr>
          <w:gridAfter w:val="1"/>
          <w:wAfter w:w="234" w:type="dxa"/>
          <w:trHeight w:val="415"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工资发放时间周期</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12</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both"/>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中小学临聘教师工资及社保支出</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7.16万元/学年</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7.16万元/学年</w:t>
            </w: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rPr>
              <w:t>效益</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提高学校教学质量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优良中低差</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良</w:t>
            </w:r>
          </w:p>
        </w:tc>
      </w:tr>
      <w:tr>
        <w:tblPrEx>
          <w:tblCellMar>
            <w:top w:w="0" w:type="dxa"/>
            <w:left w:w="108" w:type="dxa"/>
            <w:bottom w:w="0" w:type="dxa"/>
            <w:right w:w="108" w:type="dxa"/>
          </w:tblCellMar>
        </w:tblPrEx>
        <w:trPr>
          <w:gridAfter w:val="1"/>
          <w:wAfter w:w="234" w:type="dxa"/>
          <w:trHeight w:val="577"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63" w:leftChars="87" w:hanging="180" w:hangingChars="100"/>
              <w:jc w:val="left"/>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480" w:hRule="atLeast"/>
        </w:trPr>
        <w:tc>
          <w:tcPr>
            <w:tcW w:w="197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gridAfter w:val="1"/>
          <w:wAfter w:w="234" w:type="dxa"/>
          <w:trHeight w:val="530" w:hRule="atLeast"/>
        </w:trPr>
        <w:tc>
          <w:tcPr>
            <w:tcW w:w="197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rPr>
              <w:t>满意</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满意度</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聘用教师满意度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r>
    </w:tbl>
    <w:p>
      <w:pPr>
        <w:spacing w:line="600" w:lineRule="exact"/>
        <w:jc w:val="center"/>
        <w:outlineLvl w:val="0"/>
        <w:rPr>
          <w:rFonts w:ascii="黑体" w:hAnsi="黑体" w:eastAsia="黑体"/>
          <w:sz w:val="44"/>
          <w:szCs w:val="44"/>
        </w:rPr>
      </w:pPr>
    </w:p>
    <w:p>
      <w:pPr>
        <w:spacing w:line="600" w:lineRule="exact"/>
        <w:jc w:val="both"/>
        <w:outlineLvl w:val="0"/>
        <w:rPr>
          <w:rFonts w:hint="eastAsia" w:ascii="黑体" w:hAnsi="黑体" w:eastAsia="黑体"/>
          <w:sz w:val="44"/>
          <w:szCs w:val="44"/>
        </w:rPr>
      </w:pPr>
    </w:p>
    <w:p>
      <w:pPr>
        <w:pStyle w:val="2"/>
        <w:rPr>
          <w:rFonts w:hint="eastAsia" w:ascii="黑体" w:hAnsi="黑体" w:eastAsia="黑体"/>
          <w:sz w:val="44"/>
          <w:szCs w:val="44"/>
        </w:rPr>
      </w:pPr>
    </w:p>
    <w:p>
      <w:pPr>
        <w:pStyle w:val="2"/>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4"/>
          <w:rFonts w:hint="eastAsia" w:ascii="黑体" w:hAnsi="黑体" w:eastAsia="黑体"/>
          <w:b w:val="0"/>
        </w:rPr>
        <w:t>五部分 附表</w:t>
      </w:r>
      <w:bookmarkEnd w:id="50"/>
      <w:bookmarkEnd w:id="51"/>
      <w:bookmarkStart w:id="52" w:name="_Toc15396619"/>
    </w:p>
    <w:p>
      <w:pPr>
        <w:pStyle w:val="4"/>
      </w:pPr>
      <w:r>
        <w:rPr>
          <w:rFonts w:hint="eastAsia" w:ascii="仿宋" w:hAnsi="仿宋" w:eastAsia="仿宋"/>
          <w:b w:val="0"/>
        </w:rPr>
        <w:t>一、收</w:t>
      </w:r>
      <w:r>
        <w:rPr>
          <w:rStyle w:val="25"/>
          <w:rFonts w:hint="eastAsia" w:ascii="仿宋" w:hAnsi="仿宋" w:eastAsia="仿宋"/>
          <w:b w:val="0"/>
          <w:bCs w:val="0"/>
        </w:rPr>
        <w:t>入支出决算总表</w:t>
      </w:r>
      <w:bookmarkEnd w:id="52"/>
    </w:p>
    <w:p>
      <w:pPr>
        <w:pStyle w:val="4"/>
        <w:rPr>
          <w:rFonts w:ascii="仿宋" w:hAnsi="仿宋" w:eastAsia="仿宋"/>
        </w:rPr>
      </w:pPr>
      <w:bookmarkStart w:id="53" w:name="_Toc15396620"/>
      <w:r>
        <w:rPr>
          <w:rFonts w:hint="eastAsia" w:ascii="仿宋" w:hAnsi="仿宋" w:eastAsia="仿宋"/>
          <w:b w:val="0"/>
        </w:rPr>
        <w:t>二、收</w:t>
      </w:r>
      <w:r>
        <w:rPr>
          <w:rStyle w:val="25"/>
          <w:rFonts w:hint="eastAsia" w:ascii="仿宋" w:hAnsi="仿宋" w:eastAsia="仿宋"/>
          <w:b w:val="0"/>
          <w:bCs w:val="0"/>
        </w:rPr>
        <w:t>入决算表</w:t>
      </w:r>
      <w:bookmarkEnd w:id="53"/>
    </w:p>
    <w:p>
      <w:pPr>
        <w:pStyle w:val="4"/>
        <w:rPr>
          <w:rFonts w:ascii="仿宋" w:hAnsi="仿宋" w:eastAsia="仿宋"/>
        </w:rPr>
      </w:pPr>
      <w:bookmarkStart w:id="54" w:name="_Toc15396621"/>
      <w:r>
        <w:rPr>
          <w:rStyle w:val="25"/>
          <w:rFonts w:hint="eastAsia" w:ascii="仿宋" w:hAnsi="仿宋" w:eastAsia="仿宋"/>
          <w:b w:val="0"/>
          <w:bCs w:val="0"/>
        </w:rPr>
        <w:t>三、</w:t>
      </w:r>
      <w:r>
        <w:rPr>
          <w:rFonts w:hint="eastAsia" w:ascii="仿宋" w:hAnsi="仿宋" w:eastAsia="仿宋"/>
          <w:b w:val="0"/>
        </w:rPr>
        <w:t>支</w:t>
      </w:r>
      <w:r>
        <w:rPr>
          <w:rStyle w:val="25"/>
          <w:rFonts w:hint="eastAsia" w:ascii="仿宋" w:hAnsi="仿宋" w:eastAsia="仿宋"/>
          <w:b w:val="0"/>
          <w:bCs w:val="0"/>
        </w:rPr>
        <w:t>出决算表</w:t>
      </w:r>
      <w:bookmarkEnd w:id="54"/>
    </w:p>
    <w:p>
      <w:pPr>
        <w:pStyle w:val="4"/>
        <w:rPr>
          <w:rFonts w:ascii="仿宋" w:hAnsi="仿宋" w:eastAsia="仿宋"/>
          <w:b w:val="0"/>
        </w:rPr>
      </w:pPr>
      <w:bookmarkStart w:id="55" w:name="_Toc15396622"/>
      <w:r>
        <w:rPr>
          <w:rStyle w:val="25"/>
          <w:rFonts w:hint="eastAsia" w:ascii="仿宋" w:hAnsi="仿宋" w:eastAsia="仿宋"/>
          <w:b w:val="0"/>
          <w:bCs w:val="0"/>
        </w:rPr>
        <w:t>四、</w:t>
      </w:r>
      <w:r>
        <w:rPr>
          <w:rFonts w:hint="eastAsia" w:ascii="仿宋" w:hAnsi="仿宋" w:eastAsia="仿宋"/>
          <w:b w:val="0"/>
        </w:rPr>
        <w:t>财</w:t>
      </w:r>
      <w:r>
        <w:rPr>
          <w:rStyle w:val="25"/>
          <w:rFonts w:hint="eastAsia" w:ascii="仿宋" w:hAnsi="仿宋" w:eastAsia="仿宋"/>
          <w:b w:val="0"/>
          <w:bCs w:val="0"/>
        </w:rPr>
        <w:t>政拨款收入支出决算总表</w:t>
      </w:r>
      <w:bookmarkEnd w:id="55"/>
    </w:p>
    <w:p>
      <w:pPr>
        <w:pStyle w:val="4"/>
        <w:rPr>
          <w:rStyle w:val="25"/>
          <w:rFonts w:ascii="仿宋" w:hAnsi="仿宋" w:eastAsia="仿宋"/>
          <w:b w:val="0"/>
          <w:bCs w:val="0"/>
        </w:rPr>
      </w:pPr>
      <w:bookmarkStart w:id="56" w:name="_Toc15396623"/>
      <w:r>
        <w:rPr>
          <w:rStyle w:val="25"/>
          <w:rFonts w:hint="eastAsia" w:ascii="仿宋" w:hAnsi="仿宋" w:eastAsia="仿宋"/>
          <w:b w:val="0"/>
          <w:bCs w:val="0"/>
        </w:rPr>
        <w:t>五、</w:t>
      </w:r>
      <w:r>
        <w:rPr>
          <w:rFonts w:hint="eastAsia" w:ascii="仿宋" w:hAnsi="仿宋" w:eastAsia="仿宋"/>
          <w:b w:val="0"/>
        </w:rPr>
        <w:t>财</w:t>
      </w:r>
      <w:r>
        <w:rPr>
          <w:rStyle w:val="25"/>
          <w:rFonts w:hint="eastAsia" w:ascii="仿宋" w:hAnsi="仿宋" w:eastAsia="仿宋"/>
          <w:b w:val="0"/>
          <w:bCs w:val="0"/>
        </w:rPr>
        <w:t>政拨款支出决算明细表</w:t>
      </w:r>
      <w:bookmarkEnd w:id="56"/>
      <w:bookmarkStart w:id="57" w:name="_Toc15396624"/>
    </w:p>
    <w:p>
      <w:pPr>
        <w:pStyle w:val="4"/>
        <w:rPr>
          <w:rFonts w:ascii="仿宋" w:hAnsi="仿宋" w:eastAsia="仿宋"/>
        </w:rPr>
      </w:pPr>
      <w:r>
        <w:rPr>
          <w:rStyle w:val="25"/>
          <w:rFonts w:hint="eastAsia" w:ascii="仿宋" w:hAnsi="仿宋" w:eastAsia="仿宋"/>
          <w:b w:val="0"/>
          <w:bCs w:val="0"/>
        </w:rPr>
        <w:t>六、</w:t>
      </w:r>
      <w:r>
        <w:rPr>
          <w:rFonts w:hint="eastAsia" w:ascii="仿宋" w:hAnsi="仿宋" w:eastAsia="仿宋"/>
          <w:b w:val="0"/>
        </w:rPr>
        <w:t>一</w:t>
      </w:r>
      <w:r>
        <w:rPr>
          <w:rStyle w:val="25"/>
          <w:rFonts w:hint="eastAsia" w:ascii="仿宋" w:hAnsi="仿宋" w:eastAsia="仿宋"/>
          <w:b w:val="0"/>
          <w:bCs w:val="0"/>
        </w:rPr>
        <w:t>般公共预算财政拨款支出决算表</w:t>
      </w:r>
      <w:bookmarkEnd w:id="57"/>
    </w:p>
    <w:p>
      <w:pPr>
        <w:pStyle w:val="4"/>
        <w:rPr>
          <w:rFonts w:ascii="仿宋" w:hAnsi="仿宋" w:eastAsia="仿宋"/>
        </w:rPr>
      </w:pPr>
      <w:bookmarkStart w:id="58" w:name="_Toc15396625"/>
      <w:r>
        <w:rPr>
          <w:rStyle w:val="25"/>
          <w:rFonts w:hint="eastAsia" w:ascii="仿宋" w:hAnsi="仿宋" w:eastAsia="仿宋"/>
          <w:b w:val="0"/>
          <w:bCs w:val="0"/>
        </w:rPr>
        <w:t>七、</w:t>
      </w:r>
      <w:r>
        <w:rPr>
          <w:rFonts w:hint="eastAsia" w:ascii="仿宋" w:hAnsi="仿宋" w:eastAsia="仿宋"/>
          <w:b w:val="0"/>
        </w:rPr>
        <w:t>一</w:t>
      </w:r>
      <w:r>
        <w:rPr>
          <w:rStyle w:val="25"/>
          <w:rFonts w:hint="eastAsia" w:ascii="仿宋" w:hAnsi="仿宋" w:eastAsia="仿宋"/>
          <w:b w:val="0"/>
          <w:bCs w:val="0"/>
        </w:rPr>
        <w:t>般公共预算财政拨款支出决算明细表</w:t>
      </w:r>
      <w:bookmarkEnd w:id="58"/>
    </w:p>
    <w:p>
      <w:pPr>
        <w:pStyle w:val="4"/>
        <w:rPr>
          <w:rFonts w:ascii="仿宋" w:hAnsi="仿宋" w:eastAsia="仿宋"/>
        </w:rPr>
      </w:pPr>
      <w:bookmarkStart w:id="59" w:name="_Toc15396626"/>
      <w:r>
        <w:rPr>
          <w:rStyle w:val="25"/>
          <w:rFonts w:hint="eastAsia" w:ascii="仿宋" w:hAnsi="仿宋" w:eastAsia="仿宋"/>
          <w:b w:val="0"/>
          <w:bCs w:val="0"/>
        </w:rPr>
        <w:t>八、</w:t>
      </w:r>
      <w:r>
        <w:rPr>
          <w:rFonts w:hint="eastAsia" w:ascii="仿宋" w:hAnsi="仿宋" w:eastAsia="仿宋"/>
          <w:b w:val="0"/>
        </w:rPr>
        <w:t>一</w:t>
      </w:r>
      <w:r>
        <w:rPr>
          <w:rStyle w:val="25"/>
          <w:rFonts w:hint="eastAsia" w:ascii="仿宋" w:hAnsi="仿宋" w:eastAsia="仿宋"/>
          <w:b w:val="0"/>
          <w:bCs w:val="0"/>
        </w:rPr>
        <w:t>般公共预算财政拨款基本支出决算表</w:t>
      </w:r>
      <w:bookmarkEnd w:id="59"/>
    </w:p>
    <w:p>
      <w:pPr>
        <w:pStyle w:val="4"/>
        <w:rPr>
          <w:rFonts w:ascii="仿宋" w:hAnsi="仿宋" w:eastAsia="仿宋"/>
        </w:rPr>
      </w:pPr>
      <w:bookmarkStart w:id="60" w:name="_Toc15396627"/>
      <w:r>
        <w:rPr>
          <w:rStyle w:val="25"/>
          <w:rFonts w:hint="eastAsia" w:ascii="仿宋" w:hAnsi="仿宋" w:eastAsia="仿宋"/>
          <w:b w:val="0"/>
          <w:bCs w:val="0"/>
        </w:rPr>
        <w:t>九、</w:t>
      </w:r>
      <w:r>
        <w:rPr>
          <w:rFonts w:hint="eastAsia" w:ascii="仿宋" w:hAnsi="仿宋" w:eastAsia="仿宋"/>
          <w:b w:val="0"/>
        </w:rPr>
        <w:t>一</w:t>
      </w:r>
      <w:r>
        <w:rPr>
          <w:rStyle w:val="25"/>
          <w:rFonts w:hint="eastAsia" w:ascii="仿宋" w:hAnsi="仿宋" w:eastAsia="仿宋"/>
          <w:b w:val="0"/>
          <w:bCs w:val="0"/>
        </w:rPr>
        <w:t>般公共预算财政拨款项目支出决算表</w:t>
      </w:r>
      <w:bookmarkEnd w:id="60"/>
    </w:p>
    <w:p>
      <w:pPr>
        <w:pStyle w:val="4"/>
        <w:rPr>
          <w:rFonts w:ascii="仿宋" w:hAnsi="仿宋" w:eastAsia="仿宋"/>
        </w:rPr>
      </w:pPr>
      <w:bookmarkStart w:id="61" w:name="_Toc15396628"/>
      <w:r>
        <w:rPr>
          <w:rStyle w:val="25"/>
          <w:rFonts w:hint="eastAsia" w:ascii="仿宋" w:hAnsi="仿宋" w:eastAsia="仿宋"/>
          <w:b w:val="0"/>
          <w:bCs w:val="0"/>
        </w:rPr>
        <w:t>十、</w:t>
      </w:r>
      <w:r>
        <w:rPr>
          <w:rFonts w:hint="eastAsia" w:ascii="仿宋" w:hAnsi="仿宋" w:eastAsia="仿宋"/>
          <w:b w:val="0"/>
        </w:rPr>
        <w:t>一</w:t>
      </w:r>
      <w:r>
        <w:rPr>
          <w:rStyle w:val="25"/>
          <w:rFonts w:hint="eastAsia" w:ascii="仿宋" w:hAnsi="仿宋" w:eastAsia="仿宋"/>
          <w:b w:val="0"/>
          <w:bCs w:val="0"/>
        </w:rPr>
        <w:t>般公共预算财政拨款“三公”经费支出决算表</w:t>
      </w:r>
      <w:bookmarkEnd w:id="61"/>
    </w:p>
    <w:p>
      <w:pPr>
        <w:pStyle w:val="4"/>
        <w:rPr>
          <w:rFonts w:ascii="仿宋" w:hAnsi="仿宋" w:eastAsia="仿宋"/>
        </w:rPr>
      </w:pPr>
      <w:bookmarkStart w:id="62" w:name="_Toc15396629"/>
      <w:r>
        <w:rPr>
          <w:rStyle w:val="25"/>
          <w:rFonts w:hint="eastAsia" w:ascii="仿宋" w:hAnsi="仿宋" w:eastAsia="仿宋"/>
          <w:b w:val="0"/>
          <w:bCs w:val="0"/>
        </w:rPr>
        <w:t>十一、</w:t>
      </w:r>
      <w:r>
        <w:rPr>
          <w:rFonts w:hint="eastAsia" w:ascii="仿宋" w:hAnsi="仿宋" w:eastAsia="仿宋"/>
          <w:b w:val="0"/>
        </w:rPr>
        <w:t>政</w:t>
      </w:r>
      <w:r>
        <w:rPr>
          <w:rStyle w:val="25"/>
          <w:rFonts w:hint="eastAsia" w:ascii="仿宋" w:hAnsi="仿宋" w:eastAsia="仿宋"/>
          <w:b w:val="0"/>
          <w:bCs w:val="0"/>
        </w:rPr>
        <w:t>府性基金预算财政拨款收入支出决算表</w:t>
      </w:r>
      <w:bookmarkEnd w:id="62"/>
    </w:p>
    <w:p>
      <w:pPr>
        <w:pStyle w:val="4"/>
        <w:rPr>
          <w:rFonts w:ascii="仿宋" w:hAnsi="仿宋" w:eastAsia="仿宋"/>
        </w:rPr>
      </w:pPr>
      <w:bookmarkStart w:id="63" w:name="_Toc15396630"/>
      <w:r>
        <w:rPr>
          <w:rStyle w:val="25"/>
          <w:rFonts w:hint="eastAsia" w:ascii="仿宋" w:hAnsi="仿宋" w:eastAsia="仿宋"/>
          <w:b w:val="0"/>
          <w:bCs w:val="0"/>
        </w:rPr>
        <w:t>十二、</w:t>
      </w:r>
      <w:r>
        <w:rPr>
          <w:rFonts w:hint="eastAsia" w:ascii="仿宋" w:hAnsi="仿宋" w:eastAsia="仿宋"/>
          <w:b w:val="0"/>
        </w:rPr>
        <w:t>政</w:t>
      </w:r>
      <w:r>
        <w:rPr>
          <w:rStyle w:val="25"/>
          <w:rFonts w:hint="eastAsia" w:ascii="仿宋" w:hAnsi="仿宋" w:eastAsia="仿宋"/>
          <w:b w:val="0"/>
          <w:bCs w:val="0"/>
        </w:rPr>
        <w:t>府性基金预算财政拨款“三公”经费支出决算表</w:t>
      </w:r>
      <w:bookmarkEnd w:id="63"/>
    </w:p>
    <w:p>
      <w:pPr>
        <w:pStyle w:val="4"/>
        <w:rPr>
          <w:rStyle w:val="25"/>
          <w:rFonts w:ascii="仿宋" w:hAnsi="仿宋" w:eastAsia="仿宋"/>
          <w:b w:val="0"/>
          <w:bCs w:val="0"/>
        </w:rPr>
      </w:pPr>
      <w:bookmarkStart w:id="64" w:name="_Toc15396631"/>
      <w:r>
        <w:rPr>
          <w:rStyle w:val="25"/>
          <w:rFonts w:hint="eastAsia" w:ascii="仿宋" w:hAnsi="仿宋" w:eastAsia="仿宋"/>
          <w:b w:val="0"/>
          <w:bCs w:val="0"/>
        </w:rPr>
        <w:t>十三、</w:t>
      </w:r>
      <w:r>
        <w:rPr>
          <w:rFonts w:hint="eastAsia" w:ascii="仿宋" w:hAnsi="仿宋" w:eastAsia="仿宋"/>
          <w:b w:val="0"/>
        </w:rPr>
        <w:t>国</w:t>
      </w:r>
      <w:r>
        <w:rPr>
          <w:rStyle w:val="25"/>
          <w:rFonts w:hint="eastAsia" w:ascii="仿宋" w:hAnsi="仿宋" w:eastAsia="仿宋"/>
          <w:b w:val="0"/>
          <w:bCs w:val="0"/>
        </w:rPr>
        <w:t>有资本经营预算财政拨款收入支出决算表</w:t>
      </w:r>
      <w:bookmarkEnd w:id="64"/>
    </w:p>
    <w:p>
      <w:pPr>
        <w:rPr>
          <w:rFonts w:eastAsia="仿宋"/>
        </w:rPr>
      </w:pPr>
      <w:r>
        <w:rPr>
          <w:rStyle w:val="25"/>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24589A"/>
    <w:multiLevelType w:val="singleLevel"/>
    <w:tmpl w:val="C024589A"/>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F66F6B0"/>
    <w:multiLevelType w:val="singleLevel"/>
    <w:tmpl w:val="1F66F6B0"/>
    <w:lvl w:ilvl="0" w:tentative="0">
      <w:start w:val="3"/>
      <w:numFmt w:val="decimal"/>
      <w:lvlText w:val="%1."/>
      <w:lvlJc w:val="left"/>
      <w:pPr>
        <w:tabs>
          <w:tab w:val="left" w:pos="312"/>
        </w:tabs>
      </w:pPr>
    </w:lvl>
  </w:abstractNum>
  <w:abstractNum w:abstractNumId="5">
    <w:nsid w:val="479898FC"/>
    <w:multiLevelType w:val="singleLevel"/>
    <w:tmpl w:val="479898FC"/>
    <w:lvl w:ilvl="0" w:tentative="0">
      <w:start w:val="1"/>
      <w:numFmt w:val="chineseCounting"/>
      <w:suff w:val="nothing"/>
      <w:lvlText w:val="%1、"/>
      <w:lvlJc w:val="left"/>
      <w:rPr>
        <w:rFonts w:hint="eastAsia"/>
      </w:rPr>
    </w:lvl>
  </w:abstractNum>
  <w:abstractNum w:abstractNumId="6">
    <w:nsid w:val="6C4AFBFC"/>
    <w:multiLevelType w:val="singleLevel"/>
    <w:tmpl w:val="6C4AFBFC"/>
    <w:lvl w:ilvl="0" w:tentative="0">
      <w:start w:val="1"/>
      <w:numFmt w:val="decimal"/>
      <w:lvlText w:val="%1."/>
      <w:lvlJc w:val="left"/>
      <w:pPr>
        <w:tabs>
          <w:tab w:val="left" w:pos="312"/>
        </w:tabs>
      </w:pPr>
    </w:lvl>
  </w:abstractNum>
  <w:num w:numId="1">
    <w:abstractNumId w:val="5"/>
  </w:num>
  <w:num w:numId="2">
    <w:abstractNumId w:val="3"/>
  </w:num>
  <w:num w:numId="3">
    <w:abstractNumId w:val="0"/>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E0ZjliMjE1NDlkMmNjNjE5Njg4YmZmNjYyMmExMW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6D64"/>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F6641"/>
    <w:rsid w:val="04463D2B"/>
    <w:rsid w:val="0A2032A3"/>
    <w:rsid w:val="0A5E78F5"/>
    <w:rsid w:val="0B8A37D8"/>
    <w:rsid w:val="10C055FF"/>
    <w:rsid w:val="118107EC"/>
    <w:rsid w:val="11DD6519"/>
    <w:rsid w:val="16135A37"/>
    <w:rsid w:val="16BB723D"/>
    <w:rsid w:val="18015F3F"/>
    <w:rsid w:val="187D188E"/>
    <w:rsid w:val="1BE8440E"/>
    <w:rsid w:val="1C1F5136"/>
    <w:rsid w:val="1D155CEE"/>
    <w:rsid w:val="1DB47B00"/>
    <w:rsid w:val="20F57F95"/>
    <w:rsid w:val="240371BF"/>
    <w:rsid w:val="25C741E6"/>
    <w:rsid w:val="27842671"/>
    <w:rsid w:val="29FD04D3"/>
    <w:rsid w:val="2ABE7A3E"/>
    <w:rsid w:val="2EFA178C"/>
    <w:rsid w:val="30B46D73"/>
    <w:rsid w:val="31605B7D"/>
    <w:rsid w:val="316F5DC0"/>
    <w:rsid w:val="319F7F4E"/>
    <w:rsid w:val="3848736B"/>
    <w:rsid w:val="39AE70AB"/>
    <w:rsid w:val="3A3E0A25"/>
    <w:rsid w:val="3C0C0783"/>
    <w:rsid w:val="3F9F3A96"/>
    <w:rsid w:val="40502771"/>
    <w:rsid w:val="415B2D3B"/>
    <w:rsid w:val="493C27E9"/>
    <w:rsid w:val="496F39ED"/>
    <w:rsid w:val="49FF41D3"/>
    <w:rsid w:val="4BE068DB"/>
    <w:rsid w:val="4BF6002B"/>
    <w:rsid w:val="4CF43C65"/>
    <w:rsid w:val="4D07114B"/>
    <w:rsid w:val="4ECE2238"/>
    <w:rsid w:val="502040A8"/>
    <w:rsid w:val="51DB4B86"/>
    <w:rsid w:val="55333C3E"/>
    <w:rsid w:val="571C15C6"/>
    <w:rsid w:val="576F1301"/>
    <w:rsid w:val="61E11848"/>
    <w:rsid w:val="64CA39A1"/>
    <w:rsid w:val="6541409A"/>
    <w:rsid w:val="67E1286C"/>
    <w:rsid w:val="699A7177"/>
    <w:rsid w:val="6BFE1B8A"/>
    <w:rsid w:val="6C4A05C8"/>
    <w:rsid w:val="6E105C5A"/>
    <w:rsid w:val="72734D90"/>
    <w:rsid w:val="738A200A"/>
    <w:rsid w:val="761107C1"/>
    <w:rsid w:val="79A96F62"/>
    <w:rsid w:val="79E7B28D"/>
    <w:rsid w:val="7D050953"/>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36130;&#21153;&#36164;&#26009;\&#36130;&#21153;&#36164;&#26009;\&#20844;&#24320;&#20915;&#31639;\2021&#24180;&#20915;&#31639;&#20844;&#24320;\2021&#24180;&#20915;&#31639;\&#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1304.9</c:v>
                </c:pt>
                <c:pt idx="1">
                  <c:v>1240.65</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7052</Words>
  <Characters>7680</Characters>
  <Lines>48</Lines>
  <Paragraphs>13</Paragraphs>
  <TotalTime>19</TotalTime>
  <ScaleCrop>false</ScaleCrop>
  <LinksUpToDate>false</LinksUpToDate>
  <CharactersWithSpaces>7742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2022-09-13T01:18:00Z</dcterms:created>
  <dc:creator>曹颖</dc:creator>
  <cp:lastModifiedBy>海云1417946903</cp:lastModifiedBy>
  <cp:lastPrinted>2022-08-06T02:23:00Z</cp:lastPrinted>
  <dcterms:modified xsi:type="dcterms:W3CDTF">2022-12-06T05:04:24Z</dcterms:modified>
  <dc:title>四川省***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478544128AC44D8492AC9D87E14F2986</vt:lpwstr>
  </property>
</Properties>
</file>