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ascii="方正小标宋简体" w:hAnsi="宋体" w:eastAsia="方正小标宋简体"/>
          <w:sz w:val="72"/>
          <w:szCs w:val="72"/>
        </w:rPr>
      </w:pPr>
      <w:bookmarkStart w:id="0" w:name="_Toc15306267"/>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1" w:name="_Toc15377425"/>
      <w:bookmarkStart w:id="2" w:name="_Toc15396597"/>
      <w:bookmarkStart w:id="3" w:name="_Toc15377193"/>
      <w:bookmarkStart w:id="4" w:name="_Toc15378441"/>
      <w:bookmarkStart w:id="5" w:name="_Toc15396475"/>
      <w:r>
        <w:rPr>
          <w:rFonts w:hint="eastAsia" w:ascii="方正小标宋简体" w:hAnsi="方正小标宋简体" w:eastAsia="方正小标宋简体" w:cs="方正小标宋简体"/>
          <w:sz w:val="72"/>
          <w:szCs w:val="72"/>
        </w:rPr>
        <w:t>2021年度</w:t>
      </w:r>
      <w:bookmarkEnd w:id="1"/>
      <w:bookmarkEnd w:id="2"/>
      <w:bookmarkEnd w:id="3"/>
      <w:bookmarkEnd w:id="4"/>
      <w:bookmarkEnd w:id="5"/>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6" w:name="_Toc15377426"/>
      <w:bookmarkStart w:id="7" w:name="_Toc15396598"/>
      <w:bookmarkStart w:id="8" w:name="_Toc15378442"/>
      <w:bookmarkStart w:id="9" w:name="_Toc15377194"/>
      <w:bookmarkStart w:id="10" w:name="_Toc15396476"/>
      <w:r>
        <w:rPr>
          <w:rFonts w:hint="eastAsia" w:ascii="方正小标宋简体" w:hAnsi="方正小标宋简体" w:eastAsia="方正小标宋简体" w:cs="方正小标宋简体"/>
          <w:sz w:val="72"/>
          <w:szCs w:val="72"/>
        </w:rPr>
        <w:t>乐山市市中区</w:t>
      </w:r>
      <w:bookmarkEnd w:id="0"/>
      <w:bookmarkStart w:id="11" w:name="_Toc15306268"/>
      <w:r>
        <w:rPr>
          <w:rFonts w:hint="eastAsia" w:ascii="方正小标宋简体" w:hAnsi="方正小标宋简体" w:eastAsia="方正小标宋简体" w:cs="方正小标宋简体"/>
          <w:sz w:val="72"/>
          <w:szCs w:val="72"/>
          <w:lang w:val="en-US" w:eastAsia="zh-CN"/>
        </w:rPr>
        <w:t>童家学校</w:t>
      </w:r>
      <w:r>
        <w:rPr>
          <w:rFonts w:hint="eastAsia" w:ascii="方正小标宋简体" w:hAnsi="方正小标宋简体" w:eastAsia="方正小标宋简体" w:cs="方正小标宋简体"/>
          <w:sz w:val="72"/>
          <w:szCs w:val="72"/>
        </w:rPr>
        <w:t>单位决算</w:t>
      </w:r>
      <w:bookmarkEnd w:id="6"/>
      <w:bookmarkEnd w:id="7"/>
      <w:bookmarkEnd w:id="8"/>
      <w:bookmarkEnd w:id="9"/>
      <w:bookmarkEnd w:id="10"/>
      <w:bookmarkEnd w:id="11"/>
    </w:p>
    <w:p>
      <w:pPr>
        <w:adjustRightInd w:val="0"/>
        <w:snapToGrid w:val="0"/>
        <w:spacing w:line="360" w:lineRule="auto"/>
        <w:jc w:val="center"/>
        <w:outlineLvl w:val="0"/>
        <w:rPr>
          <w:rFonts w:ascii="方正小标宋简体" w:hAnsi="宋体" w:eastAsia="方正小标宋简体"/>
          <w:sz w:val="52"/>
          <w:szCs w:val="52"/>
        </w:rPr>
      </w:pPr>
    </w:p>
    <w:p>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pPr>
        <w:widowControl/>
        <w:jc w:val="center"/>
        <w:rPr>
          <w:rFonts w:ascii="黑体" w:hAnsi="黑体" w:eastAsia="黑体" w:cstheme="minorBidi"/>
          <w:sz w:val="28"/>
          <w:szCs w:val="28"/>
        </w:rPr>
      </w:pPr>
    </w:p>
    <w:p>
      <w:pPr>
        <w:pStyle w:val="12"/>
      </w:pPr>
      <w:r>
        <w:rPr>
          <w:rFonts w:hint="eastAsia"/>
        </w:rPr>
        <w:t>公开时间：2022年</w:t>
      </w:r>
      <w:r>
        <w:rPr>
          <w:rFonts w:hint="eastAsia"/>
          <w:lang w:val="en-US" w:eastAsia="zh-CN"/>
        </w:rPr>
        <w:t>10</w:t>
      </w:r>
      <w:r>
        <w:rPr>
          <w:rFonts w:hint="eastAsia"/>
        </w:rPr>
        <w:t>月</w:t>
      </w:r>
      <w:r>
        <w:rPr>
          <w:rFonts w:hint="eastAsia"/>
          <w:lang w:val="en-US" w:eastAsia="zh-CN"/>
        </w:rPr>
        <w:t>28</w:t>
      </w:r>
      <w:r>
        <w:rPr>
          <w:rFonts w:hint="eastAsia"/>
        </w:rPr>
        <w:t>日</w:t>
      </w:r>
    </w:p>
    <w:p/>
    <w:p>
      <w:pPr>
        <w:pStyle w:val="12"/>
        <w:adjustRightInd w:val="0"/>
        <w:snapToGrid w:val="0"/>
        <w:spacing w:before="0" w:line="440" w:lineRule="exact"/>
        <w:jc w:val="left"/>
        <w:rPr>
          <w:rFonts w:cstheme="minorBidi"/>
          <w:sz w:val="24"/>
          <w:szCs w:val="24"/>
        </w:rPr>
      </w:pPr>
      <w:r>
        <w:rPr>
          <w:rFonts w:hint="eastAsia"/>
          <w:sz w:val="24"/>
        </w:rPr>
        <w:t>第一部分</w:t>
      </w:r>
      <w:r>
        <w:rPr>
          <w:sz w:val="24"/>
        </w:rPr>
        <w:t xml:space="preserve"> </w:t>
      </w:r>
      <w:r>
        <w:rPr>
          <w:rFonts w:hint="eastAsia"/>
          <w:sz w:val="24"/>
        </w:rPr>
        <w:t>单位概况</w:t>
      </w:r>
    </w:p>
    <w:p>
      <w:pPr>
        <w:pStyle w:val="13"/>
        <w:adjustRightInd w:val="0"/>
        <w:snapToGrid w:val="0"/>
        <w:spacing w:line="440" w:lineRule="exact"/>
        <w:jc w:val="left"/>
        <w:rPr>
          <w:rFonts w:hint="eastAsia" w:eastAsia="宋体"/>
          <w:sz w:val="24"/>
          <w:lang w:val="en-US" w:eastAsia="zh-CN"/>
        </w:rPr>
      </w:pPr>
      <w:r>
        <w:rPr>
          <w:rFonts w:hint="eastAsia"/>
          <w:sz w:val="24"/>
        </w:rPr>
        <w:t xml:space="preserve">一、职能简介 </w:t>
      </w:r>
      <w:r>
        <w:rPr>
          <w:rFonts w:hint="eastAsia" w:ascii="宋体" w:hAnsi="宋体" w:cs="宋体"/>
          <w:sz w:val="24"/>
        </w:rPr>
        <w:t>……………………………………………………………………</w:t>
      </w:r>
      <w:r>
        <w:rPr>
          <w:rFonts w:hint="eastAsia" w:ascii="宋体" w:hAnsi="宋体" w:cs="宋体"/>
          <w:sz w:val="24"/>
          <w:lang w:val="en-US" w:eastAsia="zh-CN"/>
        </w:rPr>
        <w:t>4</w:t>
      </w:r>
    </w:p>
    <w:p>
      <w:pPr>
        <w:pStyle w:val="13"/>
        <w:adjustRightInd w:val="0"/>
        <w:snapToGrid w:val="0"/>
        <w:spacing w:line="440" w:lineRule="exact"/>
        <w:jc w:val="left"/>
        <w:rPr>
          <w:rFonts w:hint="eastAsia" w:eastAsia="宋体" w:asciiTheme="minorEastAsia" w:hAnsiTheme="minorEastAsia" w:cstheme="minorEastAsia"/>
          <w:sz w:val="24"/>
          <w:lang w:val="en-US" w:eastAsia="zh-CN"/>
        </w:rPr>
      </w:pPr>
      <w:r>
        <w:rPr>
          <w:rFonts w:hint="eastAsia" w:asciiTheme="minorEastAsia" w:hAnsiTheme="minorEastAsia" w:eastAsiaTheme="minorEastAsia" w:cstheme="minorEastAsia"/>
          <w:sz w:val="24"/>
        </w:rPr>
        <w:t>二、2021年重点工作完成情况</w:t>
      </w:r>
      <w:r>
        <w:rPr>
          <w:rFonts w:hint="eastAsia" w:ascii="宋体" w:hAnsi="宋体" w:cs="宋体"/>
          <w:sz w:val="24"/>
        </w:rPr>
        <w:t>…………………………………………………</w:t>
      </w:r>
      <w:r>
        <w:rPr>
          <w:rFonts w:hint="eastAsia" w:ascii="宋体" w:hAnsi="宋体" w:cs="宋体"/>
          <w:sz w:val="24"/>
          <w:lang w:val="en-US" w:eastAsia="zh-CN"/>
        </w:rPr>
        <w:t>6</w:t>
      </w:r>
    </w:p>
    <w:p>
      <w:pPr>
        <w:pStyle w:val="12"/>
        <w:adjustRightInd w:val="0"/>
        <w:snapToGrid w:val="0"/>
        <w:spacing w:before="0" w:line="440" w:lineRule="exact"/>
        <w:jc w:val="left"/>
        <w:rPr>
          <w:rFonts w:hint="eastAsia" w:eastAsia="仿宋"/>
          <w:sz w:val="24"/>
          <w:szCs w:val="24"/>
          <w:lang w:val="en-US" w:eastAsia="zh-CN"/>
        </w:rPr>
      </w:pPr>
      <w:r>
        <w:rPr>
          <w:rFonts w:hint="eastAsia"/>
          <w:sz w:val="24"/>
        </w:rPr>
        <w:t>第二部分 2021年度单位决算情况说明</w:t>
      </w:r>
      <w:r>
        <w:rPr>
          <w:rFonts w:hint="eastAsia" w:ascii="宋体" w:hAnsi="宋体" w:cs="宋体"/>
          <w:sz w:val="24"/>
        </w:rPr>
        <w:t>……………………………………………</w:t>
      </w:r>
      <w:r>
        <w:rPr>
          <w:rFonts w:hint="eastAsia" w:ascii="宋体" w:hAnsi="宋体" w:cs="宋体"/>
          <w:sz w:val="24"/>
          <w:lang w:val="en-US" w:eastAsia="zh-CN"/>
        </w:rPr>
        <w:t>9</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一、收入支出决算总体情况说明</w:t>
      </w:r>
      <w:r>
        <w:rPr>
          <w:rFonts w:hint="eastAsia" w:ascii="宋体" w:hAnsi="宋体" w:cs="宋体"/>
          <w:sz w:val="24"/>
        </w:rPr>
        <w:t>………………………………………………</w:t>
      </w:r>
      <w:r>
        <w:rPr>
          <w:rFonts w:hint="eastAsia" w:ascii="宋体" w:hAnsi="宋体" w:cs="宋体"/>
          <w:sz w:val="24"/>
          <w:lang w:val="en-US" w:eastAsia="zh-CN"/>
        </w:rPr>
        <w:t>9</w:t>
      </w:r>
      <w:r>
        <w:rPr>
          <w:rFonts w:hint="eastAsia"/>
          <w:sz w:val="24"/>
        </w:rPr>
        <w:t>二、收入决算情况说明</w:t>
      </w:r>
      <w:r>
        <w:rPr>
          <w:rFonts w:hint="eastAsia" w:ascii="宋体" w:hAnsi="宋体" w:cs="宋体"/>
          <w:sz w:val="24"/>
        </w:rPr>
        <w:t>…………………………………………………………</w:t>
      </w:r>
      <w:r>
        <w:rPr>
          <w:rFonts w:hint="eastAsia" w:ascii="宋体" w:hAnsi="宋体" w:cs="宋体"/>
          <w:sz w:val="24"/>
          <w:lang w:val="en-US" w:eastAsia="zh-CN"/>
        </w:rPr>
        <w:t>10</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三、支出决算情况说明</w:t>
      </w:r>
      <w:r>
        <w:rPr>
          <w:rFonts w:hint="eastAsia" w:ascii="宋体" w:hAnsi="宋体" w:cs="宋体"/>
          <w:sz w:val="24"/>
        </w:rPr>
        <w:t>…………………………………………………………</w:t>
      </w:r>
      <w:r>
        <w:rPr>
          <w:rFonts w:hint="eastAsia" w:ascii="宋体" w:hAnsi="宋体" w:cs="宋体"/>
          <w:sz w:val="24"/>
          <w:lang w:val="en-US" w:eastAsia="zh-CN"/>
        </w:rPr>
        <w:t>11</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四、财政拨款收入支出决算总体情况说明</w:t>
      </w:r>
      <w:r>
        <w:rPr>
          <w:rFonts w:hint="eastAsia" w:ascii="宋体" w:hAnsi="宋体" w:cs="宋体"/>
          <w:sz w:val="24"/>
        </w:rPr>
        <w:t>……………………………………</w:t>
      </w:r>
      <w:r>
        <w:rPr>
          <w:rFonts w:hint="eastAsia" w:ascii="宋体" w:hAnsi="宋体" w:cs="宋体"/>
          <w:sz w:val="24"/>
          <w:lang w:val="en-US" w:eastAsia="zh-CN"/>
        </w:rPr>
        <w:t>12</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五、一般公共预算财政拨款支出决算情况说明</w:t>
      </w:r>
      <w:r>
        <w:rPr>
          <w:rFonts w:hint="eastAsia" w:ascii="宋体" w:hAnsi="宋体" w:cs="宋体"/>
          <w:sz w:val="24"/>
        </w:rPr>
        <w:t>………………………………</w:t>
      </w:r>
      <w:r>
        <w:rPr>
          <w:rFonts w:hint="eastAsia" w:ascii="宋体" w:hAnsi="宋体" w:cs="宋体"/>
          <w:sz w:val="24"/>
          <w:lang w:val="en-US" w:eastAsia="zh-CN"/>
        </w:rPr>
        <w:t>12</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六、一般公共预算财政拨款基本支出决算情况说明</w:t>
      </w:r>
      <w:r>
        <w:rPr>
          <w:rFonts w:hint="eastAsia" w:ascii="宋体" w:hAnsi="宋体" w:cs="宋体"/>
          <w:sz w:val="24"/>
        </w:rPr>
        <w:t>…………………………</w:t>
      </w:r>
      <w:r>
        <w:rPr>
          <w:rFonts w:hint="eastAsia" w:ascii="宋体" w:hAnsi="宋体" w:cs="宋体"/>
          <w:sz w:val="24"/>
          <w:lang w:val="en-US" w:eastAsia="zh-CN"/>
        </w:rPr>
        <w:t>14</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 xml:space="preserve">七、“三公”经费财政拨款支出决算情况说明 </w:t>
      </w:r>
      <w:r>
        <w:rPr>
          <w:rFonts w:hint="eastAsia" w:ascii="宋体" w:hAnsi="宋体" w:cs="宋体"/>
          <w:sz w:val="24"/>
        </w:rPr>
        <w:t>………………………………</w:t>
      </w:r>
      <w:r>
        <w:rPr>
          <w:rFonts w:hint="eastAsia" w:ascii="宋体" w:hAnsi="宋体" w:cs="宋体"/>
          <w:sz w:val="24"/>
          <w:lang w:val="en-US" w:eastAsia="zh-CN"/>
        </w:rPr>
        <w:t>15</w:t>
      </w:r>
    </w:p>
    <w:p>
      <w:pPr>
        <w:pStyle w:val="13"/>
        <w:adjustRightInd w:val="0"/>
        <w:snapToGrid w:val="0"/>
        <w:spacing w:line="440" w:lineRule="exact"/>
        <w:jc w:val="left"/>
        <w:rPr>
          <w:rFonts w:hint="default" w:ascii="仿宋" w:hAnsi="仿宋" w:eastAsia="宋体" w:cstheme="minorBidi"/>
          <w:sz w:val="24"/>
          <w:lang w:val="en-US" w:eastAsia="zh-CN"/>
        </w:rPr>
      </w:pPr>
      <w:r>
        <w:rPr>
          <w:rFonts w:hint="eastAsia"/>
          <w:sz w:val="24"/>
        </w:rPr>
        <w:t>八、政府性基金预算支出决算情况说明</w:t>
      </w:r>
      <w:r>
        <w:rPr>
          <w:rFonts w:hint="eastAsia" w:ascii="宋体" w:hAnsi="宋体" w:cs="宋体"/>
          <w:sz w:val="24"/>
        </w:rPr>
        <w:t>………………………………………</w:t>
      </w:r>
      <w:r>
        <w:rPr>
          <w:rFonts w:hint="eastAsia" w:ascii="宋体" w:hAnsi="宋体" w:cs="宋体"/>
          <w:sz w:val="24"/>
          <w:lang w:val="en-US" w:eastAsia="zh-CN"/>
        </w:rPr>
        <w:t>15</w:t>
      </w:r>
    </w:p>
    <w:p>
      <w:pPr>
        <w:pStyle w:val="13"/>
        <w:adjustRightInd w:val="0"/>
        <w:snapToGrid w:val="0"/>
        <w:spacing w:line="440" w:lineRule="exact"/>
        <w:jc w:val="left"/>
        <w:rPr>
          <w:rFonts w:hint="default" w:eastAsia="宋体"/>
          <w:sz w:val="24"/>
          <w:lang w:val="en-US" w:eastAsia="zh-CN"/>
        </w:rPr>
      </w:pPr>
      <w:r>
        <w:rPr>
          <w:rFonts w:hint="eastAsia"/>
          <w:sz w:val="24"/>
        </w:rPr>
        <w:t>九、国有资本经营预算支出决算情况说明</w:t>
      </w:r>
      <w:r>
        <w:rPr>
          <w:rFonts w:hint="eastAsia" w:ascii="宋体" w:hAnsi="宋体" w:cs="宋体"/>
          <w:sz w:val="24"/>
        </w:rPr>
        <w:t>……………………………………</w:t>
      </w:r>
      <w:r>
        <w:rPr>
          <w:rFonts w:hint="eastAsia" w:ascii="宋体" w:hAnsi="宋体" w:cs="宋体"/>
          <w:sz w:val="24"/>
          <w:lang w:val="en-US" w:eastAsia="zh-CN"/>
        </w:rPr>
        <w:t>15</w:t>
      </w:r>
    </w:p>
    <w:p>
      <w:pPr>
        <w:pStyle w:val="13"/>
        <w:adjustRightInd w:val="0"/>
        <w:snapToGrid w:val="0"/>
        <w:spacing w:line="440" w:lineRule="exact"/>
        <w:jc w:val="left"/>
        <w:rPr>
          <w:rFonts w:hint="default" w:eastAsia="宋体"/>
          <w:sz w:val="24"/>
          <w:lang w:val="en-US" w:eastAsia="zh-CN"/>
        </w:rPr>
      </w:pPr>
      <w:r>
        <w:rPr>
          <w:rFonts w:hint="eastAsia"/>
          <w:sz w:val="24"/>
        </w:rPr>
        <w:t>十、其他重要事项的情况说明</w:t>
      </w:r>
      <w:r>
        <w:rPr>
          <w:rFonts w:hint="eastAsia" w:ascii="宋体" w:hAnsi="宋体" w:cs="宋体"/>
          <w:sz w:val="24"/>
        </w:rPr>
        <w:t>…………………………………………………</w:t>
      </w:r>
      <w:r>
        <w:rPr>
          <w:rFonts w:hint="eastAsia" w:ascii="宋体" w:hAnsi="宋体" w:cs="宋体"/>
          <w:sz w:val="24"/>
          <w:lang w:val="en-US" w:eastAsia="zh-CN"/>
        </w:rPr>
        <w:t>15</w:t>
      </w:r>
    </w:p>
    <w:p>
      <w:pPr>
        <w:pStyle w:val="12"/>
        <w:adjustRightInd w:val="0"/>
        <w:snapToGrid w:val="0"/>
        <w:spacing w:before="0" w:line="440" w:lineRule="exact"/>
        <w:jc w:val="left"/>
        <w:rPr>
          <w:rFonts w:hint="default" w:eastAsia="仿宋" w:cstheme="minorBidi"/>
          <w:sz w:val="24"/>
          <w:szCs w:val="24"/>
          <w:lang w:val="en-US" w:eastAsia="zh-CN"/>
        </w:rPr>
      </w:pPr>
      <w:r>
        <w:rPr>
          <w:rFonts w:hint="eastAsia"/>
          <w:sz w:val="24"/>
        </w:rPr>
        <w:t>第三部分</w:t>
      </w:r>
      <w:r>
        <w:rPr>
          <w:sz w:val="24"/>
        </w:rPr>
        <w:t xml:space="preserve"> </w:t>
      </w:r>
      <w:r>
        <w:rPr>
          <w:rFonts w:hint="eastAsia"/>
          <w:sz w:val="24"/>
        </w:rPr>
        <w:t xml:space="preserve">名词解释 </w:t>
      </w:r>
      <w:r>
        <w:rPr>
          <w:rFonts w:hint="eastAsia" w:ascii="宋体" w:hAnsi="宋体" w:cs="宋体"/>
          <w:sz w:val="24"/>
        </w:rPr>
        <w:t>…………………………………………………………………</w:t>
      </w:r>
      <w:r>
        <w:rPr>
          <w:rFonts w:hint="eastAsia" w:ascii="宋体" w:hAnsi="宋体" w:cs="宋体"/>
          <w:sz w:val="24"/>
          <w:lang w:val="en-US" w:eastAsia="zh-CN"/>
        </w:rPr>
        <w:t>16</w:t>
      </w:r>
    </w:p>
    <w:p>
      <w:pPr>
        <w:pStyle w:val="12"/>
        <w:adjustRightInd w:val="0"/>
        <w:snapToGrid w:val="0"/>
        <w:spacing w:before="0" w:line="440" w:lineRule="exact"/>
        <w:jc w:val="left"/>
        <w:rPr>
          <w:rFonts w:hint="default" w:ascii="宋体" w:hAnsi="宋体" w:eastAsia="仿宋" w:cs="宋体"/>
          <w:sz w:val="24"/>
          <w:lang w:val="en-US" w:eastAsia="zh-CN"/>
        </w:rPr>
      </w:pPr>
      <w:r>
        <w:rPr>
          <w:rFonts w:hint="eastAsia"/>
          <w:sz w:val="24"/>
        </w:rPr>
        <w:t>第四部分</w:t>
      </w:r>
      <w:r>
        <w:rPr>
          <w:sz w:val="24"/>
        </w:rPr>
        <w:t xml:space="preserve"> </w:t>
      </w:r>
      <w:r>
        <w:rPr>
          <w:rFonts w:hint="eastAsia"/>
          <w:sz w:val="24"/>
        </w:rPr>
        <w:t xml:space="preserve">附件 </w:t>
      </w:r>
      <w:r>
        <w:rPr>
          <w:rFonts w:hint="eastAsia" w:ascii="宋体" w:hAnsi="宋体" w:cs="宋体"/>
          <w:sz w:val="24"/>
        </w:rPr>
        <w:t>………………………………………………………………………</w:t>
      </w:r>
      <w:r>
        <w:rPr>
          <w:rFonts w:hint="eastAsia" w:ascii="宋体" w:hAnsi="宋体" w:cs="宋体"/>
          <w:sz w:val="24"/>
          <w:lang w:val="en-US" w:eastAsia="zh-CN"/>
        </w:rPr>
        <w:t>19</w:t>
      </w:r>
    </w:p>
    <w:p>
      <w:pPr>
        <w:pStyle w:val="12"/>
        <w:adjustRightInd w:val="0"/>
        <w:snapToGrid w:val="0"/>
        <w:spacing w:before="0" w:line="440" w:lineRule="exact"/>
        <w:jc w:val="left"/>
        <w:rPr>
          <w:rFonts w:hint="default" w:eastAsia="仿宋" w:cstheme="minorBidi"/>
          <w:sz w:val="24"/>
          <w:szCs w:val="24"/>
          <w:lang w:val="en-US" w:eastAsia="zh-CN"/>
        </w:rPr>
      </w:pPr>
      <w:r>
        <w:rPr>
          <w:rFonts w:hint="eastAsia"/>
          <w:sz w:val="24"/>
        </w:rPr>
        <w:t>第五部分</w:t>
      </w:r>
      <w:r>
        <w:rPr>
          <w:sz w:val="24"/>
        </w:rPr>
        <w:t xml:space="preserve"> </w:t>
      </w:r>
      <w:r>
        <w:rPr>
          <w:rFonts w:hint="eastAsia"/>
          <w:sz w:val="24"/>
        </w:rPr>
        <w:t xml:space="preserve">附表 </w:t>
      </w:r>
      <w:r>
        <w:rPr>
          <w:rFonts w:hint="eastAsia" w:ascii="宋体" w:hAnsi="宋体" w:cs="宋体"/>
          <w:sz w:val="24"/>
        </w:rPr>
        <w:t>………………………………………………………………………</w:t>
      </w:r>
      <w:r>
        <w:rPr>
          <w:rFonts w:hint="eastAsia" w:ascii="宋体" w:hAnsi="宋体" w:cs="宋体"/>
          <w:sz w:val="24"/>
          <w:lang w:val="en-US" w:eastAsia="zh-CN"/>
        </w:rPr>
        <w:t>22</w:t>
      </w:r>
    </w:p>
    <w:p>
      <w:pPr>
        <w:pStyle w:val="13"/>
        <w:adjustRightInd w:val="0"/>
        <w:snapToGrid w:val="0"/>
        <w:spacing w:line="440" w:lineRule="exact"/>
        <w:jc w:val="left"/>
        <w:rPr>
          <w:rFonts w:hint="eastAsia" w:eastAsia="宋体"/>
          <w:sz w:val="24"/>
          <w:lang w:val="en-US" w:eastAsia="zh-CN"/>
        </w:rPr>
      </w:pPr>
      <w:r>
        <w:rPr>
          <w:rFonts w:hint="eastAsia"/>
          <w:sz w:val="24"/>
        </w:rPr>
        <w:t>一、收入支出决算总表</w:t>
      </w:r>
      <w:r>
        <w:rPr>
          <w:rFonts w:hint="eastAsia" w:ascii="宋体" w:hAnsi="宋体" w:cs="宋体"/>
          <w:sz w:val="24"/>
        </w:rPr>
        <w:t>…………………………………………………………2</w:t>
      </w:r>
      <w:r>
        <w:rPr>
          <w:rFonts w:hint="eastAsia" w:ascii="宋体" w:hAnsi="宋体" w:cs="宋体"/>
          <w:sz w:val="24"/>
          <w:lang w:val="en-US" w:eastAsia="zh-CN"/>
        </w:rPr>
        <w:t>3</w:t>
      </w:r>
    </w:p>
    <w:p>
      <w:pPr>
        <w:pStyle w:val="13"/>
        <w:adjustRightInd w:val="0"/>
        <w:snapToGrid w:val="0"/>
        <w:spacing w:line="440" w:lineRule="exact"/>
        <w:jc w:val="left"/>
        <w:rPr>
          <w:rFonts w:hint="eastAsia" w:eastAsia="宋体"/>
          <w:sz w:val="24"/>
          <w:lang w:val="en-US" w:eastAsia="zh-CN"/>
        </w:rPr>
      </w:pPr>
      <w:r>
        <w:rPr>
          <w:rFonts w:hint="eastAsia"/>
          <w:sz w:val="24"/>
        </w:rPr>
        <w:t>二、收入决算表</w:t>
      </w:r>
      <w:r>
        <w:rPr>
          <w:rFonts w:hint="eastAsia" w:ascii="宋体" w:hAnsi="宋体" w:cs="宋体"/>
          <w:sz w:val="24"/>
        </w:rPr>
        <w:t>…………………………………………………………………2</w:t>
      </w:r>
      <w:r>
        <w:rPr>
          <w:rFonts w:hint="eastAsia" w:ascii="宋体" w:hAnsi="宋体" w:cs="宋体"/>
          <w:sz w:val="24"/>
          <w:lang w:val="en-US" w:eastAsia="zh-CN"/>
        </w:rPr>
        <w:t>3</w:t>
      </w:r>
    </w:p>
    <w:p>
      <w:pPr>
        <w:pStyle w:val="13"/>
        <w:adjustRightInd w:val="0"/>
        <w:snapToGrid w:val="0"/>
        <w:spacing w:line="440" w:lineRule="exact"/>
        <w:jc w:val="left"/>
        <w:rPr>
          <w:rFonts w:hint="eastAsia" w:eastAsia="宋体"/>
          <w:sz w:val="24"/>
          <w:lang w:val="en-US" w:eastAsia="zh-CN"/>
        </w:rPr>
      </w:pPr>
      <w:r>
        <w:rPr>
          <w:rFonts w:hint="eastAsia"/>
          <w:sz w:val="24"/>
        </w:rPr>
        <w:t>三、支出决算表</w:t>
      </w:r>
      <w:r>
        <w:rPr>
          <w:rFonts w:hint="eastAsia" w:ascii="宋体" w:hAnsi="宋体" w:cs="宋体"/>
          <w:sz w:val="24"/>
        </w:rPr>
        <w:t>…………………………………………………………………2</w:t>
      </w:r>
      <w:r>
        <w:rPr>
          <w:rFonts w:hint="eastAsia" w:ascii="宋体" w:hAnsi="宋体" w:cs="宋体"/>
          <w:sz w:val="24"/>
          <w:lang w:val="en-US" w:eastAsia="zh-CN"/>
        </w:rPr>
        <w:t>4</w:t>
      </w:r>
    </w:p>
    <w:p>
      <w:pPr>
        <w:pStyle w:val="13"/>
        <w:adjustRightInd w:val="0"/>
        <w:snapToGrid w:val="0"/>
        <w:spacing w:line="440" w:lineRule="exact"/>
        <w:jc w:val="left"/>
        <w:rPr>
          <w:rFonts w:hint="eastAsia" w:eastAsia="宋体"/>
          <w:sz w:val="24"/>
          <w:lang w:val="en-US" w:eastAsia="zh-CN"/>
        </w:rPr>
      </w:pPr>
      <w:r>
        <w:rPr>
          <w:rFonts w:hint="eastAsia"/>
          <w:sz w:val="24"/>
        </w:rPr>
        <w:t>四、财政拨款收入支出决算总表</w:t>
      </w:r>
      <w:r>
        <w:rPr>
          <w:rFonts w:hint="eastAsia" w:ascii="宋体" w:hAnsi="宋体" w:cs="宋体"/>
          <w:sz w:val="24"/>
        </w:rPr>
        <w:t>………………………………………………2</w:t>
      </w:r>
      <w:r>
        <w:rPr>
          <w:rFonts w:hint="eastAsia" w:ascii="宋体" w:hAnsi="宋体" w:cs="宋体"/>
          <w:sz w:val="24"/>
          <w:lang w:val="en-US" w:eastAsia="zh-CN"/>
        </w:rPr>
        <w:t>4</w:t>
      </w:r>
    </w:p>
    <w:p>
      <w:pPr>
        <w:pStyle w:val="13"/>
        <w:adjustRightInd w:val="0"/>
        <w:snapToGrid w:val="0"/>
        <w:spacing w:line="440" w:lineRule="exact"/>
        <w:jc w:val="left"/>
        <w:rPr>
          <w:rFonts w:hint="eastAsia" w:eastAsia="宋体"/>
          <w:sz w:val="24"/>
          <w:lang w:val="en-US" w:eastAsia="zh-CN"/>
        </w:rPr>
      </w:pPr>
      <w:r>
        <w:rPr>
          <w:rFonts w:hint="eastAsia"/>
          <w:sz w:val="24"/>
        </w:rPr>
        <w:t>五、财政拨款支出决算明细表</w:t>
      </w:r>
      <w:r>
        <w:rPr>
          <w:rFonts w:hint="eastAsia" w:ascii="宋体" w:hAnsi="宋体" w:cs="宋体"/>
          <w:sz w:val="24"/>
        </w:rPr>
        <w:t>…………………………………………………2</w:t>
      </w:r>
      <w:r>
        <w:rPr>
          <w:rFonts w:hint="eastAsia" w:ascii="宋体" w:hAnsi="宋体" w:cs="宋体"/>
          <w:sz w:val="24"/>
          <w:lang w:val="en-US" w:eastAsia="zh-CN"/>
        </w:rPr>
        <w:t>5</w:t>
      </w:r>
    </w:p>
    <w:p>
      <w:pPr>
        <w:pStyle w:val="13"/>
        <w:adjustRightInd w:val="0"/>
        <w:snapToGrid w:val="0"/>
        <w:spacing w:line="440" w:lineRule="exact"/>
        <w:jc w:val="left"/>
        <w:rPr>
          <w:rFonts w:hint="eastAsia" w:eastAsia="宋体"/>
          <w:sz w:val="24"/>
          <w:lang w:val="en-US" w:eastAsia="zh-CN"/>
        </w:rPr>
      </w:pPr>
      <w:r>
        <w:rPr>
          <w:rFonts w:hint="eastAsia"/>
          <w:sz w:val="24"/>
        </w:rPr>
        <w:t>六、一般公共预算财政拨款支出决算表</w:t>
      </w:r>
      <w:r>
        <w:rPr>
          <w:rFonts w:hint="eastAsia" w:ascii="宋体" w:hAnsi="宋体" w:cs="宋体"/>
          <w:sz w:val="24"/>
        </w:rPr>
        <w:t>………………………………………2</w:t>
      </w:r>
      <w:r>
        <w:rPr>
          <w:rFonts w:hint="eastAsia" w:ascii="宋体" w:hAnsi="宋体" w:cs="宋体"/>
          <w:sz w:val="24"/>
          <w:lang w:val="en-US" w:eastAsia="zh-CN"/>
        </w:rPr>
        <w:t>6</w:t>
      </w:r>
      <w:r>
        <w:rPr>
          <w:rFonts w:hint="eastAsia"/>
          <w:sz w:val="24"/>
        </w:rPr>
        <w:t>七、一般公共预算财政拨款支出决算明细表</w:t>
      </w:r>
      <w:r>
        <w:rPr>
          <w:rFonts w:hint="eastAsia" w:ascii="宋体" w:hAnsi="宋体" w:cs="宋体"/>
          <w:sz w:val="24"/>
        </w:rPr>
        <w:t>…………………………………2</w:t>
      </w:r>
      <w:r>
        <w:rPr>
          <w:rFonts w:hint="eastAsia" w:ascii="宋体" w:hAnsi="宋体" w:cs="宋体"/>
          <w:sz w:val="24"/>
          <w:lang w:val="en-US" w:eastAsia="zh-CN"/>
        </w:rPr>
        <w:t>6</w:t>
      </w:r>
    </w:p>
    <w:p>
      <w:pPr>
        <w:pStyle w:val="13"/>
        <w:adjustRightInd w:val="0"/>
        <w:snapToGrid w:val="0"/>
        <w:spacing w:line="440" w:lineRule="exact"/>
        <w:jc w:val="left"/>
        <w:rPr>
          <w:rFonts w:hint="default" w:eastAsia="宋体"/>
          <w:sz w:val="24"/>
          <w:lang w:val="en-US" w:eastAsia="zh-CN"/>
        </w:rPr>
      </w:pPr>
      <w:r>
        <w:rPr>
          <w:rFonts w:hint="eastAsia"/>
          <w:sz w:val="24"/>
        </w:rPr>
        <w:t>八、一般公共预算财政拨款基本支出决算表</w:t>
      </w:r>
      <w:r>
        <w:rPr>
          <w:rFonts w:hint="eastAsia" w:ascii="宋体" w:hAnsi="宋体" w:cs="宋体"/>
          <w:sz w:val="24"/>
        </w:rPr>
        <w:t>…………………………………</w:t>
      </w:r>
      <w:r>
        <w:rPr>
          <w:rFonts w:hint="eastAsia" w:ascii="宋体" w:hAnsi="宋体" w:cs="宋体"/>
          <w:sz w:val="24"/>
          <w:lang w:val="en-US" w:eastAsia="zh-CN"/>
        </w:rPr>
        <w:t>28</w:t>
      </w:r>
    </w:p>
    <w:p>
      <w:pPr>
        <w:pStyle w:val="13"/>
        <w:adjustRightInd w:val="0"/>
        <w:snapToGrid w:val="0"/>
        <w:spacing w:line="440" w:lineRule="exact"/>
        <w:jc w:val="left"/>
        <w:rPr>
          <w:rFonts w:hint="default" w:eastAsia="宋体"/>
          <w:sz w:val="24"/>
          <w:lang w:val="en-US" w:eastAsia="zh-CN"/>
        </w:rPr>
      </w:pPr>
      <w:r>
        <w:rPr>
          <w:rFonts w:hint="eastAsia"/>
          <w:sz w:val="24"/>
        </w:rPr>
        <w:t>九、一般公共预算财政拨款项目支出决算表</w:t>
      </w:r>
      <w:r>
        <w:rPr>
          <w:rFonts w:hint="eastAsia" w:ascii="宋体" w:hAnsi="宋体" w:cs="宋体"/>
          <w:sz w:val="24"/>
        </w:rPr>
        <w:t>…………………………………</w:t>
      </w:r>
      <w:r>
        <w:rPr>
          <w:rFonts w:hint="eastAsia" w:ascii="宋体" w:hAnsi="宋体" w:cs="宋体"/>
          <w:sz w:val="24"/>
          <w:lang w:val="en-US" w:eastAsia="zh-CN"/>
        </w:rPr>
        <w:t>29</w:t>
      </w:r>
    </w:p>
    <w:p>
      <w:pPr>
        <w:pStyle w:val="13"/>
        <w:adjustRightInd w:val="0"/>
        <w:snapToGrid w:val="0"/>
        <w:spacing w:line="440" w:lineRule="exact"/>
        <w:jc w:val="left"/>
        <w:rPr>
          <w:rFonts w:hint="default" w:eastAsia="宋体"/>
          <w:sz w:val="24"/>
          <w:lang w:val="en-US" w:eastAsia="zh-CN"/>
        </w:rPr>
      </w:pPr>
      <w:r>
        <w:rPr>
          <w:rFonts w:hint="eastAsia"/>
          <w:sz w:val="24"/>
        </w:rPr>
        <w:t>十、一般公共预算财政拨款“三公”经费支出决算表</w:t>
      </w:r>
      <w:r>
        <w:rPr>
          <w:rFonts w:hint="eastAsia" w:ascii="宋体" w:hAnsi="宋体" w:cs="宋体"/>
          <w:sz w:val="24"/>
        </w:rPr>
        <w:t>………………………</w:t>
      </w:r>
      <w:r>
        <w:rPr>
          <w:rFonts w:hint="eastAsia" w:ascii="宋体" w:hAnsi="宋体" w:cs="宋体"/>
          <w:sz w:val="24"/>
          <w:lang w:val="en-US" w:eastAsia="zh-CN"/>
        </w:rPr>
        <w:t>29</w:t>
      </w:r>
    </w:p>
    <w:p>
      <w:pPr>
        <w:pStyle w:val="13"/>
        <w:adjustRightInd w:val="0"/>
        <w:snapToGrid w:val="0"/>
        <w:spacing w:line="440" w:lineRule="exact"/>
        <w:jc w:val="left"/>
        <w:rPr>
          <w:rFonts w:hint="default" w:eastAsia="宋体"/>
          <w:sz w:val="24"/>
          <w:lang w:val="en-US" w:eastAsia="zh-CN"/>
        </w:rPr>
      </w:pPr>
      <w:r>
        <w:rPr>
          <w:rFonts w:hint="eastAsia"/>
          <w:sz w:val="24"/>
        </w:rPr>
        <w:t>十一、政府性基金预算财政拨款收入支出决算表</w:t>
      </w:r>
      <w:r>
        <w:rPr>
          <w:rFonts w:hint="eastAsia" w:ascii="宋体" w:hAnsi="宋体" w:cs="宋体"/>
          <w:sz w:val="24"/>
        </w:rPr>
        <w:t>……………………………</w:t>
      </w:r>
      <w:r>
        <w:rPr>
          <w:rFonts w:hint="eastAsia" w:ascii="宋体" w:hAnsi="宋体" w:cs="宋体"/>
          <w:sz w:val="24"/>
          <w:lang w:val="en-US" w:eastAsia="zh-CN"/>
        </w:rPr>
        <w:t>29</w:t>
      </w:r>
    </w:p>
    <w:p>
      <w:pPr>
        <w:pStyle w:val="13"/>
        <w:adjustRightInd w:val="0"/>
        <w:snapToGrid w:val="0"/>
        <w:spacing w:line="440" w:lineRule="exact"/>
        <w:jc w:val="left"/>
        <w:rPr>
          <w:rFonts w:hint="default" w:eastAsia="宋体"/>
          <w:sz w:val="24"/>
          <w:lang w:val="en-US" w:eastAsia="zh-CN"/>
        </w:rPr>
      </w:pPr>
      <w:r>
        <w:rPr>
          <w:rFonts w:hint="eastAsia"/>
          <w:sz w:val="24"/>
        </w:rPr>
        <w:t>十二、政府性基金预算财政拨款“三公”经费支出决算表</w:t>
      </w:r>
      <w:r>
        <w:rPr>
          <w:rFonts w:hint="eastAsia" w:ascii="宋体" w:hAnsi="宋体" w:cs="宋体"/>
          <w:sz w:val="24"/>
        </w:rPr>
        <w:t>…………………</w:t>
      </w:r>
      <w:r>
        <w:rPr>
          <w:rFonts w:hint="eastAsia" w:ascii="宋体" w:hAnsi="宋体" w:cs="宋体"/>
          <w:sz w:val="24"/>
          <w:lang w:val="en-US" w:eastAsia="zh-CN"/>
        </w:rPr>
        <w:t>30</w:t>
      </w:r>
    </w:p>
    <w:p>
      <w:pPr>
        <w:pStyle w:val="13"/>
        <w:adjustRightInd w:val="0"/>
        <w:snapToGrid w:val="0"/>
        <w:spacing w:line="440" w:lineRule="exact"/>
        <w:jc w:val="left"/>
        <w:rPr>
          <w:rFonts w:hint="default" w:eastAsia="宋体"/>
          <w:sz w:val="24"/>
          <w:lang w:val="en-US" w:eastAsia="zh-CN"/>
        </w:rPr>
      </w:pPr>
      <w:r>
        <w:rPr>
          <w:rFonts w:hint="eastAsia"/>
          <w:sz w:val="24"/>
        </w:rPr>
        <w:t>十三、国有资本经营预算财政拨款收入支出决算表</w:t>
      </w:r>
      <w:r>
        <w:rPr>
          <w:rFonts w:hint="eastAsia" w:ascii="宋体" w:hAnsi="宋体" w:cs="宋体"/>
          <w:sz w:val="24"/>
        </w:rPr>
        <w:t>…………………………</w:t>
      </w:r>
      <w:r>
        <w:rPr>
          <w:rFonts w:hint="eastAsia" w:ascii="宋体" w:hAnsi="宋体" w:cs="宋体"/>
          <w:sz w:val="24"/>
          <w:lang w:val="en-US" w:eastAsia="zh-CN"/>
        </w:rPr>
        <w:t>30</w:t>
      </w:r>
    </w:p>
    <w:p>
      <w:pPr>
        <w:pStyle w:val="13"/>
        <w:adjustRightInd w:val="0"/>
        <w:snapToGrid w:val="0"/>
        <w:spacing w:line="440" w:lineRule="exact"/>
        <w:jc w:val="left"/>
        <w:rPr>
          <w:rFonts w:hint="default" w:eastAsia="宋体"/>
          <w:sz w:val="24"/>
          <w:lang w:val="en-US" w:eastAsia="zh-CN"/>
        </w:rPr>
      </w:pPr>
      <w:r>
        <w:rPr>
          <w:rFonts w:hint="eastAsia"/>
          <w:sz w:val="24"/>
        </w:rPr>
        <w:t>十四、国有资本经营预算财政拨款支出决算表</w:t>
      </w:r>
      <w:r>
        <w:rPr>
          <w:rFonts w:hint="eastAsia" w:ascii="宋体" w:hAnsi="宋体" w:cs="宋体"/>
          <w:sz w:val="24"/>
        </w:rPr>
        <w:t>………………………………</w:t>
      </w:r>
      <w:r>
        <w:rPr>
          <w:rFonts w:hint="eastAsia" w:ascii="宋体" w:hAnsi="宋体" w:cs="宋体"/>
          <w:sz w:val="24"/>
          <w:lang w:val="en-US" w:eastAsia="zh-CN"/>
        </w:rPr>
        <w:t>30</w:t>
      </w:r>
    </w:p>
    <w:p>
      <w:pPr>
        <w:widowControl/>
        <w:spacing w:line="440" w:lineRule="exact"/>
        <w:jc w:val="left"/>
        <w:rPr>
          <w:rFonts w:ascii="仿宋" w:hAnsi="仿宋" w:eastAsia="仿宋"/>
          <w:bCs/>
          <w:kern w:val="44"/>
          <w:sz w:val="24"/>
        </w:rPr>
      </w:pPr>
      <w:bookmarkStart w:id="12" w:name="_Toc15377196"/>
      <w:bookmarkStart w:id="13" w:name="_Toc15396599"/>
      <w:r>
        <w:rPr>
          <w:rFonts w:ascii="仿宋" w:hAnsi="仿宋" w:eastAsia="仿宋"/>
          <w:b/>
          <w:sz w:val="24"/>
        </w:rPr>
        <w:br w:type="page"/>
      </w:r>
    </w:p>
    <w:p>
      <w:pPr>
        <w:pStyle w:val="4"/>
        <w:jc w:val="center"/>
        <w:rPr>
          <w:rFonts w:ascii="黑体" w:eastAsia="黑体"/>
          <w:sz w:val="32"/>
          <w:szCs w:val="32"/>
        </w:rPr>
      </w:pPr>
      <w:r>
        <w:rPr>
          <w:rFonts w:hint="eastAsia" w:ascii="黑体" w:hAnsi="黑体" w:eastAsia="黑体"/>
          <w:b w:val="0"/>
        </w:rPr>
        <w:t>第一部分 单位</w:t>
      </w:r>
      <w:r>
        <w:rPr>
          <w:rStyle w:val="26"/>
          <w:rFonts w:hint="eastAsia" w:ascii="黑体" w:hAnsi="黑体" w:eastAsia="黑体"/>
          <w:b w:val="0"/>
          <w:bCs w:val="0"/>
        </w:rPr>
        <w:t>概况</w:t>
      </w:r>
      <w:bookmarkEnd w:id="12"/>
      <w:bookmarkEnd w:id="13"/>
    </w:p>
    <w:p>
      <w:pPr>
        <w:pStyle w:val="5"/>
        <w:numPr>
          <w:ilvl w:val="0"/>
          <w:numId w:val="1"/>
        </w:numPr>
        <w:rPr>
          <w:rStyle w:val="27"/>
          <w:rFonts w:hint="eastAsia" w:ascii="黑体" w:hAnsi="黑体" w:eastAsia="黑体"/>
          <w:b w:val="0"/>
          <w:bCs w:val="0"/>
        </w:rPr>
      </w:pPr>
      <w:bookmarkStart w:id="14" w:name="_Toc15396600"/>
      <w:bookmarkStart w:id="15" w:name="_Toc15377197"/>
      <w:r>
        <w:rPr>
          <w:rStyle w:val="27"/>
          <w:rFonts w:hint="eastAsia" w:ascii="黑体" w:hAnsi="黑体" w:eastAsia="黑体"/>
          <w:b w:val="0"/>
          <w:bCs w:val="0"/>
        </w:rPr>
        <w:t>职能简介</w:t>
      </w:r>
    </w:p>
    <w:p>
      <w:pPr>
        <w:ind w:firstLine="480" w:firstLineChars="200"/>
        <w:rPr>
          <w:rFonts w:asciiTheme="minorEastAsia" w:hAnsiTheme="minorEastAsia" w:eastAsiaTheme="minorEastAsia"/>
          <w:bCs/>
          <w:color w:val="000000"/>
          <w:sz w:val="24"/>
          <w:szCs w:val="32"/>
        </w:rPr>
      </w:pPr>
      <w:bookmarkStart w:id="16" w:name="_Toc15377198"/>
      <w:bookmarkStart w:id="17" w:name="_Toc15378445"/>
      <w:r>
        <w:rPr>
          <w:rFonts w:hint="eastAsia" w:asciiTheme="minorEastAsia" w:hAnsiTheme="minorEastAsia" w:eastAsiaTheme="minorEastAsia"/>
          <w:bCs/>
          <w:color w:val="000000"/>
          <w:sz w:val="24"/>
          <w:szCs w:val="32"/>
        </w:rPr>
        <w:t>（一）主要职能。</w:t>
      </w:r>
      <w:bookmarkEnd w:id="16"/>
      <w:bookmarkEnd w:id="17"/>
      <w:bookmarkStart w:id="18" w:name="_Toc15378446"/>
      <w:bookmarkStart w:id="19" w:name="_Toc15377199"/>
      <w:r>
        <w:rPr>
          <w:rFonts w:hint="eastAsia" w:asciiTheme="minorEastAsia" w:hAnsiTheme="minorEastAsia" w:eastAsiaTheme="minorEastAsia"/>
          <w:bCs/>
          <w:color w:val="000000"/>
          <w:sz w:val="24"/>
          <w:szCs w:val="32"/>
        </w:rPr>
        <w:t>乐山市市中区童家学校是隶属于乐山市市中区教育局的一级预决算单位，属事业单位。其主要职责：实施中小学义务教育，促进基础教育发展。中小学学历教育及相关社会服务。在学校建设和发展的过程中，遵守国家教育法规，以生为本，全面实施素质教育，让每一名学生都得到相应的发展，努力为国家和社会培育合格人才。</w:t>
      </w:r>
    </w:p>
    <w:p>
      <w:pPr>
        <w:ind w:firstLine="480" w:firstLineChars="200"/>
        <w:rPr>
          <w:rFonts w:hint="eastAsia"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（二）</w:t>
      </w:r>
      <w:r>
        <w:rPr>
          <w:rFonts w:hint="eastAsia" w:asciiTheme="minorEastAsia" w:hAnsiTheme="minorEastAsia" w:eastAsiaTheme="minorEastAsia"/>
          <w:bCs/>
          <w:color w:val="000000"/>
          <w:sz w:val="24"/>
          <w:szCs w:val="32"/>
          <w:lang w:eastAsia="zh-CN"/>
        </w:rPr>
        <w:t>2021</w:t>
      </w:r>
      <w:r>
        <w:rPr>
          <w:rFonts w:hint="eastAsia" w:asciiTheme="minorEastAsia" w:hAnsiTheme="minorEastAsia" w:eastAsiaTheme="minorEastAsia"/>
          <w:bCs/>
          <w:color w:val="000000"/>
          <w:sz w:val="24"/>
          <w:szCs w:val="32"/>
        </w:rPr>
        <w:t>年重点工作完成情况。</w:t>
      </w:r>
      <w:bookmarkEnd w:id="18"/>
      <w:bookmarkEnd w:id="19"/>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狠抓政治素养提升，党史学习教育显成效</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1.学校班子调整，提升党务管理水平</w:t>
      </w:r>
    </w:p>
    <w:p>
      <w:pPr>
        <w:ind w:firstLine="480" w:firstLineChars="200"/>
        <w:rPr>
          <w:rFonts w:hint="default"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认真按照区教育工委的相关要求，按照规定程序完成学校党政班子换届工作。根据学校党员变化和工作调整，建立了新一届的学校党政班子，使之更符合当前学校学校常规工作实际，整体提升党政班子管理水平。</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2.夯实党建常规，提升党员政治素养</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除按照要求开好三会一课外，学校持续抓好“学思改”学习单的运用，加强党史学习的组织和督促，将“学史明理、学史增信、学史崇德、学史力行”落地落实，切实提升全体党员政治素养。</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筑牢安全管理防线，打赢疫情防控阻击战</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1.支部书记带头，落实疫情防控各项细节</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从开学前的准备到期末的排查，支部书记带领班子成员和全体党员干部，安排布置好各方面的工作，做到：人员排查全覆盖、卫生死角全清除、疫情风险全防范、封闭管理全天候。</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2.细化过程管理，确保安全防线无死角</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党政班子分工到管理的各个层面，随时督查各方面工作，食品卫生工作万无一失、清洁消杀全面记录完整、进出校园落实管控措施到位、隐患排查全面细致处置及时。通过自上而下的精细化管理，本年度我校没有任何一起安全事故发生。</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3.物资优先保障，备足各种防控物资</w:t>
      </w:r>
    </w:p>
    <w:p>
      <w:pPr>
        <w:ind w:firstLine="480" w:firstLineChars="200"/>
        <w:rPr>
          <w:rFonts w:hint="default"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一是防疫物资充足，确保疫情防控储备达到一个月以上；二是“六个百分百”全面达标，筑牢师生安全保障第一道屏障。</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党建引领中心工作，教育教学质量稳提升</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1.开好党政联席会议，决策部署学校管理改革</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学校认真落实“三重一大”制度，充分运用党政联席会讨论通过了学校职评工作方案、岗位晋升工作方案、评优选先工作方案、绩效考核方案（草案），学校工作引领学校管理，营造良好的学校管理生态。</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2.引领教育教学改革，催化党和国家各项政策落实</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一是学校书记亲自推动片区教学研究中心建设，促进学区教学质量整体提升；二是党员干部深度参与大教研组教学研讨工作，推进片区教研水平快速提升；三是党政干部全员参与“双减”和“五项”管理落实，依托学校实际制定学校相应工作方案。</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3.深耕课堂，教育教学成绩稳步提升</w:t>
      </w:r>
    </w:p>
    <w:p>
      <w:pPr>
        <w:ind w:firstLine="480" w:firstLineChars="200"/>
        <w:rPr>
          <w:rFonts w:hint="default"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通过全校教职工的共同努力，我校教育教学质量得到了较大提升，各年级各学科都有不现程度的提升。2021年中考，我校有4名学生考上乐山一中，14名学生考上普通高中，举得了近几年来的又一次突破。</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全面依法治校治教，赢得风清气正好口碑</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1.坚决执行党的决策部署，做好脱贫攻坚的各项任务</w:t>
      </w:r>
    </w:p>
    <w:p>
      <w:pPr>
        <w:ind w:firstLine="480" w:firstLineChars="200"/>
        <w:rPr>
          <w:rFonts w:hint="default"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除落实好各项政策性减免外，学校还组织教职工捐款，并申请定向捐助我校排查出来的生活困难学生家庭。同时，学校各级争取到多个部门、社会团体的爱心捐助，先后有青少年活动中心、柏杨小学、莉琳心理工作室等机关团体为我校贫困学生捐款助学。学校班子带领党政干部做好送教上门工作，做实做好教育扶贫工作。</w:t>
      </w:r>
    </w:p>
    <w:p>
      <w:pPr>
        <w:ind w:firstLine="480" w:firstLineChars="200"/>
        <w:rPr>
          <w:rFonts w:hint="eastAsia" w:cs="Times New Roman" w:asciiTheme="minorEastAsia" w:hAnsiTheme="minorEastAsia" w:eastAsiaTheme="minorEastAsia"/>
          <w:bCs/>
          <w:color w:val="000000"/>
          <w:sz w:val="24"/>
          <w:szCs w:val="32"/>
          <w:lang w:val="en-US" w:eastAsia="zh-CN"/>
        </w:rPr>
      </w:pPr>
      <w:r>
        <w:rPr>
          <w:rFonts w:hint="eastAsia" w:cs="Times New Roman" w:asciiTheme="minorEastAsia" w:hAnsiTheme="minorEastAsia" w:eastAsiaTheme="minorEastAsia"/>
          <w:bCs/>
          <w:color w:val="000000"/>
          <w:sz w:val="24"/>
          <w:szCs w:val="32"/>
          <w:lang w:val="en-US" w:eastAsia="zh-CN"/>
        </w:rPr>
        <w:t>2.依法依规管理学校，杜绝一切有建师德师风的现象</w:t>
      </w:r>
    </w:p>
    <w:p>
      <w:pPr>
        <w:ind w:firstLine="480" w:firstLineChars="200"/>
        <w:rPr>
          <w:rFonts w:hint="eastAsia" w:asciiTheme="minorEastAsia" w:hAnsiTheme="minorEastAsia" w:eastAsiaTheme="minorEastAsia"/>
          <w:bCs/>
          <w:color w:val="000000"/>
          <w:sz w:val="24"/>
          <w:szCs w:val="32"/>
        </w:rPr>
      </w:pPr>
      <w:r>
        <w:rPr>
          <w:rFonts w:hint="eastAsia" w:cs="Times New Roman" w:asciiTheme="minorEastAsia" w:hAnsiTheme="minorEastAsia" w:eastAsiaTheme="minorEastAsia"/>
          <w:bCs/>
          <w:color w:val="000000"/>
          <w:sz w:val="24"/>
          <w:szCs w:val="32"/>
          <w:lang w:val="en-US" w:eastAsia="zh-CN"/>
        </w:rPr>
        <w:t>学校学校从学校书记起，严格要求所有党政干部和教职工，以常态化地学法、经常性的谈心谈话督促全体教职工知法守法，依法从教、依法治教、依法治校。老百姓谈及童家学校，点赞声频传。</w:t>
      </w:r>
    </w:p>
    <w:p>
      <w:pPr>
        <w:pStyle w:val="5"/>
        <w:spacing w:line="240" w:lineRule="auto"/>
        <w:rPr>
          <w:rStyle w:val="27"/>
          <w:rFonts w:asciiTheme="minorEastAsia" w:hAnsiTheme="minorEastAsia" w:eastAsiaTheme="minorEastAsia"/>
          <w:b w:val="0"/>
          <w:bCs w:val="0"/>
          <w:sz w:val="24"/>
        </w:rPr>
      </w:pPr>
      <w:bookmarkStart w:id="20" w:name="_Toc15396601"/>
      <w:bookmarkStart w:id="21" w:name="_Toc15377200"/>
      <w:r>
        <w:rPr>
          <w:rFonts w:hint="eastAsia" w:ascii="宋体" w:hAnsi="宋体" w:eastAsia="宋体" w:cs="Times New Roman"/>
          <w:b w:val="0"/>
          <w:bCs w:val="0"/>
          <w:sz w:val="24"/>
        </w:rPr>
        <w:t>二、</w:t>
      </w:r>
      <w:r>
        <w:rPr>
          <w:rFonts w:hint="eastAsia" w:asciiTheme="minorEastAsia" w:hAnsiTheme="minorEastAsia" w:eastAsiaTheme="minorEastAsia"/>
          <w:b w:val="0"/>
          <w:color w:val="000000"/>
          <w:sz w:val="24"/>
        </w:rPr>
        <w:t>机</w:t>
      </w:r>
      <w:r>
        <w:rPr>
          <w:rStyle w:val="27"/>
          <w:rFonts w:hint="eastAsia" w:asciiTheme="minorEastAsia" w:hAnsiTheme="minorEastAsia" w:eastAsiaTheme="minorEastAsia"/>
          <w:b w:val="0"/>
          <w:bCs w:val="0"/>
          <w:sz w:val="24"/>
        </w:rPr>
        <w:t>构设置</w:t>
      </w:r>
      <w:bookmarkEnd w:id="20"/>
      <w:bookmarkEnd w:id="21"/>
    </w:p>
    <w:p>
      <w:pPr>
        <w:autoSpaceDE w:val="0"/>
        <w:autoSpaceDN w:val="0"/>
        <w:adjustRightInd w:val="0"/>
        <w:ind w:firstLine="600" w:firstLineChars="250"/>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我校隶属于乐山市市中区教育局的一级预决算单位，财政补助的事业类独立编制机构数1个。</w:t>
      </w:r>
    </w:p>
    <w:p>
      <w:pPr>
        <w:autoSpaceDE w:val="0"/>
        <w:autoSpaceDN w:val="0"/>
        <w:adjustRightInd w:val="0"/>
        <w:ind w:firstLine="600" w:firstLineChars="250"/>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学校机构设置一览表</w:t>
      </w:r>
    </w:p>
    <w:p>
      <w:pPr>
        <w:autoSpaceDE w:val="0"/>
        <w:autoSpaceDN w:val="0"/>
        <w:adjustRightInd w:val="0"/>
        <w:ind w:firstLine="600" w:firstLineChars="250"/>
        <w:rPr>
          <w:rFonts w:asciiTheme="minorEastAsia" w:hAnsiTheme="minorEastAsia" w:eastAsiaTheme="minorEastAsia"/>
          <w:bCs/>
          <w:color w:val="000000"/>
          <w:sz w:val="24"/>
          <w:szCs w:val="32"/>
        </w:rPr>
      </w:pPr>
    </w:p>
    <w:tbl>
      <w:tblPr>
        <w:tblStyle w:val="14"/>
        <w:tblW w:w="84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6"/>
        <w:gridCol w:w="1500"/>
        <w:gridCol w:w="1232"/>
        <w:gridCol w:w="1973"/>
        <w:gridCol w:w="3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536"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序号</w:t>
            </w:r>
          </w:p>
        </w:tc>
        <w:tc>
          <w:tcPr>
            <w:tcW w:w="1500"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部门</w:t>
            </w:r>
          </w:p>
        </w:tc>
        <w:tc>
          <w:tcPr>
            <w:tcW w:w="1232"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人员</w:t>
            </w:r>
          </w:p>
        </w:tc>
        <w:tc>
          <w:tcPr>
            <w:tcW w:w="1973"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联系方式</w:t>
            </w:r>
          </w:p>
        </w:tc>
        <w:tc>
          <w:tcPr>
            <w:tcW w:w="3233"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工作职责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536"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1</w:t>
            </w:r>
          </w:p>
        </w:tc>
        <w:tc>
          <w:tcPr>
            <w:tcW w:w="1500"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校长室</w:t>
            </w:r>
          </w:p>
        </w:tc>
        <w:tc>
          <w:tcPr>
            <w:tcW w:w="1232"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邹晓洪</w:t>
            </w:r>
          </w:p>
        </w:tc>
        <w:tc>
          <w:tcPr>
            <w:tcW w:w="1973" w:type="dxa"/>
            <w:vAlign w:val="center"/>
          </w:tcPr>
          <w:p>
            <w:pPr>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08332660045</w:t>
            </w:r>
          </w:p>
        </w:tc>
        <w:tc>
          <w:tcPr>
            <w:tcW w:w="3233" w:type="dxa"/>
            <w:vAlign w:val="center"/>
          </w:tcPr>
          <w:p>
            <w:pPr>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主持学校全面工作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536"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2</w:t>
            </w:r>
          </w:p>
        </w:tc>
        <w:tc>
          <w:tcPr>
            <w:tcW w:w="1500"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支部室</w:t>
            </w:r>
          </w:p>
        </w:tc>
        <w:tc>
          <w:tcPr>
            <w:tcW w:w="1232"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李赟</w:t>
            </w:r>
          </w:p>
        </w:tc>
        <w:tc>
          <w:tcPr>
            <w:tcW w:w="1973" w:type="dxa"/>
            <w:vAlign w:val="center"/>
          </w:tcPr>
          <w:p>
            <w:pPr>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 xml:space="preserve">13981352151  </w:t>
            </w:r>
          </w:p>
        </w:tc>
        <w:tc>
          <w:tcPr>
            <w:tcW w:w="3233"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学校党务工作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trPr>
        <w:tc>
          <w:tcPr>
            <w:tcW w:w="536"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3</w:t>
            </w:r>
          </w:p>
        </w:tc>
        <w:tc>
          <w:tcPr>
            <w:tcW w:w="1500"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办公室</w:t>
            </w:r>
          </w:p>
        </w:tc>
        <w:tc>
          <w:tcPr>
            <w:tcW w:w="1232" w:type="dxa"/>
            <w:vAlign w:val="center"/>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lang w:val="en-US" w:eastAsia="zh-CN"/>
              </w:rPr>
              <w:t>邱静</w:t>
            </w:r>
          </w:p>
        </w:tc>
        <w:tc>
          <w:tcPr>
            <w:tcW w:w="1973" w:type="dxa"/>
            <w:vAlign w:val="center"/>
          </w:tcPr>
          <w:p>
            <w:pPr>
              <w:spacing w:line="480" w:lineRule="exact"/>
              <w:jc w:val="center"/>
              <w:rPr>
                <w:rFonts w:hint="default" w:asciiTheme="minorEastAsia" w:hAnsiTheme="minorEastAsia" w:eastAsiaTheme="minorEastAsia"/>
                <w:bCs/>
                <w:color w:val="000000"/>
                <w:sz w:val="24"/>
                <w:szCs w:val="32"/>
                <w:lang w:val="en-US" w:eastAsia="zh-CN"/>
              </w:rPr>
            </w:pPr>
            <w:r>
              <w:rPr>
                <w:rFonts w:hint="eastAsia" w:asciiTheme="minorEastAsia" w:hAnsiTheme="minorEastAsia" w:eastAsiaTheme="minorEastAsia"/>
                <w:bCs/>
                <w:color w:val="000000"/>
                <w:sz w:val="24"/>
                <w:szCs w:val="32"/>
                <w:lang w:val="en-US" w:eastAsia="zh-CN"/>
              </w:rPr>
              <w:t>15082236571</w:t>
            </w:r>
          </w:p>
        </w:tc>
        <w:tc>
          <w:tcPr>
            <w:tcW w:w="3233" w:type="dxa"/>
          </w:tcPr>
          <w:p>
            <w:pPr>
              <w:spacing w:line="480" w:lineRule="exact"/>
              <w:jc w:val="center"/>
              <w:rPr>
                <w:rFonts w:asciiTheme="minorEastAsia" w:hAnsiTheme="minorEastAsia" w:eastAsiaTheme="minorEastAsia"/>
                <w:bCs/>
                <w:color w:val="000000"/>
                <w:sz w:val="24"/>
                <w:szCs w:val="32"/>
              </w:rPr>
            </w:pPr>
          </w:p>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 xml:space="preserve"> 安全、文件、部门组织协调、会议管理工作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5" w:hRule="atLeast"/>
        </w:trPr>
        <w:tc>
          <w:tcPr>
            <w:tcW w:w="536" w:type="dxa"/>
          </w:tcPr>
          <w:p>
            <w:pPr>
              <w:spacing w:line="480" w:lineRule="exact"/>
              <w:jc w:val="center"/>
              <w:rPr>
                <w:rFonts w:asciiTheme="minorEastAsia" w:hAnsiTheme="minorEastAsia" w:eastAsiaTheme="minorEastAsia"/>
                <w:bCs/>
                <w:color w:val="000000"/>
                <w:sz w:val="24"/>
                <w:szCs w:val="32"/>
              </w:rPr>
            </w:pPr>
          </w:p>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4</w:t>
            </w:r>
          </w:p>
        </w:tc>
        <w:tc>
          <w:tcPr>
            <w:tcW w:w="1500" w:type="dxa"/>
          </w:tcPr>
          <w:p>
            <w:pPr>
              <w:spacing w:line="480" w:lineRule="exact"/>
              <w:jc w:val="center"/>
              <w:rPr>
                <w:rFonts w:asciiTheme="minorEastAsia" w:hAnsiTheme="minorEastAsia" w:eastAsiaTheme="minorEastAsia"/>
                <w:bCs/>
                <w:color w:val="000000"/>
                <w:sz w:val="24"/>
                <w:szCs w:val="32"/>
              </w:rPr>
            </w:pPr>
          </w:p>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教务处</w:t>
            </w:r>
          </w:p>
        </w:tc>
        <w:tc>
          <w:tcPr>
            <w:tcW w:w="1232" w:type="dxa"/>
          </w:tcPr>
          <w:p>
            <w:pPr>
              <w:spacing w:line="480" w:lineRule="exact"/>
              <w:jc w:val="center"/>
              <w:rPr>
                <w:rFonts w:asciiTheme="minorEastAsia" w:hAnsiTheme="minorEastAsia" w:eastAsiaTheme="minorEastAsia"/>
                <w:bCs/>
                <w:color w:val="000000"/>
                <w:sz w:val="24"/>
                <w:szCs w:val="32"/>
              </w:rPr>
            </w:pPr>
          </w:p>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徐建英</w:t>
            </w:r>
          </w:p>
        </w:tc>
        <w:tc>
          <w:tcPr>
            <w:tcW w:w="1973" w:type="dxa"/>
          </w:tcPr>
          <w:p>
            <w:pPr>
              <w:spacing w:line="480" w:lineRule="exact"/>
              <w:jc w:val="center"/>
              <w:rPr>
                <w:rFonts w:asciiTheme="minorEastAsia" w:hAnsiTheme="minorEastAsia" w:eastAsiaTheme="minorEastAsia"/>
                <w:bCs/>
                <w:color w:val="000000"/>
                <w:sz w:val="24"/>
                <w:szCs w:val="32"/>
              </w:rPr>
            </w:pPr>
          </w:p>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08332571014</w:t>
            </w:r>
          </w:p>
        </w:tc>
        <w:tc>
          <w:tcPr>
            <w:tcW w:w="3233" w:type="dxa"/>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教学管理、教研、</w:t>
            </w:r>
          </w:p>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教师工作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536" w:type="dxa"/>
            <w:tcBorders>
              <w:top w:val="single" w:color="auto" w:sz="4" w:space="0"/>
              <w:left w:val="single" w:color="auto" w:sz="4" w:space="0"/>
              <w:bottom w:val="single" w:color="auto" w:sz="4" w:space="0"/>
              <w:right w:val="single" w:color="auto" w:sz="4" w:space="0"/>
            </w:tcBorders>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5</w:t>
            </w:r>
          </w:p>
        </w:tc>
        <w:tc>
          <w:tcPr>
            <w:tcW w:w="1500" w:type="dxa"/>
            <w:tcBorders>
              <w:top w:val="single" w:color="auto" w:sz="4" w:space="0"/>
              <w:left w:val="single" w:color="auto" w:sz="4" w:space="0"/>
              <w:bottom w:val="single" w:color="auto" w:sz="4" w:space="0"/>
              <w:right w:val="single" w:color="auto" w:sz="4" w:space="0"/>
            </w:tcBorders>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后勤处</w:t>
            </w:r>
          </w:p>
        </w:tc>
        <w:tc>
          <w:tcPr>
            <w:tcW w:w="1232" w:type="dxa"/>
            <w:tcBorders>
              <w:top w:val="single" w:color="auto" w:sz="4" w:space="0"/>
              <w:left w:val="single" w:color="auto" w:sz="4" w:space="0"/>
              <w:bottom w:val="single" w:color="auto" w:sz="4" w:space="0"/>
              <w:right w:val="single" w:color="auto" w:sz="4" w:space="0"/>
            </w:tcBorders>
          </w:tcPr>
          <w:p>
            <w:pPr>
              <w:spacing w:line="480" w:lineRule="exact"/>
              <w:jc w:val="center"/>
              <w:rPr>
                <w:rFonts w:hint="eastAsia" w:asciiTheme="minorEastAsia" w:hAnsiTheme="minorEastAsia" w:eastAsiaTheme="minorEastAsia"/>
                <w:bCs/>
                <w:color w:val="000000"/>
                <w:sz w:val="24"/>
                <w:szCs w:val="32"/>
                <w:lang w:val="en-US" w:eastAsia="zh-CN"/>
              </w:rPr>
            </w:pPr>
            <w:r>
              <w:rPr>
                <w:rFonts w:hint="eastAsia" w:asciiTheme="minorEastAsia" w:hAnsiTheme="minorEastAsia" w:eastAsiaTheme="minorEastAsia"/>
                <w:bCs/>
                <w:color w:val="000000"/>
                <w:sz w:val="24"/>
                <w:szCs w:val="32"/>
                <w:lang w:val="en-US" w:eastAsia="zh-CN"/>
              </w:rPr>
              <w:t>游业伟</w:t>
            </w:r>
          </w:p>
        </w:tc>
        <w:tc>
          <w:tcPr>
            <w:tcW w:w="1973" w:type="dxa"/>
            <w:tcBorders>
              <w:top w:val="single" w:color="auto" w:sz="4" w:space="0"/>
              <w:left w:val="single" w:color="auto" w:sz="4" w:space="0"/>
              <w:bottom w:val="single" w:color="auto" w:sz="4" w:space="0"/>
              <w:right w:val="single" w:color="auto" w:sz="4" w:space="0"/>
            </w:tcBorders>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lang w:val="en-US" w:eastAsia="zh-CN"/>
              </w:rPr>
              <w:t>13696155944</w:t>
            </w:r>
            <w:r>
              <w:rPr>
                <w:rFonts w:hint="eastAsia" w:asciiTheme="minorEastAsia" w:hAnsiTheme="minorEastAsia" w:eastAsiaTheme="minorEastAsia"/>
                <w:bCs/>
                <w:color w:val="000000"/>
                <w:sz w:val="24"/>
                <w:szCs w:val="32"/>
              </w:rPr>
              <w:t xml:space="preserve">  </w:t>
            </w:r>
          </w:p>
        </w:tc>
        <w:tc>
          <w:tcPr>
            <w:tcW w:w="3233" w:type="dxa"/>
            <w:tcBorders>
              <w:top w:val="single" w:color="auto" w:sz="4" w:space="0"/>
              <w:left w:val="single" w:color="auto" w:sz="4" w:space="0"/>
              <w:bottom w:val="single" w:color="auto" w:sz="4" w:space="0"/>
              <w:right w:val="single" w:color="auto" w:sz="4" w:space="0"/>
            </w:tcBorders>
          </w:tcPr>
          <w:p>
            <w:pPr>
              <w:spacing w:line="480" w:lineRule="exact"/>
              <w:jc w:val="center"/>
              <w:rPr>
                <w:rFonts w:asciiTheme="minorEastAsia" w:hAnsiTheme="minorEastAsia" w:eastAsiaTheme="minorEastAsia"/>
                <w:bCs/>
                <w:color w:val="000000"/>
                <w:sz w:val="24"/>
                <w:szCs w:val="32"/>
              </w:rPr>
            </w:pPr>
            <w:r>
              <w:rPr>
                <w:rFonts w:hint="eastAsia" w:asciiTheme="minorEastAsia" w:hAnsiTheme="minorEastAsia" w:eastAsiaTheme="minorEastAsia"/>
                <w:bCs/>
                <w:color w:val="000000"/>
                <w:sz w:val="24"/>
                <w:szCs w:val="32"/>
              </w:rPr>
              <w:t>财务、后勤管理</w:t>
            </w:r>
          </w:p>
        </w:tc>
      </w:tr>
    </w:tbl>
    <w:p>
      <w:pPr>
        <w:numPr>
          <w:ilvl w:val="0"/>
          <w:numId w:val="0"/>
        </w:numPr>
      </w:pPr>
    </w:p>
    <w:p>
      <w:pPr>
        <w:pStyle w:val="5"/>
        <w:rPr>
          <w:rFonts w:hint="eastAsia" w:ascii="黑体" w:hAnsi="黑体" w:eastAsia="黑体"/>
          <w:b w:val="0"/>
        </w:rPr>
      </w:pPr>
      <w:r>
        <w:rPr>
          <w:rFonts w:hint="eastAsia" w:ascii="黑体" w:hAnsi="黑体" w:eastAsia="黑体"/>
          <w:b w:val="0"/>
        </w:rPr>
        <w:t>二、2021年重点工作</w:t>
      </w:r>
      <w:bookmarkEnd w:id="14"/>
      <w:bookmarkEnd w:id="15"/>
      <w:r>
        <w:rPr>
          <w:rFonts w:hint="eastAsia" w:ascii="黑体" w:hAnsi="黑体" w:eastAsia="黑体"/>
          <w:b w:val="0"/>
        </w:rPr>
        <w:t>完成情况</w:t>
      </w:r>
    </w:p>
    <w:p>
      <w:pPr>
        <w:pStyle w:val="5"/>
        <w:rPr>
          <w:rFonts w:hint="eastAsia" w:asciiTheme="majorEastAsia" w:hAnsiTheme="majorEastAsia" w:eastAsiaTheme="majorEastAsia" w:cstheme="majorEastAsia"/>
          <w:sz w:val="24"/>
          <w:szCs w:val="24"/>
        </w:rPr>
      </w:pPr>
      <w:r>
        <w:rPr>
          <w:rFonts w:hint="eastAsia" w:asciiTheme="majorEastAsia" w:hAnsiTheme="majorEastAsia" w:cstheme="majorEastAsia"/>
          <w:sz w:val="24"/>
          <w:szCs w:val="24"/>
          <w:lang w:eastAsia="zh-CN"/>
        </w:rPr>
        <w:t>（</w:t>
      </w:r>
      <w:r>
        <w:rPr>
          <w:rFonts w:hint="eastAsia" w:asciiTheme="majorEastAsia" w:hAnsiTheme="majorEastAsia" w:eastAsiaTheme="majorEastAsia" w:cstheme="majorEastAsia"/>
          <w:sz w:val="24"/>
          <w:szCs w:val="24"/>
        </w:rPr>
        <w:t>一</w:t>
      </w:r>
      <w:r>
        <w:rPr>
          <w:rFonts w:hint="eastAsia" w:asciiTheme="majorEastAsia" w:hAnsiTheme="majorEastAsia" w:cstheme="majorEastAsia"/>
          <w:sz w:val="24"/>
          <w:szCs w:val="24"/>
          <w:lang w:val="en-US" w:eastAsia="zh-CN"/>
        </w:rPr>
        <w:t>)</w:t>
      </w:r>
      <w:r>
        <w:rPr>
          <w:rFonts w:hint="eastAsia" w:asciiTheme="majorEastAsia" w:hAnsiTheme="majorEastAsia" w:eastAsiaTheme="majorEastAsia" w:cstheme="majorEastAsia"/>
          <w:sz w:val="24"/>
          <w:szCs w:val="24"/>
        </w:rPr>
        <w:t xml:space="preserve">、加强队伍建设，提升学校核心竞争力。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打造一支思想觉悟高、敬业精神强、业务能力好、师德 水平高的教师队伍，是学校不断发展和提高的关键，是学校 实现腾飞的基石。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1、加强干部队伍建设。学校高度重视领导班子建设， 以转变和培养好的工作作风、领导作风、思想作风和生活作 风为目标，要求全体行政树立勤于学习、勇于实践、真抓实 干、开拓进取、清政廉洁、关心职工的良好形象，积极开展 “创先争优”活动，争创“四好”班子，争做“五好”干部。 5 扎实有效地组织开展了廉政文化进校园活动，学校党政领导 班子成员更加严格要求自己，率先垂范，廉洁自律，做到了 “用心想事，用心谋事，用心干事”。可以说，学校班子是 一个团结、务实、高效、廉洁自律的班子，每个人都讲政治、 讲正气、顾全大局，以学校的利益为重。一年多来的工作实 践证明，整个领导班子的执行力、影响力正在逐渐增强。班 子成员各司其职，各负其责，通力合作，圆满完成了学校的 各项工作任务。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2、加强教师队伍建设。教师是学校发展的核心竞争力。 随着新课程改革的推进，对教师素质的要求越来越高。学校 一直致力打造品德高尚、业务精良、教艺精湛的高素质教师 队伍。学校切实加强了教育行风建设，规范教师教学行为， 严格执行教师从教的各项规定和要求，重点加强了师德师风 建设，重点加强了廉政文化建设，开展了廉政文化进校园活 动，实行师德师风在职称评定上的一票否决。学校紧紧围绕 “教师素质能力的提升”这一主题，组织开展了“争当骨干 教师，争当优秀教师”活动。</w:t>
      </w:r>
      <w:r>
        <w:rPr>
          <w:rFonts w:hint="eastAsia" w:asciiTheme="majorEastAsia" w:hAnsiTheme="majorEastAsia" w:eastAsiaTheme="majorEastAsia" w:cstheme="majorEastAsia"/>
          <w:sz w:val="24"/>
          <w:szCs w:val="24"/>
          <w:lang w:val="en-US" w:eastAsia="zh-CN"/>
        </w:rPr>
        <w:t>有</w:t>
      </w:r>
      <w:r>
        <w:rPr>
          <w:rFonts w:hint="eastAsia" w:asciiTheme="majorEastAsia" w:hAnsiTheme="majorEastAsia" w:eastAsiaTheme="majorEastAsia" w:cstheme="majorEastAsia"/>
          <w:sz w:val="24"/>
          <w:szCs w:val="24"/>
        </w:rPr>
        <w:t xml:space="preserve">区级骨干 </w:t>
      </w:r>
      <w:r>
        <w:rPr>
          <w:rFonts w:hint="eastAsia" w:asciiTheme="majorEastAsia" w:hAnsiTheme="majorEastAsia" w:eastAsiaTheme="majorEastAsia" w:cstheme="majorEastAsia"/>
          <w:sz w:val="24"/>
          <w:szCs w:val="24"/>
          <w:lang w:val="en-US" w:eastAsia="zh-CN"/>
        </w:rPr>
        <w:t>3</w:t>
      </w:r>
      <w:r>
        <w:rPr>
          <w:rFonts w:hint="eastAsia" w:asciiTheme="majorEastAsia" w:hAnsiTheme="majorEastAsia" w:eastAsiaTheme="majorEastAsia" w:cstheme="majorEastAsia"/>
          <w:sz w:val="24"/>
          <w:szCs w:val="24"/>
        </w:rPr>
        <w:t xml:space="preserve">人，校级骨干 </w:t>
      </w:r>
      <w:r>
        <w:rPr>
          <w:rFonts w:hint="eastAsia" w:asciiTheme="majorEastAsia" w:hAnsiTheme="majorEastAsia" w:eastAsiaTheme="majorEastAsia" w:cstheme="majorEastAsia"/>
          <w:sz w:val="24"/>
          <w:szCs w:val="24"/>
          <w:lang w:val="en-US" w:eastAsia="zh-CN"/>
        </w:rPr>
        <w:t>3</w:t>
      </w:r>
      <w:r>
        <w:rPr>
          <w:rFonts w:hint="eastAsia" w:asciiTheme="majorEastAsia" w:hAnsiTheme="majorEastAsia" w:eastAsiaTheme="majorEastAsia" w:cstheme="majorEastAsia"/>
          <w:sz w:val="24"/>
          <w:szCs w:val="24"/>
        </w:rPr>
        <w:t xml:space="preserve">人。教师队伍建设已初见成效。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val="en-US" w:eastAsia="zh-CN"/>
        </w:rPr>
        <w:t>(</w:t>
      </w:r>
      <w:r>
        <w:rPr>
          <w:rFonts w:hint="eastAsia" w:asciiTheme="majorEastAsia" w:hAnsiTheme="majorEastAsia" w:eastAsiaTheme="majorEastAsia" w:cstheme="majorEastAsia"/>
          <w:sz w:val="24"/>
          <w:szCs w:val="24"/>
        </w:rPr>
        <w:t>二</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、强化教育教学管理，提升办学质量。</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1、学校加大了教育管理力度，进一步规范了管理制度。 进一步强化了值周、值班工作制，安排行政和教师轮流值周、 值班，实行全天候、全方位督查，监督管理特别到位，使学 校的教育管理工作上了一个新的台阶。校纪更加严明，校风 更加纯正。学校团委工作成绩显著、富有特色。组织开展了 校园文体艺术节活动、重大节日主题活动、法制教育主题活 6 动。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2、强化教学管理，确保质量提升。教学工作始终是学 校的中心工作。在教学上，以质量为核心，注重过程管理， 注重细节管理，想方设法、千方百计，打造艺体教育特色。 学校认真贯彻落实“区教育局基础教育工作要点”，进一步 加强了对教学过程的监管、指导和检查工作。狠抓教学常规 管理，狠抓年级、班级、学科的目标管理，狠抓毕业班教学 实效管理，学校整体教学质量显著上升，考取乐山一中 5 人。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3、教研工作富有成效。常规教研扎实开展：间周一次 的教研组活动有序进行，做到了围绕三个重心，即“新课程 教学研讨”、“新进教师的培养”、“教学经验与困惑交流”， 坚持三个保证，即保证活动时间、保证参与人数、保证有效 活动内容。继续加强备课组建设，达到“集中智慧，资源共享，交流互助，共同提高”。继续加强校本教研工作，采取学校集体培训和个人自主研修方式，撰写好读书笔记、教学反思、教育随笔、教育教学论文，促进教师自我学习、自我提高。有序有效开展组内、校级及校际交流教学公开研讨课。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三</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、积极营造校园文化氛围，全力打造“榜样教育”特 色。</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1、全力打造“</w:t>
      </w:r>
      <w:r>
        <w:rPr>
          <w:rFonts w:hint="eastAsia" w:asciiTheme="majorEastAsia" w:hAnsiTheme="majorEastAsia" w:eastAsiaTheme="majorEastAsia" w:cstheme="majorEastAsia"/>
          <w:sz w:val="24"/>
          <w:szCs w:val="24"/>
          <w:lang w:val="en-US" w:eastAsia="zh-CN"/>
        </w:rPr>
        <w:t>劳动</w:t>
      </w:r>
      <w:r>
        <w:rPr>
          <w:rFonts w:hint="eastAsia" w:asciiTheme="majorEastAsia" w:hAnsiTheme="majorEastAsia" w:eastAsiaTheme="majorEastAsia" w:cstheme="majorEastAsia"/>
          <w:sz w:val="24"/>
          <w:szCs w:val="24"/>
        </w:rPr>
        <w:t xml:space="preserve">教育”的德育特色。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2、狠抓校园文化建设，精心扮靓育人环境，让每一面墙壁都会说话，让每一块绿地都能传情，让每一个角落都有 美的闪现。一个全新靓丽的育人环境呈现在师生面前，时时 刻刻熏陶着师生、滋润着师生、警醒着师生、激励着师生， 完全体现了“一草一木皆传情，一景一物都育人”的设计理 念。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四</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 xml:space="preserve">、全面推行民主管理，校务公开扎实有效。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学校实行民主管理，坚持“公开、公平、民主”的原则， 积极实施“阳光工程”，充分发挥工会、教代会的作用，学校把重大决策、财务收支、评先评优、职称晋升等教职工和 社会关注的热点、焦点和难点置于广大教职工和社会各界的 监督之下，增加透明度，实行阳光作业，学校的各项工作如 师资培训、评优评先、职称评聘、年度考核、福利、财务开 支等情况，均在校务公开栏中公示，同时经常听取教工对学 校工作的意见和建议，大大增强教职工的工作主动性和积极 性，维护了学校的稳定。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五</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 xml:space="preserve">、综治安全责任落实，全力打造“平安校园”。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1、学校党政领导班子十分重视综治安全工作。学校与 各部门、班主任、教师层层签订《安全工作目标责任书》。 </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2、建立健全了学校安全管理制度。学校制定了《</w:t>
      </w:r>
      <w:r>
        <w:rPr>
          <w:rFonts w:hint="eastAsia" w:asciiTheme="majorEastAsia" w:hAnsiTheme="majorEastAsia" w:eastAsiaTheme="majorEastAsia" w:cstheme="majorEastAsia"/>
          <w:sz w:val="24"/>
          <w:szCs w:val="24"/>
          <w:lang w:val="en-US" w:eastAsia="zh-CN"/>
        </w:rPr>
        <w:t>童家</w:t>
      </w:r>
      <w:r>
        <w:rPr>
          <w:rFonts w:hint="eastAsia" w:asciiTheme="majorEastAsia" w:hAnsiTheme="majorEastAsia" w:eastAsiaTheme="majorEastAsia" w:cstheme="majorEastAsia"/>
          <w:sz w:val="24"/>
          <w:szCs w:val="24"/>
        </w:rPr>
        <w:t>“平安校园”实施方案》，将“平安校园”的打造工作落到实处。建立预警机制，防患未然</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加强门卫管理，严把校门关口防线；加强校园管理，构筑校内安全防线；抓好安全教育，构筑思想防线；整治周边环境，构筑外围防线。特别是校门口公路上给师生进出带来了一些安全隐患，由于安全教育管理措施得力，监管到位，所以没有出任何安全事故。</w:t>
      </w:r>
    </w:p>
    <w:p>
      <w:pPr>
        <w:widowControl/>
        <w:spacing w:line="560" w:lineRule="exact"/>
        <w:ind w:firstLine="480" w:firstLineChars="200"/>
        <w:jc w:val="left"/>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 xml:space="preserve">3、扎实开展应急演练工作。为了进一步增强防灾救灾 意识，提升应对处置各类灾害能力，普及提高全校师生防灾 避险知识和自救互救能力，学校每学期至少开展一次安全应 急演练。每年“5.12”汶川大地震纪念日和全国“防灾救灾 日”来临之际，学校都要举办大型的防灾减灾应急疏散演练 活动。 </w:t>
      </w:r>
    </w:p>
    <w:p>
      <w:pPr>
        <w:widowControl/>
        <w:spacing w:line="560" w:lineRule="exact"/>
        <w:ind w:firstLine="480" w:firstLineChars="200"/>
        <w:jc w:val="left"/>
        <w:rPr>
          <w:rFonts w:hint="eastAsia" w:asciiTheme="majorEastAsia" w:hAnsiTheme="majorEastAsia" w:eastAsiaTheme="majorEastAsia" w:cstheme="majorEastAsia"/>
          <w:kern w:val="0"/>
          <w:sz w:val="24"/>
          <w:szCs w:val="24"/>
        </w:rPr>
      </w:pP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六</w:t>
      </w:r>
      <w:r>
        <w:rPr>
          <w:rFonts w:hint="eastAsia" w:asciiTheme="majorEastAsia" w:hAnsiTheme="majorEastAsia" w:eastAsiaTheme="majorEastAsia" w:cstheme="majorEastAsia"/>
          <w:sz w:val="24"/>
          <w:szCs w:val="24"/>
          <w:lang w:eastAsia="zh-CN"/>
        </w:rPr>
        <w:t>）</w:t>
      </w:r>
      <w:r>
        <w:rPr>
          <w:rFonts w:hint="eastAsia" w:asciiTheme="majorEastAsia" w:hAnsiTheme="majorEastAsia" w:eastAsiaTheme="majorEastAsia" w:cstheme="majorEastAsia"/>
          <w:sz w:val="24"/>
          <w:szCs w:val="24"/>
        </w:rPr>
        <w:t>、不断强化总务后勤工作，努力提升服务质量。学校总务后勤工作始终坚持“为教育教学服好务，为师生服好务”这一宗旨，强化管理，以管理促效益，以管理促发展。无论是从饭菜的数量和质量上看，还是从后勤服务质量来看，都比原来的对外承包经营好，受到全校师生高度好评。严格学校经费的预算和使用管理，加强教育经费使用的监督和管理力度，增加学校经费管理和使用的透明度，发挥教育经费的最大使用效益。制定了财产清查制度，设立保管，并制定保管职责，登记固定资产明细帐，做到了帐帐、帐物相符，按时收集、整理，装订会计档案，代管费按时给学生、家长结算。</w:t>
      </w:r>
    </w:p>
    <w:p>
      <w:pPr>
        <w:pStyle w:val="4"/>
        <w:ind w:right="440"/>
        <w:jc w:val="center"/>
      </w:pPr>
      <w:bookmarkStart w:id="22" w:name="_Toc15377204"/>
      <w:bookmarkStart w:id="23" w:name="_Toc15396602"/>
      <w:r>
        <w:rPr>
          <w:rFonts w:hint="eastAsia" w:ascii="黑体" w:hAnsi="黑体" w:eastAsia="黑体"/>
          <w:b w:val="0"/>
        </w:rPr>
        <w:t>第二部分 2021年度</w:t>
      </w:r>
      <w:r>
        <w:rPr>
          <w:rStyle w:val="26"/>
          <w:rFonts w:hint="eastAsia" w:ascii="黑体" w:hAnsi="黑体" w:eastAsia="黑体"/>
          <w:b w:val="0"/>
          <w:bCs/>
        </w:rPr>
        <w:t>单位决算情况说明</w:t>
      </w:r>
      <w:bookmarkEnd w:id="22"/>
      <w:bookmarkEnd w:id="23"/>
    </w:p>
    <w:p>
      <w:pPr>
        <w:pStyle w:val="25"/>
        <w:numPr>
          <w:ilvl w:val="0"/>
          <w:numId w:val="2"/>
        </w:numPr>
        <w:spacing w:line="600" w:lineRule="exact"/>
        <w:ind w:firstLineChars="0"/>
        <w:outlineLvl w:val="1"/>
        <w:rPr>
          <w:rStyle w:val="27"/>
          <w:rFonts w:ascii="黑体" w:hAnsi="黑体" w:eastAsia="黑体"/>
          <w:b w:val="0"/>
        </w:rPr>
      </w:pPr>
      <w:bookmarkStart w:id="24" w:name="_Toc15396603"/>
      <w:bookmarkStart w:id="25" w:name="_Toc15377205"/>
      <w:r>
        <w:rPr>
          <w:rFonts w:hint="eastAsia" w:ascii="黑体" w:hAnsi="黑体" w:eastAsia="黑体"/>
          <w:sz w:val="32"/>
          <w:szCs w:val="32"/>
        </w:rPr>
        <w:t>收</w:t>
      </w:r>
      <w:r>
        <w:rPr>
          <w:rStyle w:val="27"/>
          <w:rFonts w:hint="eastAsia" w:ascii="黑体" w:hAnsi="黑体" w:eastAsia="黑体"/>
          <w:b w:val="0"/>
        </w:rPr>
        <w:t>入支出决算总体情况说明</w:t>
      </w:r>
      <w:bookmarkEnd w:id="24"/>
      <w:bookmarkEnd w:id="25"/>
    </w:p>
    <w:p>
      <w:pPr>
        <w:spacing w:line="600" w:lineRule="exact"/>
        <w:ind w:firstLine="480" w:firstLineChars="200"/>
        <w:rPr>
          <w:rFonts w:asciiTheme="minorEastAsia" w:hAnsiTheme="minorEastAsia" w:eastAsiaTheme="minorEastAsia"/>
          <w:color w:val="000000"/>
          <w:sz w:val="24"/>
          <w:szCs w:val="32"/>
        </w:rPr>
      </w:pPr>
      <w:r>
        <w:rPr>
          <w:rFonts w:hint="eastAsia" w:asciiTheme="minorEastAsia" w:hAnsiTheme="minorEastAsia" w:eastAsiaTheme="minorEastAsia"/>
          <w:color w:val="000000"/>
          <w:sz w:val="24"/>
          <w:szCs w:val="32"/>
        </w:rPr>
        <w:t>1、总收支。</w:t>
      </w: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年度年初结转和结余</w:t>
      </w:r>
      <w:r>
        <w:rPr>
          <w:rFonts w:hint="eastAsia" w:asciiTheme="minorEastAsia" w:hAnsiTheme="minorEastAsia" w:eastAsiaTheme="minorEastAsia"/>
          <w:color w:val="000000"/>
          <w:sz w:val="24"/>
          <w:szCs w:val="32"/>
          <w:lang w:val="en-US" w:eastAsia="zh-CN"/>
        </w:rPr>
        <w:t>3.97</w:t>
      </w:r>
      <w:r>
        <w:rPr>
          <w:rFonts w:hint="eastAsia" w:asciiTheme="minorEastAsia" w:hAnsiTheme="minorEastAsia" w:eastAsiaTheme="minorEastAsia"/>
          <w:color w:val="000000"/>
          <w:sz w:val="24"/>
          <w:szCs w:val="32"/>
        </w:rPr>
        <w:t>万元，本年收入</w:t>
      </w:r>
      <w:r>
        <w:rPr>
          <w:rFonts w:hint="eastAsia" w:asciiTheme="minorEastAsia" w:hAnsiTheme="minorEastAsia" w:eastAsiaTheme="minorEastAsia"/>
          <w:color w:val="000000"/>
          <w:sz w:val="24"/>
          <w:szCs w:val="32"/>
          <w:lang w:val="en-US" w:eastAsia="zh-CN"/>
        </w:rPr>
        <w:t>800.55</w:t>
      </w:r>
      <w:r>
        <w:rPr>
          <w:rFonts w:hint="eastAsia" w:asciiTheme="minorEastAsia" w:hAnsiTheme="minorEastAsia" w:eastAsiaTheme="minorEastAsia"/>
          <w:color w:val="000000"/>
          <w:sz w:val="24"/>
          <w:szCs w:val="32"/>
        </w:rPr>
        <w:t>万元，本年支出</w:t>
      </w:r>
      <w:r>
        <w:rPr>
          <w:rFonts w:hint="eastAsia" w:asciiTheme="minorEastAsia" w:hAnsiTheme="minorEastAsia" w:eastAsiaTheme="minorEastAsia"/>
          <w:color w:val="000000"/>
          <w:sz w:val="24"/>
          <w:szCs w:val="32"/>
          <w:lang w:val="en-US" w:eastAsia="zh-CN"/>
        </w:rPr>
        <w:t>804.52</w:t>
      </w:r>
      <w:r>
        <w:rPr>
          <w:rFonts w:hint="eastAsia" w:asciiTheme="minorEastAsia" w:hAnsiTheme="minorEastAsia" w:eastAsiaTheme="minorEastAsia"/>
          <w:color w:val="000000"/>
          <w:sz w:val="24"/>
          <w:szCs w:val="32"/>
        </w:rPr>
        <w:t>万元，年末结转和结余</w:t>
      </w:r>
      <w:r>
        <w:rPr>
          <w:rFonts w:hint="eastAsia" w:asciiTheme="minorEastAsia" w:hAnsiTheme="minorEastAsia" w:eastAsiaTheme="minorEastAsia"/>
          <w:color w:val="000000"/>
          <w:sz w:val="24"/>
          <w:szCs w:val="32"/>
          <w:lang w:val="en-US" w:eastAsia="zh-CN"/>
        </w:rPr>
        <w:t>0</w:t>
      </w:r>
      <w:r>
        <w:rPr>
          <w:rFonts w:hint="eastAsia" w:asciiTheme="minorEastAsia" w:hAnsiTheme="minorEastAsia" w:eastAsiaTheme="minorEastAsia"/>
          <w:color w:val="000000"/>
          <w:sz w:val="24"/>
          <w:szCs w:val="32"/>
        </w:rPr>
        <w:t>万元。</w:t>
      </w:r>
    </w:p>
    <w:p>
      <w:pPr>
        <w:spacing w:line="600" w:lineRule="exact"/>
        <w:ind w:firstLine="480" w:firstLineChars="200"/>
        <w:rPr>
          <w:rFonts w:asciiTheme="minorEastAsia" w:hAnsiTheme="minorEastAsia" w:eastAsiaTheme="minorEastAsia"/>
          <w:color w:val="000000"/>
          <w:sz w:val="24"/>
          <w:szCs w:val="32"/>
        </w:rPr>
      </w:pPr>
      <w:r>
        <w:rPr>
          <w:rFonts w:hint="eastAsia" w:asciiTheme="minorEastAsia" w:hAnsiTheme="minorEastAsia" w:eastAsiaTheme="minorEastAsia"/>
          <w:color w:val="000000"/>
          <w:sz w:val="24"/>
          <w:szCs w:val="32"/>
        </w:rPr>
        <w:t>2、一般公共预算财政拨款收支。</w:t>
      </w: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年度一般公共预算财政拨款年初结转和结余</w:t>
      </w:r>
      <w:r>
        <w:rPr>
          <w:rFonts w:hint="eastAsia" w:asciiTheme="minorEastAsia" w:hAnsiTheme="minorEastAsia" w:eastAsiaTheme="minorEastAsia"/>
          <w:color w:val="000000"/>
          <w:sz w:val="24"/>
          <w:szCs w:val="32"/>
          <w:lang w:val="en-US" w:eastAsia="zh-CN"/>
        </w:rPr>
        <w:t>3.97</w:t>
      </w:r>
      <w:r>
        <w:rPr>
          <w:rFonts w:hint="eastAsia" w:asciiTheme="minorEastAsia" w:hAnsiTheme="minorEastAsia" w:eastAsiaTheme="minorEastAsia"/>
          <w:color w:val="000000"/>
          <w:sz w:val="24"/>
          <w:szCs w:val="32"/>
        </w:rPr>
        <w:t>万元，本年收入</w:t>
      </w:r>
      <w:r>
        <w:rPr>
          <w:rFonts w:hint="eastAsia" w:asciiTheme="minorEastAsia" w:hAnsiTheme="minorEastAsia" w:eastAsiaTheme="minorEastAsia"/>
          <w:color w:val="000000"/>
          <w:sz w:val="24"/>
          <w:szCs w:val="32"/>
          <w:lang w:val="en-US" w:eastAsia="zh-CN"/>
        </w:rPr>
        <w:t>800.55</w:t>
      </w:r>
      <w:r>
        <w:rPr>
          <w:rFonts w:hint="eastAsia" w:asciiTheme="minorEastAsia" w:hAnsiTheme="minorEastAsia" w:eastAsiaTheme="minorEastAsia"/>
          <w:color w:val="000000"/>
          <w:sz w:val="24"/>
          <w:szCs w:val="32"/>
        </w:rPr>
        <w:t>万元，本年支出</w:t>
      </w:r>
      <w:r>
        <w:rPr>
          <w:rFonts w:hint="eastAsia" w:asciiTheme="minorEastAsia" w:hAnsiTheme="minorEastAsia" w:eastAsiaTheme="minorEastAsia"/>
          <w:color w:val="000000"/>
          <w:sz w:val="24"/>
          <w:szCs w:val="32"/>
          <w:lang w:val="en-US" w:eastAsia="zh-CN"/>
        </w:rPr>
        <w:t>804.52</w:t>
      </w:r>
      <w:r>
        <w:rPr>
          <w:rFonts w:hint="eastAsia" w:asciiTheme="minorEastAsia" w:hAnsiTheme="minorEastAsia" w:eastAsiaTheme="minorEastAsia"/>
          <w:color w:val="000000"/>
          <w:sz w:val="24"/>
          <w:szCs w:val="32"/>
        </w:rPr>
        <w:t>万元，年末结转和结余</w:t>
      </w:r>
      <w:r>
        <w:rPr>
          <w:rFonts w:hint="eastAsia" w:asciiTheme="minorEastAsia" w:hAnsiTheme="minorEastAsia" w:eastAsiaTheme="minorEastAsia"/>
          <w:color w:val="000000"/>
          <w:sz w:val="24"/>
          <w:szCs w:val="32"/>
          <w:lang w:val="en-US" w:eastAsia="zh-CN"/>
        </w:rPr>
        <w:t>0</w:t>
      </w:r>
      <w:r>
        <w:rPr>
          <w:rFonts w:hint="eastAsia" w:asciiTheme="minorEastAsia" w:hAnsiTheme="minorEastAsia" w:eastAsiaTheme="minorEastAsia"/>
          <w:color w:val="000000"/>
          <w:sz w:val="24"/>
          <w:szCs w:val="32"/>
        </w:rPr>
        <w:t>万元。</w:t>
      </w:r>
    </w:p>
    <w:p>
      <w:pPr>
        <w:spacing w:line="600" w:lineRule="exact"/>
        <w:ind w:left="315" w:leftChars="150" w:firstLine="120" w:firstLineChars="50"/>
        <w:rPr>
          <w:rFonts w:asciiTheme="minorEastAsia" w:hAnsiTheme="minorEastAsia" w:eastAsiaTheme="minorEastAsia"/>
          <w:color w:val="000000"/>
          <w:sz w:val="24"/>
          <w:szCs w:val="32"/>
        </w:rPr>
      </w:pPr>
      <w:r>
        <w:rPr>
          <w:rFonts w:hint="eastAsia" w:asciiTheme="minorEastAsia" w:hAnsiTheme="minorEastAsia" w:eastAsiaTheme="minorEastAsia"/>
          <w:color w:val="000000"/>
          <w:sz w:val="24"/>
          <w:szCs w:val="32"/>
        </w:rPr>
        <w:t>4、</w:t>
      </w: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年收</w:t>
      </w:r>
      <w:r>
        <w:rPr>
          <w:rFonts w:hint="eastAsia" w:asciiTheme="minorEastAsia" w:hAnsiTheme="minorEastAsia" w:eastAsiaTheme="minorEastAsia"/>
          <w:color w:val="000000"/>
          <w:sz w:val="24"/>
          <w:szCs w:val="32"/>
          <w:lang w:val="en-US" w:eastAsia="zh-CN"/>
        </w:rPr>
        <w:t>支增加30.51万元，增加4%。</w:t>
      </w:r>
      <w:r>
        <w:rPr>
          <w:rFonts w:hint="eastAsia" w:asciiTheme="minorEastAsia" w:hAnsiTheme="minorEastAsia" w:eastAsiaTheme="minorEastAsia"/>
          <w:color w:val="000000"/>
          <w:sz w:val="24"/>
          <w:szCs w:val="32"/>
        </w:rPr>
        <w:t>主要变动原因是</w:t>
      </w:r>
      <w:r>
        <w:rPr>
          <w:rFonts w:hint="eastAsia" w:asciiTheme="minorEastAsia" w:hAnsiTheme="minorEastAsia" w:eastAsiaTheme="minorEastAsia"/>
          <w:color w:val="000000"/>
          <w:sz w:val="24"/>
          <w:szCs w:val="32"/>
          <w:lang w:val="en-US" w:eastAsia="zh-CN"/>
        </w:rPr>
        <w:t>人员经费增加</w:t>
      </w:r>
      <w:r>
        <w:rPr>
          <w:rFonts w:hint="eastAsia" w:asciiTheme="minorEastAsia" w:hAnsiTheme="minorEastAsia" w:eastAsiaTheme="minorEastAsia"/>
          <w:color w:val="000000"/>
          <w:sz w:val="24"/>
          <w:szCs w:val="32"/>
        </w:rPr>
        <w:t>。</w:t>
      </w:r>
    </w:p>
    <w:p>
      <w:pPr>
        <w:ind w:firstLine="480" w:firstLineChars="200"/>
        <w:rPr>
          <w:rFonts w:ascii="仿宋_GB2312" w:eastAsia="仿宋_GB2312"/>
          <w:sz w:val="32"/>
          <w:szCs w:val="32"/>
        </w:rPr>
      </w:pPr>
      <w:r>
        <w:rPr>
          <w:rFonts w:hint="eastAsia" w:asciiTheme="minorEastAsia" w:hAnsiTheme="minorEastAsia" w:eastAsiaTheme="minorEastAsia"/>
          <w:color w:val="000000" w:themeColor="text1"/>
          <w:sz w:val="24"/>
          <w:szCs w:val="32"/>
        </w:rPr>
        <w:t>（图</w:t>
      </w:r>
      <w:r>
        <w:rPr>
          <w:rFonts w:asciiTheme="minorEastAsia" w:hAnsiTheme="minorEastAsia" w:eastAsiaTheme="minorEastAsia"/>
          <w:color w:val="000000" w:themeColor="text1"/>
          <w:sz w:val="24"/>
          <w:szCs w:val="32"/>
        </w:rPr>
        <w:t>1</w:t>
      </w:r>
      <w:r>
        <w:rPr>
          <w:rFonts w:hint="eastAsia" w:asciiTheme="minorEastAsia" w:hAnsiTheme="minorEastAsia" w:eastAsiaTheme="minorEastAsia"/>
          <w:color w:val="000000" w:themeColor="text1"/>
          <w:sz w:val="24"/>
          <w:szCs w:val="32"/>
        </w:rPr>
        <w:t>：收、支决算总计变动情况图）（柱状图）</w:t>
      </w:r>
      <w:r>
        <w:drawing>
          <wp:inline distT="0" distB="0" distL="114300" distR="114300">
            <wp:extent cx="5271770" cy="3798570"/>
            <wp:effectExtent l="38735" t="18415" r="48895" b="6921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pPr>
        <w:pStyle w:val="25"/>
        <w:numPr>
          <w:ilvl w:val="0"/>
          <w:numId w:val="2"/>
        </w:numPr>
        <w:spacing w:line="600" w:lineRule="exact"/>
        <w:ind w:firstLineChars="0"/>
        <w:outlineLvl w:val="1"/>
        <w:rPr>
          <w:rStyle w:val="27"/>
          <w:rFonts w:ascii="黑体" w:hAnsi="黑体" w:eastAsia="黑体"/>
          <w:b w:val="0"/>
        </w:rPr>
      </w:pPr>
      <w:bookmarkStart w:id="26" w:name="_Toc15377206"/>
      <w:bookmarkStart w:id="27" w:name="_Toc15396604"/>
      <w:r>
        <w:rPr>
          <w:rFonts w:hint="eastAsia" w:ascii="黑体" w:hAnsi="黑体" w:eastAsia="黑体"/>
          <w:sz w:val="32"/>
          <w:szCs w:val="32"/>
        </w:rPr>
        <w:t>收</w:t>
      </w:r>
      <w:r>
        <w:rPr>
          <w:rStyle w:val="27"/>
          <w:rFonts w:hint="eastAsia" w:ascii="黑体" w:hAnsi="黑体" w:eastAsia="黑体"/>
          <w:b w:val="0"/>
        </w:rPr>
        <w:t>入决算情况说明</w:t>
      </w:r>
      <w:bookmarkEnd w:id="26"/>
      <w:bookmarkEnd w:id="27"/>
    </w:p>
    <w:p>
      <w:pPr>
        <w:spacing w:line="600" w:lineRule="exact"/>
        <w:ind w:firstLine="480" w:firstLineChars="200"/>
        <w:outlineLvl w:val="1"/>
        <w:rPr>
          <w:rFonts w:asciiTheme="minorEastAsia" w:hAnsiTheme="minorEastAsia" w:eastAsiaTheme="minorEastAsia"/>
          <w:color w:val="000000"/>
          <w:sz w:val="24"/>
          <w:szCs w:val="32"/>
        </w:rPr>
      </w:pPr>
      <w:bookmarkStart w:id="28" w:name="_Toc15377207"/>
      <w:bookmarkStart w:id="29" w:name="_Toc15396605"/>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年本年收入合计</w:t>
      </w:r>
      <w:r>
        <w:rPr>
          <w:rFonts w:hint="eastAsia" w:asciiTheme="minorEastAsia" w:hAnsiTheme="minorEastAsia" w:eastAsiaTheme="minorEastAsia"/>
          <w:color w:val="000000"/>
          <w:sz w:val="24"/>
          <w:szCs w:val="32"/>
          <w:lang w:val="en-US" w:eastAsia="zh-CN"/>
        </w:rPr>
        <w:t>800.55</w:t>
      </w:r>
      <w:r>
        <w:rPr>
          <w:rFonts w:hint="eastAsia" w:asciiTheme="minorEastAsia" w:hAnsiTheme="minorEastAsia" w:eastAsiaTheme="minorEastAsia"/>
          <w:color w:val="000000"/>
          <w:sz w:val="24"/>
          <w:szCs w:val="32"/>
        </w:rPr>
        <w:t>万元，其中：一般公共预算财政拨款收入</w:t>
      </w:r>
      <w:r>
        <w:rPr>
          <w:rFonts w:hint="eastAsia" w:asciiTheme="minorEastAsia" w:hAnsiTheme="minorEastAsia" w:eastAsiaTheme="minorEastAsia"/>
          <w:color w:val="000000"/>
          <w:sz w:val="24"/>
          <w:szCs w:val="32"/>
          <w:lang w:val="en-US" w:eastAsia="zh-CN"/>
        </w:rPr>
        <w:t>800.55</w:t>
      </w:r>
      <w:r>
        <w:rPr>
          <w:rFonts w:hint="eastAsia" w:asciiTheme="minorEastAsia" w:hAnsiTheme="minorEastAsia" w:eastAsiaTheme="minorEastAsia"/>
          <w:color w:val="000000"/>
          <w:sz w:val="24"/>
          <w:szCs w:val="32"/>
        </w:rPr>
        <w:t>万元，占</w:t>
      </w:r>
      <w:r>
        <w:rPr>
          <w:rFonts w:hint="eastAsia" w:asciiTheme="minorEastAsia" w:hAnsiTheme="minorEastAsia" w:eastAsiaTheme="minorEastAsia"/>
          <w:color w:val="000000"/>
          <w:sz w:val="24"/>
          <w:szCs w:val="32"/>
          <w:lang w:val="en-US" w:eastAsia="zh-CN"/>
        </w:rPr>
        <w:t>100</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rPr>
        <w:t>；</w:t>
      </w:r>
    </w:p>
    <w:p>
      <w:pPr>
        <w:ind w:firstLine="480" w:firstLineChars="200"/>
        <w:rPr>
          <w:rFonts w:asciiTheme="minorEastAsia" w:hAnsiTheme="minorEastAsia" w:eastAsiaTheme="minorEastAsia"/>
          <w:color w:val="000000" w:themeColor="text1"/>
          <w:sz w:val="24"/>
          <w:szCs w:val="32"/>
        </w:rPr>
      </w:pPr>
      <w:r>
        <w:rPr>
          <w:rFonts w:hint="eastAsia" w:asciiTheme="minorEastAsia" w:hAnsiTheme="minorEastAsia" w:eastAsiaTheme="minorEastAsia"/>
          <w:color w:val="000000" w:themeColor="text1"/>
          <w:sz w:val="24"/>
          <w:szCs w:val="32"/>
        </w:rPr>
        <w:t>（图2：收入决算结构图）（饼状图）</w:t>
      </w:r>
    </w:p>
    <w:p>
      <w:pPr>
        <w:ind w:firstLine="420" w:firstLineChars="200"/>
        <w:rPr>
          <w:rFonts w:asciiTheme="minorEastAsia" w:hAnsiTheme="minorEastAsia" w:eastAsiaTheme="minorEastAsia"/>
          <w:color w:val="FF0000"/>
          <w:sz w:val="24"/>
          <w:szCs w:val="32"/>
        </w:rPr>
      </w:pPr>
      <w:r>
        <w:drawing>
          <wp:inline distT="0" distB="0" distL="114300" distR="114300">
            <wp:extent cx="5270500" cy="3865880"/>
            <wp:effectExtent l="38735" t="18415" r="50165" b="65405"/>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pStyle w:val="25"/>
        <w:numPr>
          <w:ilvl w:val="0"/>
          <w:numId w:val="2"/>
        </w:numPr>
        <w:spacing w:line="600" w:lineRule="exact"/>
        <w:ind w:firstLineChars="0"/>
        <w:outlineLvl w:val="1"/>
        <w:rPr>
          <w:rStyle w:val="27"/>
          <w:rFonts w:ascii="黑体" w:hAnsi="黑体" w:eastAsia="黑体"/>
          <w:b w:val="0"/>
        </w:rPr>
      </w:pPr>
      <w:r>
        <w:rPr>
          <w:rFonts w:hint="eastAsia" w:ascii="黑体" w:hAnsi="黑体" w:eastAsia="黑体"/>
          <w:sz w:val="32"/>
          <w:szCs w:val="32"/>
        </w:rPr>
        <w:t>支</w:t>
      </w:r>
      <w:r>
        <w:rPr>
          <w:rStyle w:val="27"/>
          <w:rFonts w:hint="eastAsia" w:ascii="黑体" w:hAnsi="黑体" w:eastAsia="黑体"/>
          <w:b w:val="0"/>
        </w:rPr>
        <w:t>出决算情况说明</w:t>
      </w:r>
      <w:bookmarkEnd w:id="28"/>
      <w:bookmarkEnd w:id="29"/>
    </w:p>
    <w:p>
      <w:pPr>
        <w:spacing w:line="600" w:lineRule="exact"/>
        <w:ind w:firstLine="480" w:firstLineChars="200"/>
        <w:outlineLvl w:val="1"/>
        <w:rPr>
          <w:rFonts w:hint="eastAsia" w:asciiTheme="minorEastAsia" w:hAnsiTheme="minorEastAsia" w:eastAsiaTheme="minorEastAsia"/>
          <w:color w:val="000000"/>
          <w:sz w:val="24"/>
          <w:szCs w:val="32"/>
          <w:lang w:val="en-US" w:eastAsia="zh-CN"/>
        </w:rPr>
      </w:pPr>
      <w:bookmarkStart w:id="30" w:name="_Toc15396606"/>
      <w:bookmarkStart w:id="31" w:name="_Toc15377208"/>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年本年支出合计</w:t>
      </w:r>
      <w:r>
        <w:rPr>
          <w:rFonts w:hint="eastAsia" w:asciiTheme="minorEastAsia" w:hAnsiTheme="minorEastAsia" w:eastAsiaTheme="minorEastAsia"/>
          <w:color w:val="000000"/>
          <w:sz w:val="24"/>
          <w:szCs w:val="32"/>
          <w:lang w:val="en-US" w:eastAsia="zh-CN"/>
        </w:rPr>
        <w:t>804.52</w:t>
      </w:r>
      <w:r>
        <w:rPr>
          <w:rFonts w:hint="eastAsia" w:asciiTheme="minorEastAsia" w:hAnsiTheme="minorEastAsia" w:eastAsiaTheme="minorEastAsia"/>
          <w:color w:val="000000"/>
          <w:sz w:val="24"/>
          <w:szCs w:val="32"/>
        </w:rPr>
        <w:t>万元，其中：基本支出</w:t>
      </w:r>
      <w:r>
        <w:rPr>
          <w:rFonts w:hint="eastAsia" w:asciiTheme="minorEastAsia" w:hAnsiTheme="minorEastAsia" w:eastAsiaTheme="minorEastAsia"/>
          <w:color w:val="000000"/>
          <w:sz w:val="24"/>
          <w:szCs w:val="32"/>
          <w:lang w:val="en-US" w:eastAsia="zh-CN"/>
        </w:rPr>
        <w:t>737.21</w:t>
      </w:r>
      <w:r>
        <w:rPr>
          <w:rFonts w:hint="eastAsia" w:asciiTheme="minorEastAsia" w:hAnsiTheme="minorEastAsia" w:eastAsiaTheme="minorEastAsia"/>
          <w:color w:val="000000"/>
          <w:sz w:val="24"/>
          <w:szCs w:val="32"/>
        </w:rPr>
        <w:t>万元，占</w:t>
      </w:r>
      <w:r>
        <w:rPr>
          <w:rFonts w:hint="eastAsia" w:asciiTheme="minorEastAsia" w:hAnsiTheme="minorEastAsia" w:eastAsiaTheme="minorEastAsia"/>
          <w:color w:val="000000"/>
          <w:sz w:val="24"/>
          <w:szCs w:val="32"/>
          <w:lang w:val="en-US" w:eastAsia="zh-CN"/>
        </w:rPr>
        <w:t>91.63</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rPr>
        <w:t>；项目支出</w:t>
      </w:r>
      <w:r>
        <w:rPr>
          <w:rFonts w:hint="eastAsia" w:asciiTheme="minorEastAsia" w:hAnsiTheme="minorEastAsia" w:eastAsiaTheme="minorEastAsia"/>
          <w:color w:val="000000"/>
          <w:sz w:val="24"/>
          <w:szCs w:val="32"/>
          <w:lang w:val="en-US" w:eastAsia="zh-CN"/>
        </w:rPr>
        <w:t>67.31</w:t>
      </w:r>
      <w:r>
        <w:rPr>
          <w:rFonts w:hint="eastAsia" w:asciiTheme="minorEastAsia" w:hAnsiTheme="minorEastAsia" w:eastAsiaTheme="minorEastAsia"/>
          <w:color w:val="000000"/>
          <w:sz w:val="24"/>
          <w:szCs w:val="32"/>
        </w:rPr>
        <w:t>万元，占</w:t>
      </w:r>
      <w:r>
        <w:rPr>
          <w:rFonts w:hint="eastAsia" w:asciiTheme="minorEastAsia" w:hAnsiTheme="minorEastAsia" w:eastAsiaTheme="minorEastAsia"/>
          <w:color w:val="000000"/>
          <w:sz w:val="24"/>
          <w:szCs w:val="32"/>
          <w:lang w:val="en-US" w:eastAsia="zh-CN"/>
        </w:rPr>
        <w:t>8.37</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lang w:eastAsia="zh-CN"/>
        </w:rPr>
        <w:t>。</w:t>
      </w:r>
    </w:p>
    <w:p>
      <w:pPr>
        <w:rPr>
          <w:rFonts w:asciiTheme="minorEastAsia" w:hAnsiTheme="minorEastAsia" w:eastAsiaTheme="minorEastAsia"/>
          <w:color w:val="000000" w:themeColor="text1"/>
          <w:sz w:val="24"/>
          <w:szCs w:val="32"/>
        </w:rPr>
      </w:pPr>
      <w:r>
        <w:rPr>
          <w:rFonts w:hint="eastAsia" w:asciiTheme="minorEastAsia" w:hAnsiTheme="minorEastAsia" w:eastAsiaTheme="minorEastAsia"/>
          <w:color w:val="000000" w:themeColor="text1"/>
          <w:sz w:val="24"/>
          <w:szCs w:val="32"/>
        </w:rPr>
        <w:t>（图3：支出决算结构图）（饼状图）</w:t>
      </w:r>
      <w:r>
        <w:drawing>
          <wp:inline distT="0" distB="0" distL="114300" distR="114300">
            <wp:extent cx="4842510" cy="3465195"/>
            <wp:effectExtent l="38735" t="18415" r="46355" b="59690"/>
            <wp:docPr id="15"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spacing w:line="600" w:lineRule="exact"/>
        <w:ind w:firstLine="640" w:firstLineChars="200"/>
        <w:outlineLvl w:val="1"/>
        <w:rPr>
          <w:rStyle w:val="27"/>
          <w:rFonts w:ascii="黑体" w:hAnsi="黑体" w:eastAsia="黑体"/>
          <w:b w:val="0"/>
        </w:rPr>
      </w:pPr>
      <w:r>
        <w:rPr>
          <w:rFonts w:hint="eastAsia" w:ascii="黑体" w:hAnsi="黑体" w:eastAsia="黑体"/>
          <w:sz w:val="32"/>
          <w:szCs w:val="32"/>
        </w:rPr>
        <w:t>四、财</w:t>
      </w:r>
      <w:r>
        <w:rPr>
          <w:rStyle w:val="27"/>
          <w:rFonts w:hint="eastAsia" w:ascii="黑体" w:hAnsi="黑体" w:eastAsia="黑体"/>
          <w:b w:val="0"/>
        </w:rPr>
        <w:t>政拨款收入支出决算总体情况说明</w:t>
      </w:r>
      <w:bookmarkEnd w:id="30"/>
      <w:bookmarkEnd w:id="31"/>
    </w:p>
    <w:p>
      <w:pPr>
        <w:spacing w:line="600" w:lineRule="exact"/>
        <w:ind w:firstLine="640"/>
        <w:rPr>
          <w:rFonts w:hint="default" w:asciiTheme="minorEastAsia" w:hAnsiTheme="minorEastAsia" w:eastAsiaTheme="minorEastAsia"/>
          <w:color w:val="000000"/>
          <w:sz w:val="24"/>
          <w:szCs w:val="32"/>
          <w:lang w:val="en-US" w:eastAsia="zh-CN"/>
        </w:rPr>
      </w:pPr>
      <w:bookmarkStart w:id="32" w:name="_Toc15396607"/>
      <w:bookmarkStart w:id="33" w:name="_Toc15377209"/>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年财政拨款收入总计</w:t>
      </w:r>
      <w:r>
        <w:rPr>
          <w:rFonts w:hint="eastAsia" w:asciiTheme="minorEastAsia" w:hAnsiTheme="minorEastAsia" w:eastAsiaTheme="minorEastAsia"/>
          <w:color w:val="000000"/>
          <w:sz w:val="24"/>
          <w:szCs w:val="32"/>
          <w:lang w:val="en-US" w:eastAsia="zh-CN"/>
        </w:rPr>
        <w:t>804.52</w:t>
      </w:r>
      <w:r>
        <w:rPr>
          <w:rFonts w:hint="eastAsia" w:asciiTheme="minorEastAsia" w:hAnsiTheme="minorEastAsia" w:eastAsiaTheme="minorEastAsia"/>
          <w:color w:val="000000"/>
          <w:sz w:val="24"/>
          <w:szCs w:val="32"/>
        </w:rPr>
        <w:t>万元（一般公共预算财政拨款</w:t>
      </w:r>
      <w:r>
        <w:rPr>
          <w:rFonts w:hint="eastAsia" w:asciiTheme="minorEastAsia" w:hAnsiTheme="minorEastAsia" w:eastAsiaTheme="minorEastAsia"/>
          <w:color w:val="000000"/>
          <w:sz w:val="24"/>
          <w:szCs w:val="32"/>
          <w:lang w:val="en-US" w:eastAsia="zh-CN"/>
        </w:rPr>
        <w:t>800.55</w:t>
      </w:r>
      <w:r>
        <w:rPr>
          <w:rFonts w:hint="eastAsia" w:asciiTheme="minorEastAsia" w:hAnsiTheme="minorEastAsia" w:eastAsiaTheme="minorEastAsia"/>
          <w:color w:val="000000"/>
          <w:sz w:val="24"/>
          <w:szCs w:val="32"/>
        </w:rPr>
        <w:t>万元，年初财政结转和结余</w:t>
      </w:r>
      <w:r>
        <w:rPr>
          <w:rFonts w:hint="eastAsia" w:asciiTheme="minorEastAsia" w:hAnsiTheme="minorEastAsia" w:eastAsiaTheme="minorEastAsia"/>
          <w:color w:val="000000"/>
          <w:sz w:val="24"/>
          <w:szCs w:val="32"/>
          <w:lang w:val="en-US" w:eastAsia="zh-CN"/>
        </w:rPr>
        <w:t>3.97</w:t>
      </w:r>
      <w:r>
        <w:rPr>
          <w:rFonts w:hint="eastAsia" w:asciiTheme="minorEastAsia" w:hAnsiTheme="minorEastAsia" w:eastAsiaTheme="minorEastAsia"/>
          <w:color w:val="000000"/>
          <w:sz w:val="24"/>
          <w:szCs w:val="32"/>
        </w:rPr>
        <w:t>万元）</w:t>
      </w:r>
      <w:r>
        <w:rPr>
          <w:rFonts w:hint="eastAsia" w:asciiTheme="minorEastAsia" w:hAnsiTheme="minorEastAsia" w:eastAsiaTheme="minorEastAsia"/>
          <w:color w:val="000000"/>
          <w:sz w:val="24"/>
          <w:szCs w:val="32"/>
          <w:lang w:eastAsia="zh-CN"/>
        </w:rPr>
        <w:t>，202</w:t>
      </w:r>
      <w:r>
        <w:rPr>
          <w:rFonts w:hint="eastAsia" w:asciiTheme="minorEastAsia" w:hAnsiTheme="minorEastAsia" w:eastAsiaTheme="minorEastAsia"/>
          <w:color w:val="000000"/>
          <w:sz w:val="24"/>
          <w:szCs w:val="32"/>
          <w:lang w:val="en-US" w:eastAsia="zh-CN"/>
        </w:rPr>
        <w:t>0</w:t>
      </w:r>
      <w:r>
        <w:rPr>
          <w:rFonts w:hint="eastAsia" w:asciiTheme="minorEastAsia" w:hAnsiTheme="minorEastAsia" w:eastAsiaTheme="minorEastAsia"/>
          <w:color w:val="000000"/>
          <w:sz w:val="24"/>
          <w:szCs w:val="32"/>
        </w:rPr>
        <w:t>年财政拨款收入总计</w:t>
      </w:r>
      <w:r>
        <w:rPr>
          <w:rFonts w:hint="eastAsia" w:asciiTheme="minorEastAsia" w:hAnsiTheme="minorEastAsia" w:eastAsiaTheme="minorEastAsia"/>
          <w:color w:val="000000"/>
          <w:sz w:val="24"/>
          <w:szCs w:val="32"/>
          <w:lang w:val="en-US" w:eastAsia="zh-CN"/>
        </w:rPr>
        <w:t>770.04</w:t>
      </w:r>
      <w:r>
        <w:rPr>
          <w:rFonts w:hint="eastAsia" w:asciiTheme="minorEastAsia" w:hAnsiTheme="minorEastAsia" w:eastAsiaTheme="minorEastAsia"/>
          <w:color w:val="000000"/>
          <w:sz w:val="24"/>
          <w:szCs w:val="32"/>
        </w:rPr>
        <w:t>万元（一般公共预算财政拨款7</w:t>
      </w:r>
      <w:r>
        <w:rPr>
          <w:rFonts w:hint="eastAsia" w:asciiTheme="minorEastAsia" w:hAnsiTheme="minorEastAsia" w:eastAsiaTheme="minorEastAsia"/>
          <w:color w:val="000000"/>
          <w:sz w:val="24"/>
          <w:szCs w:val="32"/>
          <w:lang w:val="en-US" w:eastAsia="zh-CN"/>
        </w:rPr>
        <w:t>45.8</w:t>
      </w:r>
      <w:r>
        <w:rPr>
          <w:rFonts w:hint="eastAsia" w:asciiTheme="minorEastAsia" w:hAnsiTheme="minorEastAsia" w:eastAsiaTheme="minorEastAsia"/>
          <w:color w:val="000000"/>
          <w:sz w:val="24"/>
          <w:szCs w:val="32"/>
        </w:rPr>
        <w:t>万元，政府性基金3万元，年初财政结转和结余</w:t>
      </w:r>
      <w:r>
        <w:rPr>
          <w:rFonts w:hint="eastAsia" w:asciiTheme="minorEastAsia" w:hAnsiTheme="minorEastAsia" w:eastAsiaTheme="minorEastAsia"/>
          <w:color w:val="000000"/>
          <w:sz w:val="24"/>
          <w:szCs w:val="32"/>
          <w:lang w:val="en-US" w:eastAsia="zh-CN"/>
        </w:rPr>
        <w:t>21.24</w:t>
      </w:r>
      <w:r>
        <w:rPr>
          <w:rFonts w:hint="eastAsia" w:asciiTheme="minorEastAsia" w:hAnsiTheme="minorEastAsia" w:eastAsiaTheme="minorEastAsia"/>
          <w:color w:val="000000"/>
          <w:sz w:val="24"/>
          <w:szCs w:val="32"/>
        </w:rPr>
        <w:t>万元</w:t>
      </w:r>
      <w:r>
        <w:rPr>
          <w:rFonts w:hint="eastAsia" w:asciiTheme="minorEastAsia" w:hAnsiTheme="minorEastAsia" w:eastAsiaTheme="minorEastAsia"/>
          <w:color w:val="000000"/>
          <w:sz w:val="24"/>
          <w:szCs w:val="32"/>
          <w:lang w:eastAsia="zh-CN"/>
        </w:rPr>
        <w:t>），</w:t>
      </w:r>
      <w:r>
        <w:rPr>
          <w:rFonts w:hint="eastAsia" w:asciiTheme="minorEastAsia" w:hAnsiTheme="minorEastAsia" w:eastAsiaTheme="minorEastAsia"/>
          <w:color w:val="000000"/>
          <w:sz w:val="24"/>
          <w:szCs w:val="32"/>
        </w:rPr>
        <w:t>相比总</w:t>
      </w:r>
      <w:r>
        <w:rPr>
          <w:rFonts w:hint="eastAsia" w:asciiTheme="minorEastAsia" w:hAnsiTheme="minorEastAsia" w:eastAsiaTheme="minorEastAsia"/>
          <w:color w:val="000000"/>
          <w:sz w:val="24"/>
          <w:szCs w:val="32"/>
          <w:lang w:val="en-US" w:eastAsia="zh-CN"/>
        </w:rPr>
        <w:t>计增加34.48</w:t>
      </w:r>
      <w:r>
        <w:rPr>
          <w:rFonts w:hint="eastAsia" w:asciiTheme="minorEastAsia" w:hAnsiTheme="minorEastAsia" w:eastAsiaTheme="minorEastAsia"/>
          <w:color w:val="000000"/>
          <w:sz w:val="24"/>
          <w:szCs w:val="32"/>
        </w:rPr>
        <w:t>万元，</w:t>
      </w:r>
      <w:r>
        <w:rPr>
          <w:rFonts w:hint="eastAsia" w:asciiTheme="minorEastAsia" w:hAnsiTheme="minorEastAsia" w:eastAsiaTheme="minorEastAsia"/>
          <w:color w:val="000000"/>
          <w:sz w:val="24"/>
          <w:szCs w:val="32"/>
          <w:lang w:val="en-US" w:eastAsia="zh-CN"/>
        </w:rPr>
        <w:t>增加4.48</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rPr>
        <w:t>。主要变动原因是</w:t>
      </w:r>
      <w:r>
        <w:rPr>
          <w:rFonts w:hint="eastAsia" w:asciiTheme="minorEastAsia" w:hAnsiTheme="minorEastAsia" w:eastAsiaTheme="minorEastAsia"/>
          <w:color w:val="000000"/>
          <w:sz w:val="24"/>
          <w:szCs w:val="32"/>
          <w:lang w:val="en-US" w:eastAsia="zh-CN"/>
        </w:rPr>
        <w:t>人员经费增加。</w:t>
      </w:r>
    </w:p>
    <w:p>
      <w:pPr>
        <w:spacing w:line="600" w:lineRule="exact"/>
        <w:ind w:firstLine="480" w:firstLineChars="200"/>
        <w:rPr>
          <w:rFonts w:asciiTheme="minorEastAsia" w:hAnsiTheme="minorEastAsia" w:eastAsiaTheme="minorEastAsia"/>
          <w:color w:val="000000" w:themeColor="text1"/>
          <w:sz w:val="24"/>
          <w:szCs w:val="32"/>
        </w:rPr>
      </w:pPr>
      <w:r>
        <w:rPr>
          <w:rFonts w:hint="eastAsia" w:asciiTheme="minorEastAsia" w:hAnsiTheme="minorEastAsia" w:eastAsiaTheme="minorEastAsia"/>
          <w:color w:val="000000" w:themeColor="text1"/>
          <w:sz w:val="24"/>
          <w:szCs w:val="32"/>
        </w:rPr>
        <w:t>（图4：财政拨款收、支决算总计变动情况）（柱状图）</w:t>
      </w:r>
    </w:p>
    <w:p>
      <w:pPr>
        <w:ind w:firstLine="641"/>
        <w:rPr>
          <w:rFonts w:asciiTheme="minorEastAsia" w:hAnsiTheme="minorEastAsia" w:eastAsiaTheme="minorEastAsia"/>
          <w:b/>
          <w:color w:val="00B050"/>
          <w:sz w:val="24"/>
          <w:szCs w:val="32"/>
        </w:rPr>
      </w:pPr>
      <w:r>
        <w:drawing>
          <wp:inline distT="0" distB="0" distL="114300" distR="114300">
            <wp:extent cx="4973955" cy="3427095"/>
            <wp:effectExtent l="38735" t="18415" r="41910" b="59690"/>
            <wp:docPr id="16"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spacing w:line="600" w:lineRule="exact"/>
        <w:ind w:firstLine="640" w:firstLineChars="200"/>
        <w:outlineLvl w:val="1"/>
        <w:rPr>
          <w:rStyle w:val="27"/>
          <w:rFonts w:ascii="黑体" w:hAnsi="黑体" w:eastAsia="黑体"/>
          <w:b w:val="0"/>
        </w:rPr>
      </w:pPr>
      <w:r>
        <w:rPr>
          <w:rFonts w:hint="eastAsia" w:ascii="黑体" w:hAnsi="黑体" w:eastAsia="黑体"/>
          <w:sz w:val="32"/>
          <w:szCs w:val="32"/>
        </w:rPr>
        <w:t>五、</w:t>
      </w:r>
      <w:r>
        <w:rPr>
          <w:rFonts w:hint="eastAsia" w:ascii="黑体" w:hAnsi="黑体" w:eastAsia="黑体"/>
          <w:b/>
          <w:sz w:val="32"/>
          <w:szCs w:val="32"/>
        </w:rPr>
        <w:t>一</w:t>
      </w:r>
      <w:r>
        <w:rPr>
          <w:rStyle w:val="27"/>
          <w:rFonts w:hint="eastAsia" w:ascii="黑体" w:hAnsi="黑体" w:eastAsia="黑体"/>
          <w:b w:val="0"/>
        </w:rPr>
        <w:t>般公共预算财政拨款支出决算情况说明</w:t>
      </w:r>
      <w:bookmarkEnd w:id="32"/>
      <w:bookmarkEnd w:id="33"/>
    </w:p>
    <w:p>
      <w:pPr>
        <w:spacing w:line="600" w:lineRule="exact"/>
        <w:ind w:firstLine="643" w:firstLineChars="200"/>
        <w:outlineLvl w:val="2"/>
        <w:rPr>
          <w:rFonts w:ascii="仿宋" w:hAnsi="仿宋" w:eastAsia="仿宋"/>
          <w:b/>
          <w:sz w:val="32"/>
          <w:szCs w:val="32"/>
        </w:rPr>
      </w:pPr>
      <w:bookmarkStart w:id="34" w:name="_Toc15377210"/>
      <w:r>
        <w:rPr>
          <w:rFonts w:hint="eastAsia" w:ascii="仿宋" w:hAnsi="仿宋" w:eastAsia="仿宋"/>
          <w:b/>
          <w:sz w:val="32"/>
          <w:szCs w:val="32"/>
        </w:rPr>
        <w:t>（一）一般公共预算财政拨款支出决算总体情况</w:t>
      </w:r>
      <w:bookmarkEnd w:id="34"/>
    </w:p>
    <w:p>
      <w:pPr>
        <w:spacing w:line="600" w:lineRule="exact"/>
        <w:ind w:firstLine="482" w:firstLineChars="200"/>
        <w:outlineLvl w:val="2"/>
        <w:rPr>
          <w:rFonts w:asciiTheme="minorEastAsia" w:hAnsiTheme="minorEastAsia" w:eastAsiaTheme="minorEastAsia"/>
          <w:b/>
          <w:color w:val="000000"/>
          <w:sz w:val="24"/>
          <w:szCs w:val="32"/>
        </w:rPr>
      </w:pPr>
      <w:r>
        <w:rPr>
          <w:rFonts w:hint="eastAsia" w:asciiTheme="minorEastAsia" w:hAnsiTheme="minorEastAsia" w:eastAsiaTheme="minorEastAsia"/>
          <w:b/>
          <w:color w:val="000000"/>
          <w:sz w:val="24"/>
          <w:szCs w:val="32"/>
        </w:rPr>
        <w:t>（一）一般公共预算财政拨款支出决算总体情况</w:t>
      </w:r>
    </w:p>
    <w:p>
      <w:pPr>
        <w:spacing w:line="600" w:lineRule="exact"/>
        <w:ind w:firstLine="480" w:firstLineChars="200"/>
        <w:rPr>
          <w:rFonts w:asciiTheme="minorEastAsia" w:hAnsiTheme="minorEastAsia" w:eastAsiaTheme="minorEastAsia"/>
          <w:color w:val="000000"/>
          <w:sz w:val="24"/>
          <w:szCs w:val="32"/>
        </w:rPr>
      </w:pP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年一般公共预算财政拨款支出</w:t>
      </w:r>
      <w:r>
        <w:rPr>
          <w:rFonts w:hint="eastAsia" w:asciiTheme="minorEastAsia" w:hAnsiTheme="minorEastAsia" w:eastAsiaTheme="minorEastAsia"/>
          <w:color w:val="000000"/>
          <w:sz w:val="24"/>
          <w:szCs w:val="32"/>
          <w:lang w:val="en-US" w:eastAsia="zh-CN"/>
        </w:rPr>
        <w:t>804.52</w:t>
      </w:r>
      <w:r>
        <w:rPr>
          <w:rFonts w:hint="eastAsia" w:asciiTheme="minorEastAsia" w:hAnsiTheme="minorEastAsia" w:eastAsiaTheme="minorEastAsia"/>
          <w:color w:val="000000"/>
          <w:sz w:val="24"/>
          <w:szCs w:val="32"/>
        </w:rPr>
        <w:t>万元，占本年支出合计的</w:t>
      </w:r>
      <w:r>
        <w:rPr>
          <w:rFonts w:hint="eastAsia" w:asciiTheme="minorEastAsia" w:hAnsiTheme="minorEastAsia" w:eastAsiaTheme="minorEastAsia"/>
          <w:color w:val="000000"/>
          <w:sz w:val="24"/>
          <w:szCs w:val="32"/>
          <w:lang w:val="en-US" w:eastAsia="zh-CN"/>
        </w:rPr>
        <w:t>100</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lang w:eastAsia="zh-CN"/>
        </w:rPr>
        <w:t>202</w:t>
      </w:r>
      <w:r>
        <w:rPr>
          <w:rFonts w:hint="eastAsia" w:asciiTheme="minorEastAsia" w:hAnsiTheme="minorEastAsia" w:eastAsiaTheme="minorEastAsia"/>
          <w:color w:val="000000"/>
          <w:sz w:val="24"/>
          <w:szCs w:val="32"/>
          <w:lang w:val="en-US" w:eastAsia="zh-CN"/>
        </w:rPr>
        <w:t>0</w:t>
      </w:r>
      <w:r>
        <w:rPr>
          <w:rFonts w:hint="eastAsia" w:asciiTheme="minorEastAsia" w:hAnsiTheme="minorEastAsia" w:eastAsiaTheme="minorEastAsia"/>
          <w:color w:val="000000"/>
          <w:sz w:val="24"/>
          <w:szCs w:val="32"/>
        </w:rPr>
        <w:t>年一般公共预算财政拨款支出7</w:t>
      </w:r>
      <w:r>
        <w:rPr>
          <w:rFonts w:hint="eastAsia" w:asciiTheme="minorEastAsia" w:hAnsiTheme="minorEastAsia" w:eastAsiaTheme="minorEastAsia"/>
          <w:color w:val="000000"/>
          <w:sz w:val="24"/>
          <w:szCs w:val="32"/>
          <w:lang w:val="en-US" w:eastAsia="zh-CN"/>
        </w:rPr>
        <w:t>65.17</w:t>
      </w:r>
      <w:r>
        <w:rPr>
          <w:rFonts w:hint="eastAsia" w:asciiTheme="minorEastAsia" w:hAnsiTheme="minorEastAsia" w:eastAsiaTheme="minorEastAsia"/>
          <w:color w:val="000000"/>
          <w:sz w:val="24"/>
          <w:szCs w:val="32"/>
        </w:rPr>
        <w:t>万元，占本年支出合计的99.</w:t>
      </w:r>
      <w:r>
        <w:rPr>
          <w:rFonts w:hint="eastAsia" w:asciiTheme="minorEastAsia" w:hAnsiTheme="minorEastAsia" w:eastAsiaTheme="minorEastAsia"/>
          <w:color w:val="000000"/>
          <w:sz w:val="24"/>
          <w:szCs w:val="32"/>
          <w:lang w:val="en-US" w:eastAsia="zh-CN"/>
        </w:rPr>
        <w:t>37</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rPr>
        <w:t>。与</w:t>
      </w:r>
      <w:r>
        <w:rPr>
          <w:rFonts w:asciiTheme="minorEastAsia" w:hAnsiTheme="minorEastAsia" w:eastAsiaTheme="minorEastAsia"/>
          <w:color w:val="000000"/>
          <w:sz w:val="24"/>
          <w:szCs w:val="32"/>
        </w:rPr>
        <w:t>20</w:t>
      </w:r>
      <w:r>
        <w:rPr>
          <w:rFonts w:hint="eastAsia" w:asciiTheme="minorEastAsia" w:hAnsiTheme="minorEastAsia" w:eastAsiaTheme="minorEastAsia"/>
          <w:color w:val="000000"/>
          <w:sz w:val="24"/>
          <w:szCs w:val="32"/>
          <w:lang w:val="en-US" w:eastAsia="zh-CN"/>
        </w:rPr>
        <w:t>20</w:t>
      </w:r>
      <w:r>
        <w:rPr>
          <w:rFonts w:hint="eastAsia" w:asciiTheme="minorEastAsia" w:hAnsiTheme="minorEastAsia" w:eastAsiaTheme="minorEastAsia"/>
          <w:color w:val="000000"/>
          <w:sz w:val="24"/>
          <w:szCs w:val="32"/>
        </w:rPr>
        <w:t>年相比，一般公共预算财政拨款</w:t>
      </w:r>
      <w:r>
        <w:rPr>
          <w:rFonts w:hint="eastAsia" w:asciiTheme="minorEastAsia" w:hAnsiTheme="minorEastAsia" w:eastAsiaTheme="minorEastAsia"/>
          <w:color w:val="000000"/>
          <w:sz w:val="24"/>
          <w:szCs w:val="32"/>
          <w:lang w:val="en-US" w:eastAsia="zh-CN"/>
        </w:rPr>
        <w:t>增加39.35</w:t>
      </w:r>
      <w:r>
        <w:rPr>
          <w:rFonts w:hint="eastAsia" w:asciiTheme="minorEastAsia" w:hAnsiTheme="minorEastAsia" w:eastAsiaTheme="minorEastAsia"/>
          <w:color w:val="000000"/>
          <w:sz w:val="24"/>
          <w:szCs w:val="32"/>
        </w:rPr>
        <w:t>万元，</w:t>
      </w:r>
      <w:r>
        <w:rPr>
          <w:rFonts w:hint="eastAsia" w:asciiTheme="minorEastAsia" w:hAnsiTheme="minorEastAsia" w:eastAsiaTheme="minorEastAsia"/>
          <w:color w:val="000000"/>
          <w:sz w:val="24"/>
          <w:szCs w:val="32"/>
          <w:lang w:val="en-US" w:eastAsia="zh-CN"/>
        </w:rPr>
        <w:t>增加5.14</w:t>
      </w:r>
      <w:r>
        <w:rPr>
          <w:rFonts w:asciiTheme="minorEastAsia" w:hAnsiTheme="minorEastAsia" w:eastAsiaTheme="minorEastAsia"/>
          <w:color w:val="000000"/>
          <w:sz w:val="24"/>
          <w:szCs w:val="32"/>
        </w:rPr>
        <w:t>%</w:t>
      </w:r>
      <w:r>
        <w:rPr>
          <w:rFonts w:hint="eastAsia" w:asciiTheme="minorEastAsia" w:hAnsiTheme="minorEastAsia" w:eastAsiaTheme="minorEastAsia"/>
          <w:color w:val="000000"/>
          <w:sz w:val="24"/>
          <w:szCs w:val="32"/>
        </w:rPr>
        <w:t>。主要变动原因是</w:t>
      </w:r>
      <w:r>
        <w:rPr>
          <w:rFonts w:hint="eastAsia" w:asciiTheme="minorEastAsia" w:hAnsiTheme="minorEastAsia" w:eastAsiaTheme="minorEastAsia"/>
          <w:color w:val="000000"/>
          <w:sz w:val="24"/>
          <w:szCs w:val="32"/>
          <w:lang w:val="en-US" w:eastAsia="zh-CN"/>
        </w:rPr>
        <w:t>人员经费增加</w:t>
      </w:r>
      <w:r>
        <w:rPr>
          <w:rFonts w:hint="eastAsia" w:asciiTheme="minorEastAsia" w:hAnsiTheme="minorEastAsia" w:eastAsiaTheme="minorEastAsia"/>
          <w:color w:val="000000"/>
          <w:sz w:val="24"/>
          <w:szCs w:val="32"/>
        </w:rPr>
        <w:t>。</w:t>
      </w:r>
    </w:p>
    <w:p>
      <w:pPr>
        <w:spacing w:line="600" w:lineRule="exact"/>
        <w:rPr>
          <w:rFonts w:asciiTheme="minorEastAsia" w:hAnsiTheme="minorEastAsia" w:eastAsiaTheme="minorEastAsia"/>
          <w:color w:val="000000" w:themeColor="text1"/>
          <w:sz w:val="24"/>
          <w:szCs w:val="32"/>
        </w:rPr>
      </w:pPr>
      <w:r>
        <w:rPr>
          <w:rFonts w:hint="eastAsia" w:asciiTheme="minorEastAsia" w:hAnsiTheme="minorEastAsia" w:eastAsiaTheme="minorEastAsia"/>
          <w:color w:val="000000" w:themeColor="text1"/>
          <w:sz w:val="24"/>
          <w:szCs w:val="32"/>
        </w:rPr>
        <w:t>（图5：一般公共预算财政拨款支出决算变动情况）（柱状图）</w:t>
      </w:r>
    </w:p>
    <w:p>
      <w:pPr>
        <w:ind w:firstLine="420" w:firstLineChars="200"/>
        <w:rPr>
          <w:rFonts w:ascii="仿宋" w:hAnsi="仿宋" w:eastAsia="仿宋"/>
          <w:sz w:val="32"/>
          <w:szCs w:val="32"/>
        </w:rPr>
      </w:pPr>
      <w:r>
        <w:drawing>
          <wp:inline distT="0" distB="0" distL="114300" distR="114300">
            <wp:extent cx="4975860" cy="3446145"/>
            <wp:effectExtent l="38735" t="18415" r="40005" b="66040"/>
            <wp:docPr id="1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spacing w:line="600" w:lineRule="exact"/>
        <w:ind w:firstLine="643" w:firstLineChars="200"/>
        <w:outlineLvl w:val="2"/>
        <w:rPr>
          <w:rFonts w:ascii="仿宋" w:hAnsi="仿宋" w:eastAsia="仿宋"/>
          <w:b/>
          <w:sz w:val="32"/>
          <w:szCs w:val="32"/>
        </w:rPr>
      </w:pPr>
      <w:bookmarkStart w:id="35" w:name="_Toc15377211"/>
      <w:r>
        <w:rPr>
          <w:rFonts w:hint="eastAsia" w:ascii="仿宋" w:hAnsi="仿宋" w:eastAsia="仿宋"/>
          <w:b/>
          <w:sz w:val="32"/>
          <w:szCs w:val="32"/>
        </w:rPr>
        <w:t>（二）一般公共预算财政拨款支出决算结构情况</w:t>
      </w:r>
      <w:bookmarkEnd w:id="35"/>
    </w:p>
    <w:p>
      <w:pPr>
        <w:spacing w:line="600" w:lineRule="exact"/>
        <w:ind w:firstLine="640"/>
        <w:rPr>
          <w:rFonts w:asciiTheme="minorEastAsia" w:hAnsiTheme="minorEastAsia" w:eastAsiaTheme="minorEastAsia"/>
          <w:b/>
          <w:color w:val="000000" w:themeColor="text1"/>
          <w:sz w:val="24"/>
          <w:szCs w:val="32"/>
        </w:rPr>
      </w:pPr>
      <w:bookmarkStart w:id="36" w:name="_Toc15377212"/>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年一般公共预算财</w:t>
      </w:r>
      <w:r>
        <w:rPr>
          <w:rFonts w:hint="eastAsia" w:asciiTheme="minorEastAsia" w:hAnsiTheme="minorEastAsia" w:eastAsiaTheme="minorEastAsia"/>
          <w:color w:val="000000" w:themeColor="text1"/>
          <w:sz w:val="24"/>
          <w:szCs w:val="32"/>
        </w:rPr>
        <w:t>政拨款支出</w:t>
      </w:r>
      <w:r>
        <w:rPr>
          <w:rFonts w:hint="eastAsia" w:asciiTheme="minorEastAsia" w:hAnsiTheme="minorEastAsia" w:eastAsiaTheme="minorEastAsia"/>
          <w:color w:val="000000" w:themeColor="text1"/>
          <w:sz w:val="24"/>
          <w:szCs w:val="32"/>
          <w:lang w:val="en-US" w:eastAsia="zh-CN"/>
        </w:rPr>
        <w:t>804.52</w:t>
      </w:r>
      <w:r>
        <w:rPr>
          <w:rFonts w:hint="eastAsia" w:asciiTheme="minorEastAsia" w:hAnsiTheme="minorEastAsia" w:eastAsiaTheme="minorEastAsia"/>
          <w:color w:val="000000" w:themeColor="text1"/>
          <w:sz w:val="24"/>
          <w:szCs w:val="32"/>
        </w:rPr>
        <w:t>万元，主要用于以下方面</w:t>
      </w:r>
      <w:r>
        <w:rPr>
          <w:rFonts w:asciiTheme="minorEastAsia" w:hAnsiTheme="minorEastAsia" w:eastAsiaTheme="minorEastAsia"/>
          <w:color w:val="000000" w:themeColor="text1"/>
          <w:sz w:val="24"/>
          <w:szCs w:val="32"/>
        </w:rPr>
        <w:t>:</w:t>
      </w:r>
      <w:r>
        <w:rPr>
          <w:rFonts w:hint="eastAsia" w:asciiTheme="minorEastAsia" w:hAnsiTheme="minorEastAsia" w:eastAsiaTheme="minorEastAsia"/>
          <w:b/>
          <w:color w:val="000000" w:themeColor="text1"/>
          <w:sz w:val="24"/>
          <w:szCs w:val="32"/>
        </w:rPr>
        <w:t>教育支出（类）</w:t>
      </w:r>
      <w:r>
        <w:rPr>
          <w:rFonts w:hint="eastAsia" w:asciiTheme="minorEastAsia" w:hAnsiTheme="minorEastAsia" w:eastAsiaTheme="minorEastAsia"/>
          <w:b/>
          <w:color w:val="000000" w:themeColor="text1"/>
          <w:sz w:val="24"/>
          <w:szCs w:val="32"/>
          <w:lang w:val="en-US" w:eastAsia="zh-CN"/>
        </w:rPr>
        <w:t>620.38</w:t>
      </w:r>
      <w:r>
        <w:rPr>
          <w:rFonts w:hint="eastAsia" w:asciiTheme="minorEastAsia" w:hAnsiTheme="minorEastAsia" w:eastAsiaTheme="minorEastAsia"/>
          <w:color w:val="000000" w:themeColor="text1"/>
          <w:sz w:val="24"/>
          <w:szCs w:val="32"/>
        </w:rPr>
        <w:t>万元，占</w:t>
      </w:r>
      <w:r>
        <w:rPr>
          <w:rFonts w:hint="eastAsia" w:asciiTheme="minorEastAsia" w:hAnsiTheme="minorEastAsia" w:eastAsiaTheme="minorEastAsia"/>
          <w:color w:val="000000" w:themeColor="text1"/>
          <w:sz w:val="24"/>
          <w:szCs w:val="32"/>
          <w:lang w:val="en-US" w:eastAsia="zh-CN"/>
        </w:rPr>
        <w:t>77.11</w:t>
      </w:r>
      <w:r>
        <w:rPr>
          <w:rFonts w:asciiTheme="minorEastAsia" w:hAnsiTheme="minorEastAsia" w:eastAsiaTheme="minorEastAsia"/>
          <w:color w:val="000000" w:themeColor="text1"/>
          <w:sz w:val="24"/>
          <w:szCs w:val="32"/>
        </w:rPr>
        <w:t>%</w:t>
      </w:r>
      <w:r>
        <w:rPr>
          <w:rFonts w:hint="eastAsia" w:asciiTheme="minorEastAsia" w:hAnsiTheme="minorEastAsia" w:eastAsiaTheme="minorEastAsia"/>
          <w:color w:val="000000" w:themeColor="text1"/>
          <w:sz w:val="24"/>
          <w:szCs w:val="32"/>
        </w:rPr>
        <w:t>；</w:t>
      </w:r>
      <w:r>
        <w:rPr>
          <w:rFonts w:hint="eastAsia" w:asciiTheme="minorEastAsia" w:hAnsiTheme="minorEastAsia" w:eastAsiaTheme="minorEastAsia"/>
          <w:b/>
          <w:color w:val="000000" w:themeColor="text1"/>
          <w:sz w:val="24"/>
          <w:szCs w:val="32"/>
        </w:rPr>
        <w:t>社会保障和就业（类）</w:t>
      </w:r>
      <w:r>
        <w:rPr>
          <w:rFonts w:hint="eastAsia" w:asciiTheme="minorEastAsia" w:hAnsiTheme="minorEastAsia" w:eastAsiaTheme="minorEastAsia"/>
          <w:color w:val="000000" w:themeColor="text1"/>
          <w:sz w:val="24"/>
          <w:szCs w:val="32"/>
        </w:rPr>
        <w:t>支出</w:t>
      </w:r>
      <w:r>
        <w:rPr>
          <w:rFonts w:hint="eastAsia" w:asciiTheme="minorEastAsia" w:hAnsiTheme="minorEastAsia" w:eastAsiaTheme="minorEastAsia"/>
          <w:color w:val="000000" w:themeColor="text1"/>
          <w:sz w:val="24"/>
          <w:szCs w:val="32"/>
          <w:lang w:val="en-US" w:eastAsia="zh-CN"/>
        </w:rPr>
        <w:t>111.18</w:t>
      </w:r>
      <w:r>
        <w:rPr>
          <w:rFonts w:hint="eastAsia" w:asciiTheme="minorEastAsia" w:hAnsiTheme="minorEastAsia" w:eastAsiaTheme="minorEastAsia"/>
          <w:color w:val="000000" w:themeColor="text1"/>
          <w:sz w:val="24"/>
          <w:szCs w:val="32"/>
        </w:rPr>
        <w:t>万元，占</w:t>
      </w:r>
      <w:r>
        <w:rPr>
          <w:rFonts w:hint="eastAsia" w:asciiTheme="minorEastAsia" w:hAnsiTheme="minorEastAsia" w:eastAsiaTheme="minorEastAsia"/>
          <w:color w:val="000000" w:themeColor="text1"/>
          <w:sz w:val="24"/>
          <w:szCs w:val="32"/>
          <w:lang w:val="en-US" w:eastAsia="zh-CN"/>
        </w:rPr>
        <w:t>13.82</w:t>
      </w:r>
      <w:r>
        <w:rPr>
          <w:rFonts w:asciiTheme="minorEastAsia" w:hAnsiTheme="minorEastAsia" w:eastAsiaTheme="minorEastAsia"/>
          <w:color w:val="000000" w:themeColor="text1"/>
          <w:sz w:val="24"/>
          <w:szCs w:val="32"/>
        </w:rPr>
        <w:t>%</w:t>
      </w:r>
      <w:r>
        <w:rPr>
          <w:rFonts w:hint="eastAsia" w:asciiTheme="minorEastAsia" w:hAnsiTheme="minorEastAsia" w:eastAsiaTheme="minorEastAsia"/>
          <w:color w:val="000000" w:themeColor="text1"/>
          <w:sz w:val="24"/>
          <w:szCs w:val="32"/>
        </w:rPr>
        <w:t>；</w:t>
      </w:r>
      <w:r>
        <w:rPr>
          <w:rFonts w:hint="eastAsia" w:asciiTheme="minorEastAsia" w:hAnsiTheme="minorEastAsia" w:eastAsiaTheme="minorEastAsia"/>
          <w:b/>
          <w:bCs/>
          <w:color w:val="000000" w:themeColor="text1"/>
          <w:sz w:val="24"/>
          <w:szCs w:val="32"/>
        </w:rPr>
        <w:t>卫生健康支出</w:t>
      </w:r>
      <w:r>
        <w:rPr>
          <w:rFonts w:hint="eastAsia" w:asciiTheme="minorEastAsia" w:hAnsiTheme="minorEastAsia" w:eastAsiaTheme="minorEastAsia"/>
          <w:b/>
          <w:bCs/>
          <w:color w:val="000000" w:themeColor="text1"/>
          <w:sz w:val="24"/>
          <w:szCs w:val="32"/>
          <w:lang w:val="en-US" w:eastAsia="zh-CN"/>
        </w:rPr>
        <w:t>20.47</w:t>
      </w:r>
      <w:r>
        <w:rPr>
          <w:rFonts w:hint="eastAsia" w:asciiTheme="minorEastAsia" w:hAnsiTheme="minorEastAsia" w:eastAsiaTheme="minorEastAsia"/>
          <w:color w:val="000000" w:themeColor="text1"/>
          <w:sz w:val="24"/>
          <w:szCs w:val="32"/>
        </w:rPr>
        <w:t>万元，占</w:t>
      </w:r>
      <w:r>
        <w:rPr>
          <w:rFonts w:hint="eastAsia" w:asciiTheme="minorEastAsia" w:hAnsiTheme="minorEastAsia" w:eastAsiaTheme="minorEastAsia"/>
          <w:color w:val="000000" w:themeColor="text1"/>
          <w:sz w:val="24"/>
          <w:szCs w:val="32"/>
          <w:lang w:val="en-US" w:eastAsia="zh-CN"/>
        </w:rPr>
        <w:t>2.54</w:t>
      </w:r>
      <w:r>
        <w:rPr>
          <w:rFonts w:asciiTheme="minorEastAsia" w:hAnsiTheme="minorEastAsia" w:eastAsiaTheme="minorEastAsia"/>
          <w:color w:val="000000" w:themeColor="text1"/>
          <w:sz w:val="24"/>
          <w:szCs w:val="32"/>
        </w:rPr>
        <w:t>%</w:t>
      </w:r>
      <w:r>
        <w:rPr>
          <w:rFonts w:hint="eastAsia" w:asciiTheme="minorEastAsia" w:hAnsiTheme="minorEastAsia" w:eastAsiaTheme="minorEastAsia"/>
          <w:color w:val="000000" w:themeColor="text1"/>
          <w:sz w:val="24"/>
          <w:szCs w:val="32"/>
        </w:rPr>
        <w:t>；住房保障支出</w:t>
      </w:r>
      <w:r>
        <w:rPr>
          <w:rFonts w:hint="eastAsia" w:asciiTheme="minorEastAsia" w:hAnsiTheme="minorEastAsia" w:eastAsiaTheme="minorEastAsia"/>
          <w:color w:val="000000" w:themeColor="text1"/>
          <w:sz w:val="24"/>
          <w:szCs w:val="32"/>
          <w:lang w:val="en-US" w:eastAsia="zh-CN"/>
        </w:rPr>
        <w:t>52.49</w:t>
      </w:r>
      <w:r>
        <w:rPr>
          <w:rFonts w:hint="eastAsia" w:asciiTheme="minorEastAsia" w:hAnsiTheme="minorEastAsia" w:eastAsiaTheme="minorEastAsia"/>
          <w:color w:val="000000" w:themeColor="text1"/>
          <w:sz w:val="24"/>
          <w:szCs w:val="32"/>
        </w:rPr>
        <w:t>万元，占</w:t>
      </w:r>
      <w:r>
        <w:rPr>
          <w:rFonts w:hint="eastAsia" w:asciiTheme="minorEastAsia" w:hAnsiTheme="minorEastAsia" w:eastAsiaTheme="minorEastAsia"/>
          <w:color w:val="000000" w:themeColor="text1"/>
          <w:sz w:val="24"/>
          <w:szCs w:val="32"/>
          <w:lang w:val="en-US" w:eastAsia="zh-CN"/>
        </w:rPr>
        <w:t>6.52</w:t>
      </w:r>
      <w:r>
        <w:rPr>
          <w:rFonts w:asciiTheme="minorEastAsia" w:hAnsiTheme="minorEastAsia" w:eastAsiaTheme="minorEastAsia"/>
          <w:color w:val="000000" w:themeColor="text1"/>
          <w:sz w:val="24"/>
          <w:szCs w:val="32"/>
        </w:rPr>
        <w:t>%</w:t>
      </w:r>
      <w:r>
        <w:rPr>
          <w:rFonts w:hint="eastAsia" w:asciiTheme="minorEastAsia" w:hAnsiTheme="minorEastAsia" w:eastAsiaTheme="minorEastAsia"/>
          <w:color w:val="000000" w:themeColor="text1"/>
          <w:sz w:val="24"/>
          <w:szCs w:val="32"/>
        </w:rPr>
        <w:t>。</w:t>
      </w:r>
    </w:p>
    <w:p>
      <w:pPr>
        <w:spacing w:line="600" w:lineRule="exact"/>
        <w:ind w:firstLine="480" w:firstLineChars="200"/>
        <w:rPr>
          <w:rFonts w:asciiTheme="minorEastAsia" w:hAnsiTheme="minorEastAsia" w:eastAsiaTheme="minorEastAsia"/>
          <w:color w:val="000000"/>
          <w:sz w:val="24"/>
          <w:szCs w:val="32"/>
        </w:rPr>
      </w:pPr>
      <w:r>
        <w:rPr>
          <w:rFonts w:hint="eastAsia" w:asciiTheme="minorEastAsia" w:hAnsiTheme="minorEastAsia" w:eastAsiaTheme="minorEastAsia"/>
          <w:color w:val="000000"/>
          <w:sz w:val="24"/>
          <w:szCs w:val="32"/>
        </w:rPr>
        <w:t>（图6：一般公共预算财政拨款支出决算结构）（饼状图）</w:t>
      </w:r>
    </w:p>
    <w:p>
      <w:pPr>
        <w:rPr>
          <w:rFonts w:asciiTheme="minorEastAsia" w:hAnsiTheme="minorEastAsia" w:eastAsiaTheme="minorEastAsia"/>
          <w:color w:val="000000"/>
          <w:sz w:val="24"/>
          <w:szCs w:val="32"/>
        </w:rPr>
      </w:pPr>
      <w:r>
        <w:drawing>
          <wp:inline distT="0" distB="0" distL="114300" distR="114300">
            <wp:extent cx="5271770" cy="3964305"/>
            <wp:effectExtent l="38735" t="18415" r="48895" b="68580"/>
            <wp:docPr id="1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pPr>
        <w:spacing w:line="600" w:lineRule="exact"/>
        <w:ind w:firstLine="643" w:firstLineChars="200"/>
        <w:outlineLvl w:val="2"/>
        <w:rPr>
          <w:rFonts w:ascii="仿宋" w:hAnsi="仿宋" w:eastAsia="仿宋"/>
          <w:b/>
          <w:sz w:val="32"/>
          <w:szCs w:val="32"/>
        </w:rPr>
      </w:pPr>
      <w:r>
        <w:rPr>
          <w:rFonts w:hint="eastAsia" w:ascii="仿宋" w:hAnsi="仿宋" w:eastAsia="仿宋"/>
          <w:b/>
          <w:sz w:val="32"/>
          <w:szCs w:val="32"/>
        </w:rPr>
        <w:t>（三）一般公共预算财政拨款支出决算具体情况</w:t>
      </w:r>
      <w:bookmarkEnd w:id="36"/>
    </w:p>
    <w:p>
      <w:pPr>
        <w:spacing w:line="600" w:lineRule="exact"/>
        <w:ind w:firstLine="643" w:firstLineChars="200"/>
        <w:outlineLvl w:val="2"/>
        <w:rPr>
          <w:rFonts w:ascii="仿宋" w:hAnsi="仿宋" w:eastAsia="仿宋"/>
          <w:sz w:val="32"/>
          <w:szCs w:val="32"/>
        </w:rPr>
      </w:pPr>
      <w:bookmarkStart w:id="37" w:name="_Toc15378460"/>
      <w:bookmarkStart w:id="38" w:name="_Toc15377444"/>
      <w:bookmarkStart w:id="39" w:name="_Toc15377213"/>
      <w:r>
        <w:rPr>
          <w:rFonts w:hint="eastAsia" w:ascii="仿宋" w:hAnsi="仿宋" w:eastAsia="仿宋"/>
          <w:b/>
          <w:sz w:val="32"/>
          <w:szCs w:val="32"/>
        </w:rPr>
        <w:t>2021年一般公共预算支出决算数为</w:t>
      </w:r>
      <w:r>
        <w:rPr>
          <w:rFonts w:hint="eastAsia" w:ascii="仿宋_GB2312" w:hAnsi="仿宋_GB2312" w:eastAsia="仿宋_GB2312" w:cs="仿宋_GB2312"/>
          <w:b/>
          <w:color w:val="000000" w:themeColor="text1"/>
          <w:sz w:val="32"/>
          <w:szCs w:val="32"/>
          <w:lang w:val="en-US" w:eastAsia="zh-CN"/>
        </w:rPr>
        <w:t>804.52</w:t>
      </w:r>
      <w:r>
        <w:rPr>
          <w:rFonts w:hint="eastAsia" w:ascii="仿宋_GB2312" w:hAnsi="仿宋_GB2312" w:eastAsia="仿宋_GB2312" w:cs="仿宋_GB2312"/>
          <w:b/>
          <w:color w:val="000000" w:themeColor="text1"/>
          <w:sz w:val="32"/>
          <w:szCs w:val="32"/>
        </w:rPr>
        <w:t>万元</w:t>
      </w:r>
      <w:r>
        <w:rPr>
          <w:rFonts w:hint="eastAsia" w:ascii="仿宋" w:hAnsi="仿宋" w:eastAsia="仿宋"/>
          <w:sz w:val="32"/>
          <w:szCs w:val="32"/>
        </w:rPr>
        <w:t>，</w:t>
      </w:r>
      <w:r>
        <w:rPr>
          <w:rStyle w:val="16"/>
          <w:rFonts w:hint="eastAsia" w:ascii="仿宋" w:hAnsi="仿宋" w:eastAsia="仿宋"/>
          <w:bCs/>
          <w:sz w:val="32"/>
          <w:szCs w:val="32"/>
        </w:rPr>
        <w:t>完成预算</w:t>
      </w:r>
      <w:r>
        <w:rPr>
          <w:rStyle w:val="16"/>
          <w:rFonts w:hint="eastAsia" w:ascii="仿宋_GB2312" w:hAnsi="仿宋_GB2312" w:eastAsia="仿宋_GB2312" w:cs="仿宋_GB2312"/>
          <w:bCs/>
          <w:color w:val="000000"/>
          <w:sz w:val="32"/>
          <w:szCs w:val="32"/>
        </w:rPr>
        <w:t>100%</w:t>
      </w:r>
      <w:r>
        <w:rPr>
          <w:rStyle w:val="16"/>
          <w:rFonts w:hint="eastAsia" w:ascii="仿宋" w:hAnsi="仿宋" w:eastAsia="仿宋"/>
          <w:bCs/>
          <w:sz w:val="32"/>
          <w:szCs w:val="32"/>
        </w:rPr>
        <w:t>。其中：</w:t>
      </w:r>
      <w:bookmarkEnd w:id="37"/>
      <w:bookmarkEnd w:id="38"/>
      <w:bookmarkEnd w:id="39"/>
    </w:p>
    <w:p>
      <w:pPr>
        <w:spacing w:line="600" w:lineRule="exact"/>
        <w:ind w:firstLine="482" w:firstLineChars="200"/>
        <w:rPr>
          <w:rFonts w:asciiTheme="minorEastAsia" w:hAnsiTheme="minorEastAsia" w:eastAsiaTheme="minorEastAsia"/>
          <w:b/>
          <w:color w:val="000000"/>
          <w:sz w:val="24"/>
          <w:szCs w:val="32"/>
        </w:rPr>
      </w:pPr>
      <w:r>
        <w:rPr>
          <w:rStyle w:val="16"/>
          <w:rFonts w:hint="eastAsia" w:asciiTheme="minorEastAsia" w:hAnsiTheme="minorEastAsia" w:eastAsiaTheme="minorEastAsia"/>
          <w:bCs/>
          <w:color w:val="000000"/>
          <w:sz w:val="24"/>
          <w:szCs w:val="32"/>
        </w:rPr>
        <w:t>1</w:t>
      </w:r>
      <w:r>
        <w:rPr>
          <w:rStyle w:val="16"/>
          <w:rFonts w:asciiTheme="minorEastAsia" w:hAnsiTheme="minorEastAsia" w:eastAsiaTheme="minorEastAsia"/>
          <w:bCs/>
          <w:color w:val="000000"/>
          <w:sz w:val="24"/>
          <w:szCs w:val="32"/>
        </w:rPr>
        <w:t>.</w:t>
      </w:r>
      <w:r>
        <w:rPr>
          <w:rStyle w:val="16"/>
          <w:rFonts w:hint="eastAsia" w:asciiTheme="minorEastAsia" w:hAnsiTheme="minorEastAsia" w:eastAsiaTheme="minorEastAsia"/>
          <w:bCs/>
          <w:color w:val="000000"/>
          <w:sz w:val="24"/>
          <w:szCs w:val="32"/>
        </w:rPr>
        <w:t>教育支出（类）</w:t>
      </w:r>
      <w:r>
        <w:rPr>
          <w:rStyle w:val="16"/>
          <w:rFonts w:asciiTheme="minorEastAsia" w:hAnsiTheme="minorEastAsia" w:eastAsiaTheme="minorEastAsia"/>
          <w:bCs/>
          <w:color w:val="000000"/>
          <w:sz w:val="24"/>
          <w:szCs w:val="32"/>
        </w:rPr>
        <w:t>:</w:t>
      </w:r>
      <w:r>
        <w:rPr>
          <w:rStyle w:val="16"/>
          <w:rFonts w:asciiTheme="minorEastAsia" w:hAnsiTheme="minorEastAsia" w:eastAsiaTheme="minorEastAsia"/>
          <w:b w:val="0"/>
          <w:bCs/>
          <w:color w:val="000000"/>
          <w:sz w:val="24"/>
          <w:szCs w:val="32"/>
        </w:rPr>
        <w:t xml:space="preserve"> </w:t>
      </w:r>
      <w:r>
        <w:rPr>
          <w:rStyle w:val="16"/>
          <w:rFonts w:hint="eastAsia" w:asciiTheme="minorEastAsia" w:hAnsiTheme="minorEastAsia" w:eastAsiaTheme="minorEastAsia"/>
          <w:b w:val="0"/>
          <w:bCs/>
          <w:color w:val="000000"/>
          <w:sz w:val="24"/>
          <w:szCs w:val="32"/>
        </w:rPr>
        <w:t>支出决算为</w:t>
      </w:r>
      <w:r>
        <w:rPr>
          <w:rStyle w:val="16"/>
          <w:rFonts w:hint="eastAsia" w:asciiTheme="minorEastAsia" w:hAnsiTheme="minorEastAsia" w:eastAsiaTheme="minorEastAsia"/>
          <w:b w:val="0"/>
          <w:bCs/>
          <w:color w:val="000000"/>
          <w:sz w:val="24"/>
          <w:szCs w:val="32"/>
          <w:lang w:val="en-US" w:eastAsia="zh-CN"/>
        </w:rPr>
        <w:t>620.38</w:t>
      </w:r>
      <w:r>
        <w:rPr>
          <w:rStyle w:val="16"/>
          <w:rFonts w:hint="eastAsia" w:asciiTheme="minorEastAsia" w:hAnsiTheme="minorEastAsia" w:eastAsiaTheme="minorEastAsia"/>
          <w:b w:val="0"/>
          <w:bCs/>
          <w:color w:val="000000"/>
          <w:sz w:val="24"/>
          <w:szCs w:val="32"/>
        </w:rPr>
        <w:t>万元，</w:t>
      </w:r>
      <w:r>
        <w:rPr>
          <w:rStyle w:val="16"/>
          <w:rFonts w:hint="eastAsia" w:ascii="宋体" w:hAnsi="宋体" w:eastAsia="宋体" w:cs="宋体"/>
          <w:b w:val="0"/>
          <w:bCs/>
          <w:sz w:val="24"/>
          <w:szCs w:val="24"/>
          <w:lang w:eastAsia="zh-CN"/>
        </w:rPr>
        <w:t>普通教育基础</w:t>
      </w:r>
      <w:r>
        <w:rPr>
          <w:rStyle w:val="16"/>
          <w:rFonts w:hint="eastAsia" w:ascii="宋体" w:hAnsi="宋体" w:cs="宋体"/>
          <w:b w:val="0"/>
          <w:bCs/>
          <w:sz w:val="24"/>
          <w:szCs w:val="24"/>
          <w:lang w:val="en-US" w:eastAsia="zh-CN"/>
        </w:rPr>
        <w:t>619.16</w:t>
      </w:r>
      <w:r>
        <w:rPr>
          <w:rStyle w:val="16"/>
          <w:rFonts w:hint="eastAsia" w:ascii="宋体" w:hAnsi="宋体" w:eastAsia="宋体" w:cs="宋体"/>
          <w:b w:val="0"/>
          <w:bCs/>
          <w:sz w:val="24"/>
          <w:szCs w:val="24"/>
          <w:lang w:val="en-US" w:eastAsia="zh-CN"/>
        </w:rPr>
        <w:t>万元，教育费附加安排的支出</w:t>
      </w:r>
      <w:r>
        <w:rPr>
          <w:rStyle w:val="16"/>
          <w:rFonts w:hint="eastAsia" w:ascii="宋体" w:hAnsi="宋体" w:cs="宋体"/>
          <w:b w:val="0"/>
          <w:bCs/>
          <w:sz w:val="24"/>
          <w:szCs w:val="24"/>
          <w:lang w:val="en-US" w:eastAsia="zh-CN"/>
        </w:rPr>
        <w:t>1.22</w:t>
      </w:r>
      <w:r>
        <w:rPr>
          <w:rStyle w:val="16"/>
          <w:rFonts w:hint="eastAsia" w:ascii="宋体" w:hAnsi="宋体" w:eastAsia="宋体" w:cs="宋体"/>
          <w:b w:val="0"/>
          <w:bCs/>
          <w:sz w:val="24"/>
          <w:szCs w:val="24"/>
          <w:lang w:val="en-US" w:eastAsia="zh-CN"/>
        </w:rPr>
        <w:t>万元，</w:t>
      </w:r>
      <w:r>
        <w:rPr>
          <w:rStyle w:val="16"/>
          <w:rFonts w:hint="eastAsia" w:asciiTheme="minorEastAsia" w:hAnsiTheme="minorEastAsia" w:eastAsiaTheme="minorEastAsia"/>
          <w:b w:val="0"/>
          <w:bCs/>
          <w:color w:val="000000"/>
          <w:sz w:val="24"/>
          <w:szCs w:val="32"/>
        </w:rPr>
        <w:t>完成预算100</w:t>
      </w:r>
      <w:r>
        <w:rPr>
          <w:rStyle w:val="16"/>
          <w:rFonts w:asciiTheme="minorEastAsia" w:hAnsiTheme="minorEastAsia" w:eastAsiaTheme="minorEastAsia"/>
          <w:b w:val="0"/>
          <w:bCs/>
          <w:color w:val="000000"/>
          <w:sz w:val="24"/>
          <w:szCs w:val="32"/>
        </w:rPr>
        <w:t>%</w:t>
      </w:r>
      <w:r>
        <w:rPr>
          <w:rStyle w:val="16"/>
          <w:rFonts w:hint="eastAsia" w:asciiTheme="minorEastAsia" w:hAnsiTheme="minorEastAsia" w:eastAsiaTheme="minorEastAsia"/>
          <w:b w:val="0"/>
          <w:bCs/>
          <w:color w:val="000000"/>
          <w:sz w:val="24"/>
          <w:szCs w:val="32"/>
        </w:rPr>
        <w:t>。</w:t>
      </w:r>
    </w:p>
    <w:p>
      <w:pPr>
        <w:spacing w:line="600" w:lineRule="exact"/>
        <w:ind w:firstLine="482" w:firstLineChars="200"/>
        <w:rPr>
          <w:rFonts w:asciiTheme="minorEastAsia" w:hAnsiTheme="minorEastAsia" w:eastAsiaTheme="minorEastAsia"/>
          <w:b/>
          <w:color w:val="000000"/>
          <w:sz w:val="24"/>
          <w:szCs w:val="32"/>
        </w:rPr>
      </w:pPr>
      <w:r>
        <w:rPr>
          <w:rStyle w:val="16"/>
          <w:rFonts w:hint="eastAsia" w:asciiTheme="minorEastAsia" w:hAnsiTheme="minorEastAsia" w:eastAsiaTheme="minorEastAsia"/>
          <w:bCs/>
          <w:color w:val="000000"/>
          <w:sz w:val="24"/>
          <w:szCs w:val="32"/>
        </w:rPr>
        <w:t>2</w:t>
      </w:r>
      <w:r>
        <w:rPr>
          <w:rStyle w:val="16"/>
          <w:rFonts w:asciiTheme="minorEastAsia" w:hAnsiTheme="minorEastAsia" w:eastAsiaTheme="minorEastAsia"/>
          <w:bCs/>
          <w:color w:val="000000"/>
          <w:sz w:val="24"/>
          <w:szCs w:val="32"/>
        </w:rPr>
        <w:t>.</w:t>
      </w:r>
      <w:r>
        <w:rPr>
          <w:rStyle w:val="16"/>
          <w:rFonts w:hint="eastAsia" w:asciiTheme="minorEastAsia" w:hAnsiTheme="minorEastAsia" w:eastAsiaTheme="minorEastAsia"/>
          <w:bCs/>
          <w:color w:val="000000"/>
          <w:sz w:val="24"/>
          <w:szCs w:val="32"/>
        </w:rPr>
        <w:t>社会保障和就业（类）</w:t>
      </w:r>
      <w:r>
        <w:rPr>
          <w:rStyle w:val="16"/>
          <w:rFonts w:asciiTheme="minorEastAsia" w:hAnsiTheme="minorEastAsia" w:eastAsiaTheme="minorEastAsia"/>
          <w:bCs/>
          <w:color w:val="000000"/>
          <w:sz w:val="24"/>
          <w:szCs w:val="32"/>
        </w:rPr>
        <w:t>:</w:t>
      </w:r>
      <w:r>
        <w:rPr>
          <w:rStyle w:val="16"/>
          <w:rFonts w:asciiTheme="minorEastAsia" w:hAnsiTheme="minorEastAsia" w:eastAsiaTheme="minorEastAsia"/>
          <w:b w:val="0"/>
          <w:bCs/>
          <w:color w:val="000000"/>
          <w:sz w:val="24"/>
          <w:szCs w:val="32"/>
        </w:rPr>
        <w:t xml:space="preserve"> </w:t>
      </w:r>
      <w:r>
        <w:rPr>
          <w:rStyle w:val="16"/>
          <w:rFonts w:hint="eastAsia" w:asciiTheme="minorEastAsia" w:hAnsiTheme="minorEastAsia" w:eastAsiaTheme="minorEastAsia"/>
          <w:b w:val="0"/>
          <w:bCs/>
          <w:color w:val="000000"/>
          <w:sz w:val="24"/>
          <w:szCs w:val="32"/>
        </w:rPr>
        <w:t>支出决算为</w:t>
      </w:r>
      <w:r>
        <w:rPr>
          <w:rStyle w:val="16"/>
          <w:rFonts w:hint="eastAsia" w:asciiTheme="minorEastAsia" w:hAnsiTheme="minorEastAsia" w:eastAsiaTheme="minorEastAsia"/>
          <w:b w:val="0"/>
          <w:bCs/>
          <w:color w:val="000000"/>
          <w:sz w:val="24"/>
          <w:szCs w:val="32"/>
          <w:lang w:val="en-US" w:eastAsia="zh-CN"/>
        </w:rPr>
        <w:t>111.18</w:t>
      </w:r>
      <w:r>
        <w:rPr>
          <w:rStyle w:val="16"/>
          <w:rFonts w:hint="eastAsia" w:asciiTheme="minorEastAsia" w:hAnsiTheme="minorEastAsia" w:eastAsiaTheme="minorEastAsia"/>
          <w:b w:val="0"/>
          <w:bCs/>
          <w:color w:val="000000"/>
          <w:sz w:val="24"/>
          <w:szCs w:val="32"/>
        </w:rPr>
        <w:t>万元，</w:t>
      </w:r>
      <w:r>
        <w:rPr>
          <w:rStyle w:val="16"/>
          <w:rFonts w:hint="eastAsia" w:ascii="宋体" w:hAnsi="宋体" w:eastAsia="宋体" w:cs="宋体"/>
          <w:b w:val="0"/>
          <w:bCs/>
          <w:sz w:val="24"/>
          <w:szCs w:val="24"/>
        </w:rPr>
        <w:t>行政事业单位养老支出</w:t>
      </w:r>
      <w:r>
        <w:rPr>
          <w:rStyle w:val="16"/>
          <w:rFonts w:hint="eastAsia" w:ascii="宋体" w:hAnsi="宋体" w:cs="宋体"/>
          <w:b w:val="0"/>
          <w:bCs/>
          <w:sz w:val="24"/>
          <w:szCs w:val="24"/>
          <w:lang w:val="en-US" w:eastAsia="zh-CN"/>
        </w:rPr>
        <w:t>87.59万元</w:t>
      </w:r>
      <w:r>
        <w:rPr>
          <w:rStyle w:val="16"/>
          <w:rFonts w:hint="eastAsia" w:ascii="宋体" w:hAnsi="宋体" w:eastAsia="宋体" w:cs="宋体"/>
          <w:b w:val="0"/>
          <w:bCs/>
          <w:sz w:val="24"/>
          <w:szCs w:val="24"/>
          <w:lang w:val="en-US" w:eastAsia="zh-CN"/>
        </w:rPr>
        <w:t>，抚恤支出</w:t>
      </w:r>
      <w:r>
        <w:rPr>
          <w:rStyle w:val="16"/>
          <w:rFonts w:hint="eastAsia" w:ascii="宋体" w:hAnsi="宋体" w:cs="宋体"/>
          <w:b w:val="0"/>
          <w:bCs/>
          <w:sz w:val="24"/>
          <w:szCs w:val="24"/>
          <w:lang w:val="en-US" w:eastAsia="zh-CN"/>
        </w:rPr>
        <w:t>19.14万元</w:t>
      </w:r>
      <w:r>
        <w:rPr>
          <w:rStyle w:val="16"/>
          <w:rFonts w:hint="eastAsia" w:ascii="宋体" w:hAnsi="宋体" w:eastAsia="宋体" w:cs="宋体"/>
          <w:b w:val="0"/>
          <w:bCs/>
          <w:sz w:val="24"/>
          <w:szCs w:val="24"/>
          <w:lang w:val="en-US" w:eastAsia="zh-CN"/>
        </w:rPr>
        <w:t>，残疾人事业支出</w:t>
      </w:r>
      <w:r>
        <w:rPr>
          <w:rStyle w:val="16"/>
          <w:rFonts w:hint="eastAsia" w:ascii="宋体" w:hAnsi="宋体" w:cs="宋体"/>
          <w:b w:val="0"/>
          <w:bCs/>
          <w:sz w:val="24"/>
          <w:szCs w:val="24"/>
          <w:lang w:val="en-US" w:eastAsia="zh-CN"/>
        </w:rPr>
        <w:t>4.45</w:t>
      </w:r>
      <w:r>
        <w:rPr>
          <w:rStyle w:val="16"/>
          <w:rFonts w:hint="eastAsia" w:ascii="宋体" w:hAnsi="宋体" w:eastAsia="宋体" w:cs="宋体"/>
          <w:b w:val="0"/>
          <w:bCs/>
          <w:sz w:val="24"/>
          <w:szCs w:val="24"/>
          <w:lang w:val="en-US" w:eastAsia="zh-CN"/>
        </w:rPr>
        <w:t>万元，</w:t>
      </w:r>
      <w:r>
        <w:rPr>
          <w:rStyle w:val="16"/>
          <w:rFonts w:hint="eastAsia" w:asciiTheme="minorEastAsia" w:hAnsiTheme="minorEastAsia" w:eastAsiaTheme="minorEastAsia"/>
          <w:b w:val="0"/>
          <w:bCs/>
          <w:color w:val="000000"/>
          <w:sz w:val="24"/>
          <w:szCs w:val="32"/>
        </w:rPr>
        <w:t>完成预算100</w:t>
      </w:r>
      <w:r>
        <w:rPr>
          <w:rStyle w:val="16"/>
          <w:rFonts w:asciiTheme="minorEastAsia" w:hAnsiTheme="minorEastAsia" w:eastAsiaTheme="minorEastAsia"/>
          <w:b w:val="0"/>
          <w:bCs/>
          <w:color w:val="000000"/>
          <w:sz w:val="24"/>
          <w:szCs w:val="32"/>
        </w:rPr>
        <w:t>%</w:t>
      </w:r>
      <w:r>
        <w:rPr>
          <w:rStyle w:val="16"/>
          <w:rFonts w:hint="eastAsia" w:asciiTheme="minorEastAsia" w:hAnsiTheme="minorEastAsia" w:eastAsiaTheme="minorEastAsia"/>
          <w:b w:val="0"/>
          <w:bCs/>
          <w:color w:val="000000"/>
          <w:sz w:val="24"/>
          <w:szCs w:val="32"/>
        </w:rPr>
        <w:t>。</w:t>
      </w:r>
    </w:p>
    <w:p>
      <w:pPr>
        <w:spacing w:line="600" w:lineRule="exact"/>
        <w:ind w:firstLine="482" w:firstLineChars="200"/>
        <w:rPr>
          <w:rStyle w:val="16"/>
          <w:rFonts w:asciiTheme="minorEastAsia" w:hAnsiTheme="minorEastAsia" w:eastAsiaTheme="minorEastAsia"/>
          <w:b w:val="0"/>
          <w:bCs/>
          <w:color w:val="000000"/>
          <w:sz w:val="24"/>
          <w:szCs w:val="32"/>
        </w:rPr>
      </w:pPr>
      <w:r>
        <w:rPr>
          <w:rStyle w:val="16"/>
          <w:rFonts w:hint="eastAsia" w:asciiTheme="minorEastAsia" w:hAnsiTheme="minorEastAsia" w:eastAsiaTheme="minorEastAsia"/>
          <w:bCs/>
          <w:color w:val="000000"/>
          <w:sz w:val="24"/>
          <w:szCs w:val="32"/>
        </w:rPr>
        <w:t>3</w:t>
      </w:r>
      <w:r>
        <w:rPr>
          <w:rStyle w:val="16"/>
          <w:rFonts w:asciiTheme="minorEastAsia" w:hAnsiTheme="minorEastAsia" w:eastAsiaTheme="minorEastAsia"/>
          <w:bCs/>
          <w:color w:val="000000"/>
          <w:sz w:val="24"/>
          <w:szCs w:val="32"/>
        </w:rPr>
        <w:t>.</w:t>
      </w:r>
      <w:r>
        <w:rPr>
          <w:rFonts w:hint="eastAsia" w:asciiTheme="minorEastAsia" w:hAnsiTheme="minorEastAsia" w:eastAsiaTheme="minorEastAsia"/>
          <w:b/>
          <w:bCs/>
          <w:color w:val="000000" w:themeColor="text1"/>
          <w:sz w:val="24"/>
          <w:szCs w:val="32"/>
        </w:rPr>
        <w:t>卫生健康</w:t>
      </w:r>
      <w:r>
        <w:rPr>
          <w:rStyle w:val="16"/>
          <w:rFonts w:hint="eastAsia" w:asciiTheme="minorEastAsia" w:hAnsiTheme="minorEastAsia" w:eastAsiaTheme="minorEastAsia"/>
          <w:bCs/>
          <w:color w:val="000000"/>
          <w:sz w:val="24"/>
          <w:szCs w:val="32"/>
        </w:rPr>
        <w:t>（类）</w:t>
      </w:r>
      <w:r>
        <w:rPr>
          <w:rStyle w:val="16"/>
          <w:rFonts w:asciiTheme="minorEastAsia" w:hAnsiTheme="minorEastAsia" w:eastAsiaTheme="minorEastAsia"/>
          <w:bCs/>
          <w:color w:val="000000"/>
          <w:sz w:val="24"/>
          <w:szCs w:val="32"/>
        </w:rPr>
        <w:t>:</w:t>
      </w:r>
      <w:r>
        <w:rPr>
          <w:rStyle w:val="16"/>
          <w:rFonts w:hint="eastAsia" w:asciiTheme="minorEastAsia" w:hAnsiTheme="minorEastAsia" w:eastAsiaTheme="minorEastAsia"/>
          <w:b w:val="0"/>
          <w:bCs/>
          <w:color w:val="000000"/>
          <w:sz w:val="24"/>
          <w:szCs w:val="32"/>
        </w:rPr>
        <w:t>支出决算为</w:t>
      </w:r>
      <w:r>
        <w:rPr>
          <w:rStyle w:val="16"/>
          <w:rFonts w:hint="eastAsia" w:asciiTheme="minorEastAsia" w:hAnsiTheme="minorEastAsia" w:eastAsiaTheme="minorEastAsia"/>
          <w:b w:val="0"/>
          <w:bCs/>
          <w:color w:val="000000"/>
          <w:sz w:val="24"/>
          <w:szCs w:val="32"/>
          <w:lang w:val="en-US" w:eastAsia="zh-CN"/>
        </w:rPr>
        <w:t>20.47</w:t>
      </w:r>
      <w:r>
        <w:rPr>
          <w:rStyle w:val="16"/>
          <w:rFonts w:hint="eastAsia" w:asciiTheme="minorEastAsia" w:hAnsiTheme="minorEastAsia" w:eastAsiaTheme="minorEastAsia"/>
          <w:b w:val="0"/>
          <w:bCs/>
          <w:color w:val="000000"/>
          <w:sz w:val="24"/>
          <w:szCs w:val="32"/>
        </w:rPr>
        <w:t>万元，</w:t>
      </w:r>
      <w:r>
        <w:rPr>
          <w:rStyle w:val="16"/>
          <w:rFonts w:hint="eastAsia" w:ascii="宋体" w:hAnsi="宋体" w:eastAsia="宋体" w:cs="宋体"/>
          <w:b w:val="0"/>
          <w:bCs/>
          <w:sz w:val="24"/>
          <w:szCs w:val="24"/>
        </w:rPr>
        <w:t>行政事业单位医疗</w:t>
      </w:r>
      <w:r>
        <w:rPr>
          <w:rStyle w:val="16"/>
          <w:rFonts w:hint="eastAsia" w:ascii="宋体" w:hAnsi="宋体" w:eastAsia="宋体" w:cs="宋体"/>
          <w:b w:val="0"/>
          <w:bCs/>
          <w:sz w:val="24"/>
          <w:szCs w:val="24"/>
          <w:lang w:eastAsia="zh-CN"/>
        </w:rPr>
        <w:t>支出</w:t>
      </w:r>
      <w:r>
        <w:rPr>
          <w:rStyle w:val="16"/>
          <w:rFonts w:hint="eastAsia" w:ascii="宋体" w:hAnsi="宋体" w:cs="宋体"/>
          <w:b w:val="0"/>
          <w:bCs/>
          <w:sz w:val="24"/>
          <w:szCs w:val="24"/>
          <w:lang w:val="en-US" w:eastAsia="zh-CN"/>
        </w:rPr>
        <w:t>20.47</w:t>
      </w:r>
      <w:r>
        <w:rPr>
          <w:rStyle w:val="16"/>
          <w:rFonts w:hint="eastAsia" w:ascii="宋体" w:hAnsi="宋体" w:eastAsia="宋体" w:cs="宋体"/>
          <w:b w:val="0"/>
          <w:bCs/>
          <w:sz w:val="24"/>
          <w:szCs w:val="24"/>
          <w:lang w:val="en-US" w:eastAsia="zh-CN"/>
        </w:rPr>
        <w:t>万元</w:t>
      </w:r>
      <w:r>
        <w:rPr>
          <w:rStyle w:val="16"/>
          <w:rFonts w:hint="eastAsia" w:ascii="仿宋" w:hAnsi="仿宋" w:eastAsia="仿宋"/>
          <w:b w:val="0"/>
          <w:bCs/>
          <w:sz w:val="32"/>
          <w:szCs w:val="32"/>
          <w:lang w:val="en-US" w:eastAsia="zh-CN"/>
        </w:rPr>
        <w:t>，</w:t>
      </w:r>
      <w:r>
        <w:rPr>
          <w:rStyle w:val="16"/>
          <w:rFonts w:hint="eastAsia" w:asciiTheme="minorEastAsia" w:hAnsiTheme="minorEastAsia" w:eastAsiaTheme="minorEastAsia"/>
          <w:b w:val="0"/>
          <w:bCs/>
          <w:color w:val="000000"/>
          <w:sz w:val="24"/>
          <w:szCs w:val="32"/>
        </w:rPr>
        <w:t>完成预算100</w:t>
      </w:r>
      <w:r>
        <w:rPr>
          <w:rStyle w:val="16"/>
          <w:rFonts w:asciiTheme="minorEastAsia" w:hAnsiTheme="minorEastAsia" w:eastAsiaTheme="minorEastAsia"/>
          <w:b w:val="0"/>
          <w:bCs/>
          <w:color w:val="000000"/>
          <w:sz w:val="24"/>
          <w:szCs w:val="32"/>
        </w:rPr>
        <w:t>%</w:t>
      </w:r>
      <w:r>
        <w:rPr>
          <w:rStyle w:val="16"/>
          <w:rFonts w:hint="eastAsia" w:asciiTheme="minorEastAsia" w:hAnsiTheme="minorEastAsia" w:eastAsiaTheme="minorEastAsia"/>
          <w:b w:val="0"/>
          <w:bCs/>
          <w:color w:val="000000"/>
          <w:sz w:val="24"/>
          <w:szCs w:val="32"/>
        </w:rPr>
        <w:t>。</w:t>
      </w:r>
    </w:p>
    <w:p>
      <w:pPr>
        <w:spacing w:line="600" w:lineRule="exact"/>
        <w:ind w:firstLine="482" w:firstLineChars="200"/>
        <w:rPr>
          <w:rFonts w:ascii="仿宋" w:hAnsi="仿宋" w:eastAsia="仿宋"/>
          <w:b/>
          <w:sz w:val="32"/>
          <w:szCs w:val="32"/>
        </w:rPr>
      </w:pPr>
      <w:r>
        <w:rPr>
          <w:rStyle w:val="16"/>
          <w:rFonts w:hint="eastAsia" w:asciiTheme="minorEastAsia" w:hAnsiTheme="minorEastAsia" w:eastAsiaTheme="minorEastAsia"/>
          <w:bCs/>
          <w:color w:val="000000"/>
          <w:sz w:val="24"/>
          <w:szCs w:val="32"/>
        </w:rPr>
        <w:t>4</w:t>
      </w:r>
      <w:r>
        <w:rPr>
          <w:rStyle w:val="16"/>
          <w:rFonts w:asciiTheme="minorEastAsia" w:hAnsiTheme="minorEastAsia" w:eastAsiaTheme="minorEastAsia"/>
          <w:bCs/>
          <w:color w:val="000000"/>
          <w:sz w:val="24"/>
          <w:szCs w:val="32"/>
        </w:rPr>
        <w:t>.</w:t>
      </w:r>
      <w:r>
        <w:rPr>
          <w:rFonts w:hint="eastAsia" w:asciiTheme="minorEastAsia" w:hAnsiTheme="minorEastAsia" w:eastAsiaTheme="minorEastAsia"/>
          <w:color w:val="000000" w:themeColor="text1"/>
          <w:sz w:val="24"/>
          <w:szCs w:val="32"/>
        </w:rPr>
        <w:t>住房保障</w:t>
      </w:r>
      <w:r>
        <w:rPr>
          <w:rStyle w:val="16"/>
          <w:rFonts w:hint="eastAsia" w:asciiTheme="minorEastAsia" w:hAnsiTheme="minorEastAsia" w:eastAsiaTheme="minorEastAsia"/>
          <w:bCs/>
          <w:color w:val="000000"/>
          <w:sz w:val="24"/>
          <w:szCs w:val="32"/>
        </w:rPr>
        <w:t>（类）：</w:t>
      </w:r>
      <w:r>
        <w:rPr>
          <w:rStyle w:val="16"/>
          <w:rFonts w:hint="eastAsia" w:asciiTheme="minorEastAsia" w:hAnsiTheme="minorEastAsia" w:eastAsiaTheme="minorEastAsia"/>
          <w:b w:val="0"/>
          <w:bCs/>
          <w:color w:val="000000"/>
          <w:sz w:val="24"/>
          <w:szCs w:val="32"/>
        </w:rPr>
        <w:t>支出决算为</w:t>
      </w:r>
      <w:r>
        <w:rPr>
          <w:rFonts w:hint="eastAsia" w:asciiTheme="minorEastAsia" w:hAnsiTheme="minorEastAsia" w:eastAsiaTheme="minorEastAsia"/>
          <w:color w:val="000000" w:themeColor="text1"/>
          <w:sz w:val="24"/>
          <w:szCs w:val="32"/>
        </w:rPr>
        <w:t>支出</w:t>
      </w:r>
      <w:r>
        <w:rPr>
          <w:rFonts w:hint="eastAsia" w:asciiTheme="minorEastAsia" w:hAnsiTheme="minorEastAsia" w:eastAsiaTheme="minorEastAsia"/>
          <w:color w:val="000000" w:themeColor="text1"/>
          <w:sz w:val="24"/>
          <w:szCs w:val="32"/>
          <w:lang w:val="en-US" w:eastAsia="zh-CN"/>
        </w:rPr>
        <w:t>52.49</w:t>
      </w:r>
      <w:r>
        <w:rPr>
          <w:rFonts w:hint="eastAsia" w:asciiTheme="minorEastAsia" w:hAnsiTheme="minorEastAsia" w:eastAsiaTheme="minorEastAsia"/>
          <w:color w:val="000000" w:themeColor="text1"/>
          <w:sz w:val="24"/>
          <w:szCs w:val="32"/>
        </w:rPr>
        <w:t>万元，</w:t>
      </w:r>
      <w:r>
        <w:rPr>
          <w:rStyle w:val="16"/>
          <w:rFonts w:hint="eastAsia" w:ascii="宋体" w:hAnsi="宋体" w:eastAsia="宋体" w:cs="宋体"/>
          <w:b w:val="0"/>
          <w:bCs/>
          <w:sz w:val="24"/>
          <w:szCs w:val="24"/>
        </w:rPr>
        <w:t>住房改革支出</w:t>
      </w:r>
      <w:r>
        <w:rPr>
          <w:rStyle w:val="16"/>
          <w:rFonts w:hint="eastAsia" w:ascii="宋体" w:hAnsi="宋体" w:cs="宋体"/>
          <w:b w:val="0"/>
          <w:bCs/>
          <w:sz w:val="24"/>
          <w:szCs w:val="24"/>
          <w:lang w:val="en-US" w:eastAsia="zh-CN"/>
        </w:rPr>
        <w:t>52.49</w:t>
      </w:r>
      <w:r>
        <w:rPr>
          <w:rStyle w:val="16"/>
          <w:rFonts w:hint="eastAsia" w:ascii="宋体" w:hAnsi="宋体" w:eastAsia="宋体" w:cs="宋体"/>
          <w:b w:val="0"/>
          <w:bCs/>
          <w:sz w:val="24"/>
          <w:szCs w:val="24"/>
          <w:lang w:val="en-US" w:eastAsia="zh-CN"/>
        </w:rPr>
        <w:t>万元</w:t>
      </w:r>
      <w:r>
        <w:rPr>
          <w:rStyle w:val="16"/>
          <w:rFonts w:hint="eastAsia" w:ascii="仿宋" w:hAnsi="仿宋" w:eastAsia="仿宋"/>
          <w:b w:val="0"/>
          <w:bCs/>
          <w:sz w:val="32"/>
          <w:szCs w:val="32"/>
          <w:lang w:val="en-US" w:eastAsia="zh-CN"/>
        </w:rPr>
        <w:t>，</w:t>
      </w:r>
      <w:r>
        <w:rPr>
          <w:rStyle w:val="16"/>
          <w:rFonts w:hint="eastAsia" w:asciiTheme="minorEastAsia" w:hAnsiTheme="minorEastAsia" w:eastAsiaTheme="minorEastAsia"/>
          <w:b w:val="0"/>
          <w:bCs/>
          <w:color w:val="000000"/>
          <w:sz w:val="24"/>
          <w:szCs w:val="32"/>
        </w:rPr>
        <w:t>完成预算100</w:t>
      </w:r>
      <w:r>
        <w:rPr>
          <w:rStyle w:val="16"/>
          <w:rFonts w:asciiTheme="minorEastAsia" w:hAnsiTheme="minorEastAsia" w:eastAsiaTheme="minorEastAsia"/>
          <w:b w:val="0"/>
          <w:bCs/>
          <w:color w:val="000000"/>
          <w:sz w:val="24"/>
          <w:szCs w:val="32"/>
        </w:rPr>
        <w:t>%</w:t>
      </w:r>
      <w:r>
        <w:rPr>
          <w:rStyle w:val="16"/>
          <w:rFonts w:hint="eastAsia" w:asciiTheme="minorEastAsia" w:hAnsiTheme="minorEastAsia" w:eastAsiaTheme="minorEastAsia"/>
          <w:b w:val="0"/>
          <w:bCs/>
          <w:color w:val="000000"/>
          <w:sz w:val="24"/>
          <w:szCs w:val="32"/>
        </w:rPr>
        <w:t>。</w:t>
      </w:r>
      <w:bookmarkStart w:id="71" w:name="_GoBack"/>
      <w:bookmarkEnd w:id="71"/>
    </w:p>
    <w:p>
      <w:pPr>
        <w:tabs>
          <w:tab w:val="right" w:pos="8306"/>
        </w:tabs>
        <w:spacing w:line="600" w:lineRule="exact"/>
        <w:ind w:firstLine="640"/>
        <w:outlineLvl w:val="1"/>
        <w:rPr>
          <w:rStyle w:val="27"/>
        </w:rPr>
      </w:pPr>
      <w:bookmarkStart w:id="40" w:name="_Toc15396608"/>
      <w:bookmarkStart w:id="41" w:name="_Toc15377214"/>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7"/>
          <w:rFonts w:hint="eastAsia" w:ascii="黑体" w:hAnsi="黑体" w:eastAsia="黑体"/>
          <w:b w:val="0"/>
        </w:rPr>
        <w:t>般公共预算财政拨款基本支出决算情况说明</w:t>
      </w:r>
      <w:bookmarkEnd w:id="40"/>
      <w:bookmarkEnd w:id="41"/>
      <w:r>
        <w:rPr>
          <w:rStyle w:val="27"/>
          <w:rFonts w:ascii="黑体" w:hAnsi="黑体" w:eastAsia="黑体"/>
          <w:b w:val="0"/>
        </w:rPr>
        <w:tab/>
      </w:r>
    </w:p>
    <w:p>
      <w:pPr>
        <w:spacing w:line="600" w:lineRule="exact"/>
        <w:ind w:firstLine="645"/>
        <w:rPr>
          <w:rFonts w:hint="eastAsia" w:asciiTheme="minorEastAsia" w:hAnsiTheme="minorEastAsia" w:eastAsiaTheme="minorEastAsia"/>
          <w:color w:val="000000"/>
          <w:sz w:val="24"/>
          <w:szCs w:val="32"/>
          <w:lang w:eastAsia="zh-CN"/>
        </w:rPr>
      </w:pPr>
      <w:bookmarkStart w:id="42" w:name="_Toc15396609"/>
      <w:bookmarkStart w:id="43" w:name="_Toc15377215"/>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年一般公共预算财政拨款基本支出</w:t>
      </w:r>
      <w:r>
        <w:rPr>
          <w:rFonts w:hint="eastAsia" w:asciiTheme="minorEastAsia" w:hAnsiTheme="minorEastAsia" w:eastAsiaTheme="minorEastAsia"/>
          <w:color w:val="000000"/>
          <w:sz w:val="24"/>
          <w:szCs w:val="32"/>
          <w:lang w:val="en-US" w:eastAsia="zh-CN"/>
        </w:rPr>
        <w:t>737.21</w:t>
      </w:r>
      <w:r>
        <w:rPr>
          <w:rFonts w:hint="eastAsia" w:asciiTheme="minorEastAsia" w:hAnsiTheme="minorEastAsia" w:eastAsiaTheme="minorEastAsia"/>
          <w:color w:val="000000"/>
          <w:sz w:val="24"/>
          <w:szCs w:val="32"/>
        </w:rPr>
        <w:t>万元，其中：人员经费</w:t>
      </w:r>
      <w:r>
        <w:rPr>
          <w:rFonts w:hint="eastAsia" w:asciiTheme="minorEastAsia" w:hAnsiTheme="minorEastAsia" w:eastAsiaTheme="minorEastAsia"/>
          <w:color w:val="000000"/>
          <w:sz w:val="24"/>
          <w:szCs w:val="32"/>
          <w:lang w:val="en-US" w:eastAsia="zh-CN"/>
        </w:rPr>
        <w:t>672.5</w:t>
      </w:r>
      <w:r>
        <w:rPr>
          <w:rFonts w:hint="eastAsia" w:asciiTheme="minorEastAsia" w:hAnsiTheme="minorEastAsia" w:eastAsiaTheme="minorEastAsia"/>
          <w:color w:val="000000"/>
          <w:sz w:val="24"/>
          <w:szCs w:val="32"/>
        </w:rPr>
        <w:t>万元，主要包括：基本工资、津贴补贴、伙食补助费、绩效工资、机关事业单位基本养老、医疗保险缴费、职业年金缴费、其他社会保障缴费、抚恤金、生活补助、奖励金、住房公积金、其他对个人和家庭的补助支出等。</w:t>
      </w:r>
    </w:p>
    <w:p>
      <w:pPr>
        <w:spacing w:line="600" w:lineRule="exact"/>
        <w:ind w:firstLine="645"/>
        <w:rPr>
          <w:rFonts w:asciiTheme="minorEastAsia" w:hAnsiTheme="minorEastAsia" w:eastAsiaTheme="minorEastAsia"/>
          <w:color w:val="000000"/>
          <w:sz w:val="24"/>
          <w:szCs w:val="32"/>
        </w:rPr>
      </w:pPr>
      <w:r>
        <w:rPr>
          <w:rFonts w:hint="eastAsia" w:asciiTheme="minorEastAsia" w:hAnsiTheme="minorEastAsia" w:eastAsiaTheme="minorEastAsia"/>
          <w:color w:val="000000"/>
          <w:sz w:val="24"/>
          <w:szCs w:val="32"/>
        </w:rPr>
        <w:t>日常公用经费</w:t>
      </w:r>
      <w:r>
        <w:rPr>
          <w:rFonts w:hint="eastAsia" w:asciiTheme="minorEastAsia" w:hAnsiTheme="minorEastAsia" w:eastAsiaTheme="minorEastAsia"/>
          <w:color w:val="000000"/>
          <w:sz w:val="24"/>
          <w:szCs w:val="32"/>
          <w:lang w:val="en-US" w:eastAsia="zh-CN"/>
        </w:rPr>
        <w:t>64.71</w:t>
      </w:r>
      <w:r>
        <w:rPr>
          <w:rFonts w:hint="eastAsia" w:asciiTheme="minorEastAsia" w:hAnsiTheme="minorEastAsia" w:eastAsiaTheme="minorEastAsia"/>
          <w:color w:val="000000"/>
          <w:sz w:val="24"/>
          <w:szCs w:val="32"/>
        </w:rPr>
        <w:t>万元，主要包括：办公费、印刷费、水费、电费、邮电费、物业管理费、差旅费、维修（护）费、培训费、劳务费、工会经费、福利费、其他商品和服务支出等。</w:t>
      </w:r>
    </w:p>
    <w:p>
      <w:pPr>
        <w:spacing w:line="600" w:lineRule="exact"/>
        <w:ind w:firstLine="640"/>
        <w:outlineLvl w:val="1"/>
        <w:rPr>
          <w:rStyle w:val="27"/>
          <w:rFonts w:ascii="黑体" w:hAnsi="黑体" w:eastAsia="黑体"/>
          <w:b w:val="0"/>
        </w:rPr>
      </w:pPr>
      <w:r>
        <w:rPr>
          <w:rFonts w:hint="eastAsia" w:ascii="黑体" w:eastAsia="黑体"/>
          <w:sz w:val="32"/>
          <w:szCs w:val="32"/>
        </w:rPr>
        <w:t>七、</w:t>
      </w:r>
      <w:r>
        <w:rPr>
          <w:rStyle w:val="27"/>
          <w:rFonts w:hint="eastAsia" w:ascii="黑体" w:hAnsi="黑体" w:eastAsia="黑体"/>
        </w:rPr>
        <w:t>“</w:t>
      </w:r>
      <w:r>
        <w:rPr>
          <w:rStyle w:val="27"/>
          <w:rFonts w:hint="eastAsia" w:ascii="黑体" w:hAnsi="黑体" w:eastAsia="黑体"/>
          <w:b w:val="0"/>
        </w:rPr>
        <w:t>三公”经费财政拨款支出决算情况说明</w:t>
      </w:r>
      <w:bookmarkEnd w:id="42"/>
      <w:bookmarkEnd w:id="43"/>
    </w:p>
    <w:p>
      <w:pPr>
        <w:spacing w:line="600" w:lineRule="exact"/>
        <w:ind w:firstLine="640"/>
        <w:rPr>
          <w:rFonts w:hint="eastAsia" w:eastAsiaTheme="minorEastAsia"/>
          <w:lang w:val="en-US" w:eastAsia="zh-CN"/>
        </w:rPr>
      </w:pP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年“三公”经费财政拨款支出决算为0万元</w:t>
      </w:r>
      <w:bookmarkStart w:id="44" w:name="_Toc15396610"/>
      <w:bookmarkStart w:id="45" w:name="_Toc15377218"/>
      <w:r>
        <w:rPr>
          <w:rFonts w:hint="eastAsia" w:asciiTheme="minorEastAsia" w:hAnsiTheme="minorEastAsia" w:eastAsiaTheme="minorEastAsia"/>
          <w:color w:val="000000"/>
          <w:sz w:val="24"/>
          <w:szCs w:val="32"/>
          <w:lang w:val="en-US" w:eastAsia="zh-CN"/>
        </w:rPr>
        <w:t>.</w:t>
      </w:r>
    </w:p>
    <w:p>
      <w:pPr>
        <w:spacing w:line="600" w:lineRule="exact"/>
        <w:ind w:firstLine="640"/>
        <w:outlineLvl w:val="1"/>
        <w:rPr>
          <w:rStyle w:val="27"/>
          <w:rFonts w:ascii="黑体" w:hAnsi="黑体" w:eastAsia="黑体"/>
        </w:rPr>
      </w:pPr>
      <w:r>
        <w:rPr>
          <w:rFonts w:hint="eastAsia" w:ascii="黑体" w:eastAsia="黑体"/>
          <w:sz w:val="32"/>
          <w:szCs w:val="32"/>
        </w:rPr>
        <w:t>八、</w:t>
      </w:r>
      <w:r>
        <w:rPr>
          <w:rStyle w:val="27"/>
          <w:rFonts w:hint="eastAsia" w:ascii="黑体" w:hAnsi="黑体" w:eastAsia="黑体"/>
          <w:b w:val="0"/>
        </w:rPr>
        <w:t>政府性基金预算支出决算情况说明</w:t>
      </w:r>
      <w:bookmarkEnd w:id="44"/>
      <w:bookmarkEnd w:id="45"/>
    </w:p>
    <w:p>
      <w:pPr>
        <w:spacing w:line="600" w:lineRule="exact"/>
        <w:ind w:firstLine="960" w:firstLineChars="400"/>
        <w:rPr>
          <w:rFonts w:ascii="仿宋_GB2312" w:eastAsia="仿宋_GB2312"/>
          <w:sz w:val="32"/>
          <w:szCs w:val="32"/>
        </w:rPr>
      </w:pP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年政府性基金预算拨款支出</w:t>
      </w:r>
      <w:r>
        <w:rPr>
          <w:rFonts w:hint="eastAsia" w:asciiTheme="minorEastAsia" w:hAnsiTheme="minorEastAsia" w:eastAsiaTheme="minorEastAsia"/>
          <w:color w:val="000000"/>
          <w:sz w:val="24"/>
          <w:szCs w:val="32"/>
          <w:lang w:val="en-US" w:eastAsia="zh-CN"/>
        </w:rPr>
        <w:t>0</w:t>
      </w:r>
      <w:r>
        <w:rPr>
          <w:rFonts w:hint="eastAsia" w:asciiTheme="minorEastAsia" w:hAnsiTheme="minorEastAsia" w:eastAsiaTheme="minorEastAsia"/>
          <w:color w:val="000000"/>
          <w:sz w:val="24"/>
          <w:szCs w:val="32"/>
        </w:rPr>
        <w:t>万元。</w:t>
      </w:r>
    </w:p>
    <w:p>
      <w:pPr>
        <w:numPr>
          <w:ilvl w:val="0"/>
          <w:numId w:val="3"/>
        </w:numPr>
        <w:spacing w:line="600" w:lineRule="exact"/>
        <w:ind w:firstLine="640"/>
        <w:outlineLvl w:val="1"/>
        <w:rPr>
          <w:rStyle w:val="27"/>
          <w:rFonts w:ascii="黑体" w:hAnsi="黑体" w:eastAsia="黑体"/>
          <w:b w:val="0"/>
        </w:rPr>
      </w:pPr>
      <w:bookmarkStart w:id="46" w:name="_Toc15377219"/>
      <w:bookmarkStart w:id="47" w:name="_Toc15396611"/>
      <w:r>
        <w:rPr>
          <w:rStyle w:val="27"/>
          <w:rFonts w:hint="eastAsia" w:ascii="黑体" w:hAnsi="黑体" w:eastAsia="黑体"/>
          <w:b w:val="0"/>
        </w:rPr>
        <w:t>国有资本经营预算支出决算情况说明</w:t>
      </w:r>
      <w:bookmarkEnd w:id="46"/>
      <w:bookmarkEnd w:id="47"/>
    </w:p>
    <w:p>
      <w:pPr>
        <w:spacing w:line="600" w:lineRule="exact"/>
        <w:ind w:firstLine="840" w:firstLineChars="350"/>
        <w:rPr>
          <w:rFonts w:ascii="方正小标宋简体" w:hAnsi="方正小标宋简体" w:eastAsia="方正小标宋简体" w:cs="方正小标宋简体"/>
          <w:sz w:val="44"/>
          <w:szCs w:val="44"/>
        </w:rPr>
      </w:pP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年国有资本经营预算拨款支出0万元。</w:t>
      </w:r>
    </w:p>
    <w:p>
      <w:pPr>
        <w:numPr>
          <w:ilvl w:val="0"/>
          <w:numId w:val="3"/>
        </w:numPr>
        <w:spacing w:line="600" w:lineRule="exact"/>
        <w:ind w:firstLine="640"/>
        <w:outlineLvl w:val="1"/>
        <w:rPr>
          <w:rStyle w:val="27"/>
          <w:rFonts w:ascii="黑体" w:hAnsi="黑体" w:eastAsia="黑体"/>
          <w:b w:val="0"/>
        </w:rPr>
      </w:pPr>
      <w:bookmarkStart w:id="48" w:name="_Toc15396612"/>
      <w:bookmarkStart w:id="49" w:name="_Toc15377221"/>
      <w:r>
        <w:rPr>
          <w:rStyle w:val="27"/>
          <w:rFonts w:hint="eastAsia" w:ascii="黑体" w:hAnsi="黑体" w:eastAsia="黑体"/>
          <w:b w:val="0"/>
        </w:rPr>
        <w:t>其他重要事项的情况说明</w:t>
      </w:r>
      <w:bookmarkEnd w:id="48"/>
      <w:bookmarkEnd w:id="49"/>
    </w:p>
    <w:p>
      <w:pPr>
        <w:spacing w:line="600" w:lineRule="exact"/>
        <w:ind w:firstLine="482" w:firstLineChars="200"/>
        <w:outlineLvl w:val="2"/>
        <w:rPr>
          <w:rFonts w:asciiTheme="minorEastAsia" w:hAnsiTheme="minorEastAsia" w:eastAsiaTheme="minorEastAsia"/>
          <w:color w:val="000000"/>
          <w:sz w:val="24"/>
          <w:szCs w:val="32"/>
        </w:rPr>
      </w:pPr>
      <w:bookmarkStart w:id="50" w:name="_Toc15377222"/>
      <w:bookmarkStart w:id="51" w:name="_Toc15377225"/>
      <w:bookmarkStart w:id="52" w:name="_Toc15396613"/>
      <w:r>
        <w:rPr>
          <w:rFonts w:hint="eastAsia" w:asciiTheme="minorEastAsia" w:hAnsiTheme="minorEastAsia" w:eastAsiaTheme="minorEastAsia"/>
          <w:b/>
          <w:color w:val="000000"/>
          <w:sz w:val="24"/>
          <w:szCs w:val="32"/>
        </w:rPr>
        <w:t>（一）机关运行经费支出情况</w:t>
      </w:r>
      <w:bookmarkEnd w:id="50"/>
    </w:p>
    <w:p>
      <w:pPr>
        <w:spacing w:line="600" w:lineRule="exact"/>
        <w:ind w:firstLine="480" w:firstLineChars="200"/>
        <w:rPr>
          <w:rFonts w:asciiTheme="minorEastAsia" w:hAnsiTheme="minorEastAsia" w:eastAsiaTheme="minorEastAsia"/>
          <w:color w:val="000000" w:themeColor="text1"/>
          <w:sz w:val="24"/>
          <w:szCs w:val="32"/>
        </w:rPr>
      </w:pP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w:t>
      </w:r>
      <w:r>
        <w:rPr>
          <w:rFonts w:hint="eastAsia" w:asciiTheme="minorEastAsia" w:hAnsiTheme="minorEastAsia" w:eastAsiaTheme="minorEastAsia"/>
          <w:color w:val="000000"/>
          <w:sz w:val="24"/>
          <w:szCs w:val="32"/>
          <w:lang w:val="en-US" w:eastAsia="zh-CN"/>
        </w:rPr>
        <w:t>乐山市市中区童家学校</w:t>
      </w:r>
      <w:r>
        <w:rPr>
          <w:rFonts w:hint="eastAsia" w:asciiTheme="minorEastAsia" w:hAnsiTheme="minorEastAsia" w:eastAsiaTheme="minorEastAsia"/>
          <w:color w:val="000000"/>
          <w:sz w:val="24"/>
          <w:szCs w:val="32"/>
        </w:rPr>
        <w:t>机关运行经费支出0万元，与</w:t>
      </w:r>
      <w:r>
        <w:rPr>
          <w:rFonts w:asciiTheme="minorEastAsia" w:hAnsiTheme="minorEastAsia" w:eastAsiaTheme="minorEastAsia"/>
          <w:color w:val="000000"/>
          <w:sz w:val="24"/>
          <w:szCs w:val="32"/>
        </w:rPr>
        <w:t>20</w:t>
      </w:r>
      <w:r>
        <w:rPr>
          <w:rFonts w:hint="eastAsia" w:asciiTheme="minorEastAsia" w:hAnsiTheme="minorEastAsia" w:eastAsiaTheme="minorEastAsia"/>
          <w:color w:val="000000"/>
          <w:sz w:val="24"/>
          <w:szCs w:val="32"/>
          <w:lang w:val="en-US" w:eastAsia="zh-CN"/>
        </w:rPr>
        <w:t>20</w:t>
      </w:r>
      <w:r>
        <w:rPr>
          <w:rFonts w:hint="eastAsia" w:asciiTheme="minorEastAsia" w:hAnsiTheme="minorEastAsia" w:eastAsiaTheme="minorEastAsia"/>
          <w:color w:val="000000"/>
          <w:sz w:val="24"/>
          <w:szCs w:val="32"/>
        </w:rPr>
        <w:t>年持平 。</w:t>
      </w:r>
    </w:p>
    <w:p>
      <w:pPr>
        <w:autoSpaceDE w:val="0"/>
        <w:autoSpaceDN w:val="0"/>
        <w:adjustRightInd w:val="0"/>
        <w:spacing w:line="600" w:lineRule="exact"/>
        <w:ind w:firstLine="482" w:firstLineChars="200"/>
        <w:jc w:val="left"/>
        <w:outlineLvl w:val="2"/>
        <w:rPr>
          <w:rFonts w:asciiTheme="minorEastAsia" w:hAnsiTheme="minorEastAsia" w:eastAsiaTheme="minorEastAsia"/>
          <w:b/>
          <w:color w:val="000000"/>
          <w:sz w:val="24"/>
          <w:szCs w:val="32"/>
        </w:rPr>
      </w:pPr>
      <w:bookmarkStart w:id="53" w:name="_Toc15377223"/>
      <w:r>
        <w:rPr>
          <w:rFonts w:hint="eastAsia" w:asciiTheme="minorEastAsia" w:hAnsiTheme="minorEastAsia" w:eastAsiaTheme="minorEastAsia"/>
          <w:b/>
          <w:color w:val="000000"/>
          <w:sz w:val="24"/>
          <w:szCs w:val="32"/>
        </w:rPr>
        <w:t>（二）政府采购支出情况</w:t>
      </w:r>
      <w:bookmarkEnd w:id="53"/>
    </w:p>
    <w:p>
      <w:pPr>
        <w:spacing w:line="600" w:lineRule="exact"/>
        <w:ind w:firstLine="480" w:firstLineChars="200"/>
        <w:rPr>
          <w:rFonts w:hint="default" w:asciiTheme="minorEastAsia" w:hAnsiTheme="minorEastAsia" w:eastAsiaTheme="minorEastAsia"/>
          <w:color w:val="000000"/>
          <w:sz w:val="24"/>
          <w:szCs w:val="32"/>
          <w:lang w:val="en-US" w:eastAsia="zh-CN"/>
        </w:rPr>
      </w:pP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年，乐山市市中区童家学校政府采购支出总额</w:t>
      </w:r>
      <w:r>
        <w:rPr>
          <w:rFonts w:hint="eastAsia" w:asciiTheme="minorEastAsia" w:hAnsiTheme="minorEastAsia" w:eastAsiaTheme="minorEastAsia"/>
          <w:color w:val="000000"/>
          <w:sz w:val="24"/>
          <w:szCs w:val="32"/>
          <w:lang w:val="en-US" w:eastAsia="zh-CN"/>
        </w:rPr>
        <w:t>1.1997</w:t>
      </w:r>
      <w:r>
        <w:rPr>
          <w:rFonts w:hint="eastAsia" w:asciiTheme="minorEastAsia" w:hAnsiTheme="minorEastAsia" w:eastAsiaTheme="minorEastAsia"/>
          <w:color w:val="000000"/>
          <w:sz w:val="24"/>
          <w:szCs w:val="32"/>
        </w:rPr>
        <w:t>万元。</w:t>
      </w:r>
      <w:r>
        <w:rPr>
          <w:rFonts w:hint="eastAsia" w:asciiTheme="minorEastAsia" w:hAnsiTheme="minorEastAsia" w:eastAsiaTheme="minorEastAsia"/>
          <w:color w:val="000000"/>
          <w:sz w:val="24"/>
          <w:szCs w:val="32"/>
          <w:lang w:val="en-US" w:eastAsia="zh-CN"/>
        </w:rPr>
        <w:t>其中，政府采购货物支出1.1997万元，用于采购3台空调；</w:t>
      </w:r>
    </w:p>
    <w:p>
      <w:pPr>
        <w:autoSpaceDE w:val="0"/>
        <w:autoSpaceDN w:val="0"/>
        <w:adjustRightInd w:val="0"/>
        <w:spacing w:line="600" w:lineRule="exact"/>
        <w:ind w:firstLine="482" w:firstLineChars="200"/>
        <w:jc w:val="left"/>
        <w:outlineLvl w:val="2"/>
        <w:rPr>
          <w:rFonts w:asciiTheme="minorEastAsia" w:hAnsiTheme="minorEastAsia" w:eastAsiaTheme="minorEastAsia"/>
          <w:b/>
          <w:color w:val="000000"/>
          <w:sz w:val="24"/>
          <w:szCs w:val="32"/>
        </w:rPr>
      </w:pPr>
      <w:bookmarkStart w:id="54" w:name="_Toc15377224"/>
      <w:r>
        <w:rPr>
          <w:rFonts w:hint="eastAsia" w:asciiTheme="minorEastAsia" w:hAnsiTheme="minorEastAsia" w:eastAsiaTheme="minorEastAsia"/>
          <w:b/>
          <w:color w:val="000000"/>
          <w:sz w:val="24"/>
          <w:szCs w:val="32"/>
        </w:rPr>
        <w:t>（三）国有资产占有使用情况</w:t>
      </w:r>
      <w:bookmarkEnd w:id="54"/>
    </w:p>
    <w:p>
      <w:pPr>
        <w:autoSpaceDE w:val="0"/>
        <w:autoSpaceDN w:val="0"/>
        <w:adjustRightInd w:val="0"/>
        <w:spacing w:line="600" w:lineRule="exact"/>
        <w:ind w:firstLine="480" w:firstLineChars="200"/>
        <w:jc w:val="left"/>
        <w:rPr>
          <w:rFonts w:asciiTheme="minorEastAsia" w:hAnsiTheme="minorEastAsia" w:eastAsiaTheme="minorEastAsia"/>
          <w:b/>
          <w:color w:val="FF0000"/>
          <w:sz w:val="24"/>
          <w:szCs w:val="32"/>
        </w:rPr>
      </w:pPr>
      <w:r>
        <w:rPr>
          <w:rFonts w:hint="eastAsia" w:asciiTheme="minorEastAsia" w:hAnsiTheme="minorEastAsia" w:eastAsiaTheme="minorEastAsia"/>
          <w:color w:val="000000"/>
          <w:sz w:val="24"/>
          <w:szCs w:val="32"/>
        </w:rPr>
        <w:t>截至</w:t>
      </w:r>
      <w:r>
        <w:rPr>
          <w:rFonts w:hint="eastAsia" w:asciiTheme="minorEastAsia" w:hAnsiTheme="minorEastAsia" w:eastAsiaTheme="minorEastAsia"/>
          <w:color w:val="000000"/>
          <w:sz w:val="24"/>
          <w:szCs w:val="32"/>
          <w:lang w:eastAsia="zh-CN"/>
        </w:rPr>
        <w:t>2021</w:t>
      </w:r>
      <w:r>
        <w:rPr>
          <w:rFonts w:hint="eastAsia" w:asciiTheme="minorEastAsia" w:hAnsiTheme="minorEastAsia" w:eastAsiaTheme="minorEastAsia"/>
          <w:color w:val="000000"/>
          <w:sz w:val="24"/>
          <w:szCs w:val="32"/>
        </w:rPr>
        <w:t>年</w:t>
      </w:r>
      <w:r>
        <w:rPr>
          <w:rFonts w:asciiTheme="minorEastAsia" w:hAnsiTheme="minorEastAsia" w:eastAsiaTheme="minorEastAsia"/>
          <w:color w:val="000000"/>
          <w:sz w:val="24"/>
          <w:szCs w:val="32"/>
        </w:rPr>
        <w:t>12</w:t>
      </w:r>
      <w:r>
        <w:rPr>
          <w:rFonts w:hint="eastAsia" w:asciiTheme="minorEastAsia" w:hAnsiTheme="minorEastAsia" w:eastAsiaTheme="minorEastAsia"/>
          <w:color w:val="000000"/>
          <w:sz w:val="24"/>
          <w:szCs w:val="32"/>
        </w:rPr>
        <w:t>月</w:t>
      </w:r>
      <w:r>
        <w:rPr>
          <w:rFonts w:asciiTheme="minorEastAsia" w:hAnsiTheme="minorEastAsia" w:eastAsiaTheme="minorEastAsia"/>
          <w:color w:val="000000"/>
          <w:sz w:val="24"/>
          <w:szCs w:val="32"/>
        </w:rPr>
        <w:t>31</w:t>
      </w:r>
      <w:r>
        <w:rPr>
          <w:rFonts w:hint="eastAsia" w:asciiTheme="minorEastAsia" w:hAnsiTheme="minorEastAsia" w:eastAsiaTheme="minorEastAsia"/>
          <w:color w:val="000000"/>
          <w:sz w:val="24"/>
          <w:szCs w:val="32"/>
        </w:rPr>
        <w:t>日，乐山市市中区童家学校共有车辆0辆，</w:t>
      </w:r>
      <w:r>
        <w:rPr>
          <w:rFonts w:hint="eastAsia" w:asciiTheme="minorEastAsia" w:hAnsiTheme="minorEastAsia" w:eastAsiaTheme="minorEastAsia"/>
          <w:color w:val="000000" w:themeColor="text1"/>
          <w:sz w:val="24"/>
          <w:szCs w:val="32"/>
        </w:rPr>
        <w:t>单价</w:t>
      </w:r>
      <w:r>
        <w:rPr>
          <w:rFonts w:asciiTheme="minorEastAsia" w:hAnsiTheme="minorEastAsia" w:eastAsiaTheme="minorEastAsia"/>
          <w:color w:val="000000" w:themeColor="text1"/>
          <w:sz w:val="24"/>
          <w:szCs w:val="32"/>
        </w:rPr>
        <w:t>50</w:t>
      </w:r>
      <w:r>
        <w:rPr>
          <w:rFonts w:hint="eastAsia" w:asciiTheme="minorEastAsia" w:hAnsiTheme="minorEastAsia" w:eastAsiaTheme="minorEastAsia"/>
          <w:color w:val="000000" w:themeColor="text1"/>
          <w:sz w:val="24"/>
          <w:szCs w:val="32"/>
        </w:rPr>
        <w:t>万元以上通用设备0台（套），单价</w:t>
      </w:r>
      <w:r>
        <w:rPr>
          <w:rFonts w:asciiTheme="minorEastAsia" w:hAnsiTheme="minorEastAsia" w:eastAsiaTheme="minorEastAsia"/>
          <w:color w:val="000000" w:themeColor="text1"/>
          <w:sz w:val="24"/>
          <w:szCs w:val="32"/>
        </w:rPr>
        <w:t>100</w:t>
      </w:r>
      <w:r>
        <w:rPr>
          <w:rFonts w:hint="eastAsia" w:asciiTheme="minorEastAsia" w:hAnsiTheme="minorEastAsia" w:eastAsiaTheme="minorEastAsia"/>
          <w:color w:val="000000"/>
          <w:sz w:val="24"/>
          <w:szCs w:val="32"/>
        </w:rPr>
        <w:t>万元以上专用设备0台（套）。</w:t>
      </w:r>
    </w:p>
    <w:p>
      <w:pPr>
        <w:autoSpaceDE w:val="0"/>
        <w:autoSpaceDN w:val="0"/>
        <w:adjustRightInd w:val="0"/>
        <w:spacing w:line="600" w:lineRule="exact"/>
        <w:ind w:firstLine="482" w:firstLineChars="200"/>
        <w:jc w:val="left"/>
        <w:outlineLvl w:val="2"/>
        <w:rPr>
          <w:rFonts w:asciiTheme="minorEastAsia" w:hAnsiTheme="minorEastAsia" w:eastAsiaTheme="minorEastAsia"/>
          <w:b/>
          <w:color w:val="000000"/>
          <w:sz w:val="24"/>
          <w:szCs w:val="32"/>
        </w:rPr>
      </w:pPr>
      <w:r>
        <w:rPr>
          <w:rFonts w:hint="eastAsia" w:asciiTheme="minorEastAsia" w:hAnsiTheme="minorEastAsia" w:eastAsiaTheme="minorEastAsia"/>
          <w:b/>
          <w:color w:val="000000"/>
          <w:sz w:val="24"/>
          <w:szCs w:val="32"/>
        </w:rPr>
        <w:t>（四）预算绩效管理情况。</w:t>
      </w:r>
    </w:p>
    <w:p>
      <w:pPr>
        <w:spacing w:line="580" w:lineRule="exact"/>
        <w:ind w:firstLine="480" w:firstLineChars="200"/>
        <w:rPr>
          <w:rFonts w:cs="仿宋_GB2312" w:asciiTheme="minorEastAsia" w:hAnsiTheme="minorEastAsia" w:eastAsiaTheme="minorEastAsia"/>
          <w:sz w:val="24"/>
          <w:szCs w:val="32"/>
        </w:rPr>
      </w:pPr>
      <w:r>
        <w:rPr>
          <w:rFonts w:hint="eastAsia" w:cs="仿宋_GB2312" w:asciiTheme="minorEastAsia" w:hAnsiTheme="minorEastAsia" w:eastAsiaTheme="minorEastAsia"/>
          <w:sz w:val="24"/>
          <w:szCs w:val="32"/>
        </w:rPr>
        <w:t>根据预算绩效管理要求，本单位在年初预算编制阶段，按照财政部门预算绩效管理工作部署，</w:t>
      </w:r>
      <w:r>
        <w:rPr>
          <w:rFonts w:hint="eastAsia" w:cs="仿宋_GB2312" w:asciiTheme="minorEastAsia" w:hAnsiTheme="minorEastAsia" w:eastAsiaTheme="minorEastAsia"/>
          <w:sz w:val="24"/>
          <w:szCs w:val="32"/>
          <w:lang w:eastAsia="zh-CN"/>
        </w:rPr>
        <w:t>2021</w:t>
      </w:r>
      <w:r>
        <w:rPr>
          <w:rFonts w:hint="eastAsia" w:cs="仿宋_GB2312" w:asciiTheme="minorEastAsia" w:hAnsiTheme="minorEastAsia" w:eastAsiaTheme="minorEastAsia"/>
          <w:sz w:val="24"/>
          <w:szCs w:val="32"/>
        </w:rPr>
        <w:t>年我单位推行部门整体，涉及一般公共预算拨款</w:t>
      </w:r>
      <w:r>
        <w:rPr>
          <w:rFonts w:hint="eastAsia" w:cs="仿宋_GB2312" w:asciiTheme="minorEastAsia" w:hAnsiTheme="minorEastAsia" w:eastAsiaTheme="minorEastAsia"/>
          <w:sz w:val="24"/>
          <w:szCs w:val="32"/>
          <w:lang w:val="en-US" w:eastAsia="zh-CN"/>
        </w:rPr>
        <w:t>800.55</w:t>
      </w:r>
      <w:r>
        <w:rPr>
          <w:rFonts w:hint="eastAsia" w:cs="仿宋_GB2312" w:asciiTheme="minorEastAsia" w:hAnsiTheme="minorEastAsia" w:eastAsiaTheme="minorEastAsia"/>
          <w:sz w:val="24"/>
          <w:szCs w:val="32"/>
        </w:rPr>
        <w:t>万元。</w:t>
      </w:r>
    </w:p>
    <w:p>
      <w:pPr>
        <w:spacing w:line="580" w:lineRule="exact"/>
        <w:ind w:firstLine="480" w:firstLineChars="200"/>
        <w:rPr>
          <w:rFonts w:cs="仿宋_GB2312" w:asciiTheme="minorEastAsia" w:hAnsiTheme="minorEastAsia" w:eastAsiaTheme="minorEastAsia"/>
          <w:sz w:val="24"/>
          <w:szCs w:val="32"/>
        </w:rPr>
      </w:pPr>
      <w:r>
        <w:rPr>
          <w:rFonts w:hint="eastAsia" w:cs="楷体_GB2312" w:asciiTheme="minorEastAsia" w:hAnsiTheme="minorEastAsia" w:eastAsiaTheme="minorEastAsia"/>
          <w:sz w:val="24"/>
          <w:szCs w:val="32"/>
        </w:rPr>
        <w:t>1.绩效目标完成情况。</w:t>
      </w:r>
    </w:p>
    <w:p>
      <w:pPr>
        <w:spacing w:line="580" w:lineRule="exact"/>
        <w:ind w:firstLine="480" w:firstLineChars="200"/>
        <w:rPr>
          <w:rFonts w:cs="仿宋_GB2312" w:asciiTheme="minorEastAsia" w:hAnsiTheme="minorEastAsia" w:eastAsiaTheme="minorEastAsia"/>
          <w:sz w:val="24"/>
          <w:szCs w:val="32"/>
        </w:rPr>
      </w:pPr>
      <w:r>
        <w:rPr>
          <w:rFonts w:hint="eastAsia" w:cs="仿宋_GB2312" w:asciiTheme="minorEastAsia" w:hAnsiTheme="minorEastAsia" w:eastAsiaTheme="minorEastAsia"/>
          <w:sz w:val="24"/>
          <w:szCs w:val="32"/>
        </w:rPr>
        <w:t>本部门按要求对</w:t>
      </w:r>
      <w:r>
        <w:rPr>
          <w:rFonts w:hint="eastAsia" w:cs="仿宋_GB2312" w:asciiTheme="minorEastAsia" w:hAnsiTheme="minorEastAsia" w:eastAsiaTheme="minorEastAsia"/>
          <w:sz w:val="24"/>
          <w:szCs w:val="32"/>
          <w:lang w:eastAsia="zh-CN"/>
        </w:rPr>
        <w:t>2021</w:t>
      </w:r>
      <w:r>
        <w:rPr>
          <w:rFonts w:hint="eastAsia" w:cs="仿宋_GB2312" w:asciiTheme="minorEastAsia" w:hAnsiTheme="minorEastAsia" w:eastAsiaTheme="minorEastAsia"/>
          <w:sz w:val="24"/>
          <w:szCs w:val="32"/>
        </w:rPr>
        <w:t>年部门整体支出开展绩效自评，从评价情况来看：完成任务占计划比例100%；重点完成任务率100%；工作合格率100%；服务对象满意度达到97%以上；主管部门满意度达到95%以上。本部门在</w:t>
      </w:r>
      <w:r>
        <w:rPr>
          <w:rFonts w:hint="eastAsia" w:cs="仿宋_GB2312" w:asciiTheme="minorEastAsia" w:hAnsiTheme="minorEastAsia" w:eastAsiaTheme="minorEastAsia"/>
          <w:sz w:val="24"/>
          <w:szCs w:val="32"/>
          <w:lang w:eastAsia="zh-CN"/>
        </w:rPr>
        <w:t>2021</w:t>
      </w:r>
      <w:r>
        <w:rPr>
          <w:rFonts w:hint="eastAsia" w:cs="仿宋_GB2312" w:asciiTheme="minorEastAsia" w:hAnsiTheme="minorEastAsia" w:eastAsiaTheme="minorEastAsia"/>
          <w:sz w:val="24"/>
          <w:szCs w:val="32"/>
        </w:rPr>
        <w:t>年度部门决算中反映“基本支出</w:t>
      </w:r>
      <w:r>
        <w:rPr>
          <w:rFonts w:cs="仿宋_GB2312" w:asciiTheme="minorEastAsia" w:hAnsiTheme="minorEastAsia" w:eastAsiaTheme="minorEastAsia"/>
          <w:sz w:val="24"/>
          <w:szCs w:val="32"/>
        </w:rPr>
        <w:t>”</w:t>
      </w:r>
      <w:r>
        <w:rPr>
          <w:rFonts w:hint="eastAsia" w:cs="仿宋_GB2312" w:asciiTheme="minorEastAsia" w:hAnsiTheme="minorEastAsia" w:eastAsiaTheme="minorEastAsia"/>
          <w:sz w:val="24"/>
          <w:szCs w:val="32"/>
        </w:rPr>
        <w:t>、“教育公用经费</w:t>
      </w:r>
      <w:r>
        <w:rPr>
          <w:rFonts w:cs="仿宋_GB2312" w:asciiTheme="minorEastAsia" w:hAnsiTheme="minorEastAsia" w:eastAsiaTheme="minorEastAsia"/>
          <w:sz w:val="24"/>
          <w:szCs w:val="32"/>
        </w:rPr>
        <w:t>”</w:t>
      </w:r>
      <w:r>
        <w:rPr>
          <w:rFonts w:hint="eastAsia" w:cs="仿宋_GB2312" w:asciiTheme="minorEastAsia" w:hAnsiTheme="minorEastAsia" w:eastAsiaTheme="minorEastAsia"/>
          <w:sz w:val="24"/>
          <w:szCs w:val="32"/>
        </w:rPr>
        <w:t>、“基本运转经费”3个项目绩效目标实际完成率100%。</w:t>
      </w:r>
    </w:p>
    <w:p>
      <w:pPr>
        <w:spacing w:line="580" w:lineRule="exact"/>
        <w:ind w:left="630"/>
        <w:rPr>
          <w:rFonts w:cs="仿宋_GB2312" w:asciiTheme="minorEastAsia" w:hAnsiTheme="minorEastAsia" w:eastAsiaTheme="minorEastAsia"/>
          <w:sz w:val="24"/>
          <w:szCs w:val="32"/>
        </w:rPr>
      </w:pPr>
      <w:r>
        <w:rPr>
          <w:rFonts w:hint="eastAsia" w:cs="楷体_GB2312" w:asciiTheme="minorEastAsia" w:hAnsiTheme="minorEastAsia" w:eastAsiaTheme="minorEastAsia"/>
          <w:sz w:val="24"/>
          <w:szCs w:val="32"/>
        </w:rPr>
        <w:t>2.部门绩效评价结果。</w:t>
      </w:r>
    </w:p>
    <w:p>
      <w:pPr>
        <w:spacing w:line="580" w:lineRule="exact"/>
        <w:ind w:firstLine="480" w:firstLineChars="200"/>
        <w:rPr>
          <w:rFonts w:asciiTheme="minorEastAsia" w:hAnsiTheme="minorEastAsia" w:eastAsiaTheme="minorEastAsia"/>
          <w:b/>
          <w:color w:val="000000"/>
          <w:sz w:val="24"/>
          <w:szCs w:val="32"/>
        </w:rPr>
      </w:pPr>
      <w:r>
        <w:rPr>
          <w:rFonts w:hint="eastAsia" w:cs="仿宋_GB2312" w:asciiTheme="minorEastAsia" w:hAnsiTheme="minorEastAsia" w:eastAsiaTheme="minorEastAsia"/>
          <w:sz w:val="24"/>
          <w:szCs w:val="32"/>
        </w:rPr>
        <w:t>本部门按要求对</w:t>
      </w:r>
      <w:r>
        <w:rPr>
          <w:rFonts w:hint="eastAsia" w:cs="仿宋_GB2312" w:asciiTheme="minorEastAsia" w:hAnsiTheme="minorEastAsia" w:eastAsiaTheme="minorEastAsia"/>
          <w:sz w:val="24"/>
          <w:szCs w:val="32"/>
          <w:lang w:eastAsia="zh-CN"/>
        </w:rPr>
        <w:t>2021</w:t>
      </w:r>
      <w:r>
        <w:rPr>
          <w:rFonts w:hint="eastAsia" w:cs="仿宋_GB2312" w:asciiTheme="minorEastAsia" w:hAnsiTheme="minorEastAsia" w:eastAsiaTheme="minorEastAsia"/>
          <w:sz w:val="24"/>
          <w:szCs w:val="32"/>
        </w:rPr>
        <w:t>年部门整体支出绩效评价情况开展自评，我校在</w:t>
      </w:r>
      <w:r>
        <w:rPr>
          <w:rFonts w:hint="eastAsia" w:cs="仿宋_GB2312" w:asciiTheme="minorEastAsia" w:hAnsiTheme="minorEastAsia" w:eastAsiaTheme="minorEastAsia"/>
          <w:sz w:val="24"/>
          <w:szCs w:val="32"/>
          <w:lang w:eastAsia="zh-CN"/>
        </w:rPr>
        <w:t>2021</w:t>
      </w:r>
      <w:r>
        <w:rPr>
          <w:rFonts w:hint="eastAsia" w:cs="仿宋_GB2312" w:asciiTheme="minorEastAsia" w:hAnsiTheme="minorEastAsia" w:eastAsiaTheme="minorEastAsia"/>
          <w:sz w:val="24"/>
          <w:szCs w:val="32"/>
        </w:rPr>
        <w:t>年整体支出中严格经费支出，做到了合理规范，无违纪违规操作，整体情况好。《乐山市市中区童家学校部门</w:t>
      </w:r>
      <w:r>
        <w:rPr>
          <w:rFonts w:hint="eastAsia" w:cs="仿宋_GB2312" w:asciiTheme="minorEastAsia" w:hAnsiTheme="minorEastAsia" w:eastAsiaTheme="minorEastAsia"/>
          <w:sz w:val="24"/>
          <w:szCs w:val="32"/>
          <w:lang w:eastAsia="zh-CN"/>
        </w:rPr>
        <w:t>2021</w:t>
      </w:r>
      <w:r>
        <w:rPr>
          <w:rFonts w:hint="eastAsia" w:cs="仿宋_GB2312" w:asciiTheme="minorEastAsia" w:hAnsiTheme="minorEastAsia" w:eastAsiaTheme="minorEastAsia"/>
          <w:sz w:val="24"/>
          <w:szCs w:val="32"/>
        </w:rPr>
        <w:t>年部门整体支出绩效评价报告》见附件（附件1）。</w:t>
      </w:r>
    </w:p>
    <w:p>
      <w:pPr>
        <w:numPr>
          <w:ilvl w:val="0"/>
          <w:numId w:val="4"/>
        </w:numPr>
        <w:spacing w:line="600" w:lineRule="exact"/>
        <w:ind w:firstLine="660" w:firstLineChars="150"/>
        <w:jc w:val="center"/>
        <w:outlineLvl w:val="0"/>
        <w:rPr>
          <w:rFonts w:ascii="宋体"/>
          <w:b/>
          <w:sz w:val="44"/>
          <w:szCs w:val="44"/>
        </w:rPr>
      </w:pPr>
      <w:r>
        <w:rPr>
          <w:rFonts w:hint="eastAsia" w:ascii="黑体" w:hAnsi="黑体" w:eastAsia="黑体"/>
          <w:sz w:val="44"/>
          <w:szCs w:val="44"/>
        </w:rPr>
        <w:t>名</w:t>
      </w:r>
      <w:r>
        <w:rPr>
          <w:rStyle w:val="26"/>
          <w:rFonts w:hint="eastAsia" w:ascii="黑体" w:hAnsi="黑体" w:eastAsia="黑体"/>
          <w:b w:val="0"/>
        </w:rPr>
        <w:t>词解释</w:t>
      </w:r>
      <w:bookmarkEnd w:id="51"/>
      <w:bookmarkEnd w:id="52"/>
    </w:p>
    <w:p>
      <w:pPr>
        <w:pStyle w:val="24"/>
        <w:spacing w:line="500" w:lineRule="exact"/>
        <w:ind w:firstLine="640" w:firstLineChars="200"/>
        <w:rPr>
          <w:rFonts w:ascii="仿宋_GB2312" w:eastAsia="仿宋_GB2312"/>
          <w:sz w:val="32"/>
          <w:szCs w:val="32"/>
        </w:rPr>
      </w:pPr>
      <w:bookmarkStart w:id="55" w:name="_Toc15396614"/>
      <w:bookmarkStart w:id="56" w:name="_Toc15377226"/>
      <w:r>
        <w:rPr>
          <w:rFonts w:ascii="仿宋_GB2312" w:eastAsia="仿宋_GB2312"/>
          <w:sz w:val="32"/>
          <w:szCs w:val="32"/>
        </w:rPr>
        <w:t>1.</w:t>
      </w:r>
      <w:r>
        <w:rPr>
          <w:rFonts w:hint="eastAsia" w:ascii="仿宋_GB2312" w:eastAsia="仿宋_GB2312"/>
          <w:sz w:val="32"/>
          <w:szCs w:val="32"/>
        </w:rPr>
        <w:t>财政拨款收入：指单位从同级财政部门取得的财政预算资金。</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2.</w:t>
      </w:r>
      <w:r>
        <w:rPr>
          <w:rFonts w:hint="eastAsia" w:ascii="仿宋_GB2312" w:eastAsia="仿宋_GB2312"/>
          <w:sz w:val="32"/>
          <w:szCs w:val="32"/>
        </w:rPr>
        <w:t>事业收入：指事业单位开展专业业务活动及辅助活动取得的收入。</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3.</w:t>
      </w:r>
      <w:r>
        <w:rPr>
          <w:rFonts w:hint="eastAsia" w:ascii="仿宋_GB2312" w:eastAsia="仿宋_GB2312"/>
          <w:sz w:val="32"/>
          <w:szCs w:val="32"/>
        </w:rPr>
        <w:t>经营收入：指事业单位在专业业务活动及其辅助活动之外开展非独立核算经营活动取得的收入。</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4.</w:t>
      </w:r>
      <w:r>
        <w:rPr>
          <w:rFonts w:hint="eastAsia" w:ascii="仿宋_GB2312" w:eastAsia="仿宋_GB2312"/>
          <w:sz w:val="32"/>
          <w:szCs w:val="32"/>
        </w:rPr>
        <w:t>其他收入：指单位取得的除上述收入以外的各项收入。</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5.</w:t>
      </w:r>
      <w:r>
        <w:rPr>
          <w:rFonts w:hint="eastAsia" w:ascii="仿宋_GB2312" w:eastAsia="仿宋_GB2312"/>
          <w:sz w:val="32"/>
          <w:szCs w:val="32"/>
        </w:rPr>
        <w:t>使用非财政拨款结余：指事业单位使用以前年度积累的非财政拨款结余弥补当年收支差额的金额。</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6.</w:t>
      </w:r>
      <w:r>
        <w:rPr>
          <w:rFonts w:hint="eastAsia" w:ascii="仿宋_GB2312" w:eastAsia="仿宋_GB2312"/>
          <w:sz w:val="32"/>
          <w:szCs w:val="32"/>
        </w:rPr>
        <w:t>年初结转和结余：指以前年度尚未完成、结转到本年按有关规定继续使用的资金。</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7.</w:t>
      </w:r>
      <w:r>
        <w:rPr>
          <w:rFonts w:hint="eastAsia" w:ascii="仿宋_GB2312" w:eastAsia="仿宋_GB2312"/>
          <w:sz w:val="32"/>
          <w:szCs w:val="32"/>
        </w:rPr>
        <w:t>结余分配：指事业单位按照会计制度规定缴纳的所得税、提取的专用结余以及转入非财政拨款结余的金额等。</w:t>
      </w:r>
    </w:p>
    <w:p>
      <w:pPr>
        <w:pStyle w:val="24"/>
        <w:spacing w:line="500" w:lineRule="exact"/>
        <w:ind w:firstLine="640" w:firstLineChars="200"/>
        <w:rPr>
          <w:rFonts w:ascii="仿宋_GB2312" w:eastAsia="仿宋_GB2312"/>
          <w:sz w:val="32"/>
          <w:szCs w:val="32"/>
        </w:rPr>
      </w:pPr>
      <w:r>
        <w:rPr>
          <w:rFonts w:ascii="仿宋_GB2312" w:eastAsia="仿宋_GB2312"/>
          <w:sz w:val="32"/>
          <w:szCs w:val="32"/>
        </w:rPr>
        <w:t>8</w:t>
      </w:r>
      <w:r>
        <w:rPr>
          <w:rFonts w:hint="eastAsia" w:ascii="仿宋_GB2312" w:eastAsia="仿宋_GB2312"/>
          <w:sz w:val="32"/>
          <w:szCs w:val="32"/>
        </w:rPr>
        <w:t>、年末结转和结余：指单位按有关规定结转到下年或以后年度继续使用的资金。</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9.社会保障和就业（类）行政事业单位养老（款）行政单位离退休（项）：指实行归口管理的行政单位（包括实行公务员管理的事业单位）开支的离退休支出。</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10.社会保障和就业（类）行政事业单位养老（款）事业单位离退休（项）：指事业单位开支的离退休支出。</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11.社会保障和就业（类）行政事业单位养老（款）机关事业单位基本养老保险缴费（项）：指机关事业单位实施养老保险制度由单位实际缴纳的基本养老保险费支出。</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12.社会保障和就业（类）行政事业单位养老（款）机关事业单位职业年金缴费（项）：指机关事业单位实施养老保险制度由单位实际缴纳的职业年金支出。</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13.社会保障和就业（类）行政事业单位养老（款）其他行政事业单位养老（项）：指除上述其他用于行政事业单位养老方面的支出。</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14.社会保障和就业（类）抚恤（款）死亡抚恤（项）：指规定用于烈士和牺牲、病故人员家属的一次性和定期抚恤金以及丧葬补助费。</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15.社会保障和就业（类）残疾人事业（款）其他残疾人事业（项）：指除上述项目以外其他用于残疾人事业方面的支出。</w:t>
      </w:r>
    </w:p>
    <w:p>
      <w:pPr>
        <w:spacing w:line="500" w:lineRule="exact"/>
        <w:ind w:firstLine="566" w:firstLineChars="177"/>
        <w:rPr>
          <w:rFonts w:ascii="仿宋_GB2312" w:eastAsia="仿宋_GB2312"/>
          <w:color w:val="000000"/>
          <w:sz w:val="32"/>
          <w:szCs w:val="32"/>
        </w:rPr>
      </w:pPr>
      <w:r>
        <w:rPr>
          <w:rFonts w:hint="eastAsia" w:ascii="仿宋_GB2312" w:eastAsia="仿宋_GB2312"/>
          <w:color w:val="000000"/>
          <w:sz w:val="32"/>
          <w:szCs w:val="32"/>
        </w:rPr>
        <w:t>16.社会保障和就业（类）其他社会保障和就业（款）其他社会保障和就业（项）：指除上述项目以外其他用于社会保障和就业方面的支出。</w:t>
      </w:r>
    </w:p>
    <w:p>
      <w:pPr>
        <w:spacing w:line="500" w:lineRule="exact"/>
        <w:ind w:firstLine="640" w:firstLineChars="200"/>
        <w:rPr>
          <w:rFonts w:ascii="仿宋_GB2312" w:eastAsia="仿宋_GB2312"/>
          <w:color w:val="000000"/>
          <w:sz w:val="32"/>
          <w:szCs w:val="32"/>
        </w:rPr>
      </w:pPr>
      <w:r>
        <w:rPr>
          <w:rFonts w:hint="eastAsia" w:ascii="仿宋_GB2312" w:eastAsia="仿宋_GB2312"/>
          <w:color w:val="000000"/>
          <w:sz w:val="32"/>
          <w:szCs w:val="32"/>
        </w:rPr>
        <w:t>17.卫生健康（类）行政事业单位医疗（款）行政单位医疗（项）：指财政部门集中安排的行政单位基本医疗保险缴费经费，未参加医疗保险的行政单位的公费医疗经费，按国家规定享受离休人员、红军老战士待遇的医疗经费。</w:t>
      </w:r>
    </w:p>
    <w:p>
      <w:pPr>
        <w:spacing w:line="500" w:lineRule="exact"/>
        <w:ind w:firstLine="640" w:firstLineChars="200"/>
        <w:rPr>
          <w:rFonts w:ascii="仿宋_GB2312" w:eastAsia="仿宋_GB2312"/>
          <w:color w:val="000000"/>
          <w:sz w:val="32"/>
          <w:szCs w:val="32"/>
        </w:rPr>
      </w:pPr>
      <w:r>
        <w:rPr>
          <w:rFonts w:hint="eastAsia" w:ascii="仿宋_GB2312" w:eastAsia="仿宋_GB2312"/>
          <w:color w:val="000000"/>
          <w:sz w:val="32"/>
          <w:szCs w:val="32"/>
        </w:rPr>
        <w:t>18.卫生健康（类）行政事业单位医疗（款）事业单位医疗（项）：指财政部门集中安排的事业单位基本医疗保险缴费经费，未参加医疗保险的事业单位的公费医疗经费，按国家规定享受离休人员待遇人员的医疗经费。</w:t>
      </w:r>
    </w:p>
    <w:p>
      <w:pPr>
        <w:spacing w:line="500" w:lineRule="exact"/>
        <w:ind w:firstLine="640" w:firstLineChars="200"/>
        <w:rPr>
          <w:rFonts w:ascii="仿宋_GB2312" w:eastAsia="仿宋_GB2312"/>
          <w:color w:val="000000"/>
          <w:sz w:val="32"/>
          <w:szCs w:val="32"/>
        </w:rPr>
      </w:pPr>
      <w:r>
        <w:rPr>
          <w:rFonts w:hint="eastAsia" w:ascii="仿宋_GB2312" w:eastAsia="仿宋_GB2312"/>
          <w:color w:val="000000"/>
          <w:sz w:val="32"/>
          <w:szCs w:val="32"/>
        </w:rPr>
        <w:t>19.住房保障（类）住房改革（款）住房公积金（项）：指行政事业单位按人力资源和社会保障部、财政部规定的基本工资和津贴补贴以及规定比例为职工缴纳的住房公积金。</w:t>
      </w:r>
    </w:p>
    <w:p>
      <w:pPr>
        <w:spacing w:line="500" w:lineRule="exact"/>
        <w:ind w:firstLine="640" w:firstLineChars="200"/>
        <w:rPr>
          <w:rFonts w:ascii="仿宋_GB2312" w:eastAsia="仿宋_GB2312"/>
          <w:color w:val="000000"/>
          <w:sz w:val="32"/>
          <w:szCs w:val="32"/>
        </w:rPr>
      </w:pPr>
      <w:r>
        <w:rPr>
          <w:rFonts w:ascii="仿宋_GB2312" w:eastAsia="仿宋_GB2312"/>
          <w:color w:val="000000"/>
          <w:sz w:val="32"/>
          <w:szCs w:val="32"/>
        </w:rPr>
        <w:t>2</w:t>
      </w:r>
      <w:r>
        <w:rPr>
          <w:rFonts w:hint="eastAsia" w:ascii="仿宋_GB2312" w:eastAsia="仿宋_GB2312"/>
          <w:color w:val="000000"/>
          <w:sz w:val="32"/>
          <w:szCs w:val="32"/>
        </w:rPr>
        <w:t>0</w:t>
      </w:r>
      <w:r>
        <w:rPr>
          <w:rFonts w:ascii="仿宋_GB2312" w:eastAsia="仿宋_GB2312"/>
          <w:color w:val="000000"/>
          <w:sz w:val="32"/>
          <w:szCs w:val="32"/>
        </w:rPr>
        <w:t>.</w:t>
      </w:r>
      <w:r>
        <w:rPr>
          <w:rFonts w:hint="eastAsia" w:ascii="仿宋_GB2312" w:eastAsia="仿宋_GB2312"/>
          <w:color w:val="000000"/>
          <w:sz w:val="32"/>
          <w:szCs w:val="32"/>
        </w:rPr>
        <w:t>基本支出：指为保障机构正常运转、完成日常工作任务而发生的人员支出和公用支出。</w:t>
      </w:r>
    </w:p>
    <w:p>
      <w:pPr>
        <w:spacing w:line="500" w:lineRule="exact"/>
        <w:ind w:firstLine="640" w:firstLineChars="200"/>
        <w:rPr>
          <w:rFonts w:ascii="仿宋_GB2312" w:eastAsia="仿宋_GB2312"/>
          <w:color w:val="000000"/>
          <w:sz w:val="32"/>
          <w:szCs w:val="32"/>
        </w:rPr>
      </w:pPr>
      <w:r>
        <w:rPr>
          <w:rFonts w:ascii="仿宋_GB2312" w:eastAsia="仿宋_GB2312"/>
          <w:color w:val="000000"/>
          <w:sz w:val="32"/>
          <w:szCs w:val="32"/>
        </w:rPr>
        <w:t>2</w:t>
      </w:r>
      <w:r>
        <w:rPr>
          <w:rFonts w:hint="eastAsia" w:ascii="仿宋_GB2312" w:eastAsia="仿宋_GB2312"/>
          <w:color w:val="000000"/>
          <w:sz w:val="32"/>
          <w:szCs w:val="32"/>
        </w:rPr>
        <w:t>1</w:t>
      </w:r>
      <w:r>
        <w:rPr>
          <w:rFonts w:ascii="仿宋_GB2312" w:eastAsia="仿宋_GB2312"/>
          <w:color w:val="000000"/>
          <w:sz w:val="32"/>
          <w:szCs w:val="32"/>
        </w:rPr>
        <w:t>.</w:t>
      </w:r>
      <w:r>
        <w:rPr>
          <w:rFonts w:hint="eastAsia" w:ascii="仿宋_GB2312" w:eastAsia="仿宋_GB2312"/>
          <w:color w:val="000000"/>
          <w:sz w:val="32"/>
          <w:szCs w:val="32"/>
        </w:rPr>
        <w:t>项目支出：指在基本支出之外为完成特定行政任务和事业发展目标所发生的支出。</w:t>
      </w:r>
    </w:p>
    <w:p>
      <w:pPr>
        <w:spacing w:line="500" w:lineRule="exact"/>
        <w:ind w:firstLine="640" w:firstLineChars="200"/>
        <w:rPr>
          <w:rFonts w:ascii="仿宋_GB2312" w:eastAsia="仿宋_GB2312"/>
          <w:color w:val="000000"/>
          <w:sz w:val="32"/>
          <w:szCs w:val="32"/>
        </w:rPr>
      </w:pPr>
      <w:r>
        <w:rPr>
          <w:rFonts w:ascii="仿宋_GB2312" w:eastAsia="仿宋_GB2312"/>
          <w:color w:val="000000"/>
          <w:sz w:val="32"/>
          <w:szCs w:val="32"/>
        </w:rPr>
        <w:t>2</w:t>
      </w:r>
      <w:r>
        <w:rPr>
          <w:rFonts w:hint="eastAsia" w:ascii="仿宋_GB2312" w:eastAsia="仿宋_GB2312"/>
          <w:color w:val="000000"/>
          <w:sz w:val="32"/>
          <w:szCs w:val="32"/>
        </w:rPr>
        <w:t>2</w:t>
      </w:r>
      <w:r>
        <w:rPr>
          <w:rFonts w:ascii="仿宋_GB2312" w:eastAsia="仿宋_GB2312"/>
          <w:color w:val="000000"/>
          <w:sz w:val="32"/>
          <w:szCs w:val="32"/>
        </w:rPr>
        <w:t>.</w:t>
      </w:r>
      <w:r>
        <w:rPr>
          <w:rFonts w:hint="eastAsia" w:ascii="仿宋_GB2312" w:eastAsia="仿宋_GB2312"/>
          <w:color w:val="000000"/>
          <w:sz w:val="32"/>
          <w:szCs w:val="32"/>
        </w:rPr>
        <w:t>经营支出：指事业单位在专业业务活动及其辅助活动之外开展非独立核算经营活动发生的支出。</w:t>
      </w:r>
    </w:p>
    <w:p>
      <w:pPr>
        <w:pStyle w:val="24"/>
        <w:spacing w:line="500" w:lineRule="exact"/>
        <w:ind w:firstLine="640" w:firstLineChars="200"/>
        <w:rPr>
          <w:rFonts w:ascii="仿宋_GB2312" w:eastAsia="仿宋_GB2312"/>
          <w:sz w:val="32"/>
          <w:szCs w:val="32"/>
        </w:rPr>
      </w:pPr>
      <w:r>
        <w:rPr>
          <w:rFonts w:hint="eastAsia" w:ascii="仿宋_GB2312" w:eastAsia="仿宋_GB2312"/>
          <w:sz w:val="32"/>
          <w:szCs w:val="32"/>
        </w:rPr>
        <w:t>23</w:t>
      </w:r>
      <w:r>
        <w:rPr>
          <w:rFonts w:ascii="仿宋_GB2312" w:eastAsia="仿宋_GB2312"/>
          <w:sz w:val="32"/>
          <w:szCs w:val="32"/>
        </w:rPr>
        <w:t>.</w:t>
      </w:r>
      <w:r>
        <w:rPr>
          <w:rFonts w:hint="eastAsia" w:ascii="仿宋_GB2312" w:eastAsia="仿宋_GB2312"/>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24"/>
        <w:spacing w:line="500" w:lineRule="exact"/>
        <w:ind w:firstLine="640" w:firstLineChars="200"/>
        <w:rPr>
          <w:rFonts w:ascii="仿宋_GB2312" w:eastAsia="仿宋_GB2312"/>
          <w:color w:val="auto"/>
          <w:sz w:val="32"/>
          <w:szCs w:val="32"/>
        </w:rPr>
      </w:pPr>
      <w:r>
        <w:rPr>
          <w:rFonts w:hint="eastAsia" w:ascii="仿宋_GB2312" w:eastAsia="仿宋_GB2312"/>
          <w:sz w:val="32"/>
          <w:szCs w:val="32"/>
        </w:rPr>
        <w:t>24</w:t>
      </w:r>
      <w:r>
        <w:rPr>
          <w:rFonts w:ascii="仿宋_GB2312" w:eastAsia="仿宋_GB2312"/>
          <w:sz w:val="32"/>
          <w:szCs w:val="32"/>
        </w:rPr>
        <w:t>.</w:t>
      </w:r>
      <w:r>
        <w:rPr>
          <w:rFonts w:hint="eastAsia" w:ascii="仿宋_GB2312" w:eastAsia="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spacing w:line="600" w:lineRule="exact"/>
        <w:jc w:val="center"/>
        <w:outlineLvl w:val="0"/>
        <w:rPr>
          <w:rStyle w:val="26"/>
          <w:rFonts w:ascii="黑体" w:hAnsi="黑体" w:eastAsia="黑体"/>
          <w:b w:val="0"/>
        </w:rPr>
      </w:pPr>
      <w:r>
        <w:rPr>
          <w:rFonts w:hint="eastAsia" w:ascii="黑体" w:hAnsi="黑体" w:eastAsia="黑体"/>
          <w:sz w:val="44"/>
          <w:szCs w:val="44"/>
        </w:rPr>
        <w:t>第</w:t>
      </w:r>
      <w:r>
        <w:rPr>
          <w:rStyle w:val="26"/>
          <w:rFonts w:hint="eastAsia" w:ascii="黑体" w:hAnsi="黑体" w:eastAsia="黑体"/>
          <w:b w:val="0"/>
        </w:rPr>
        <w:t>四部分 附件</w:t>
      </w:r>
      <w:bookmarkEnd w:id="55"/>
    </w:p>
    <w:p>
      <w:pPr>
        <w:spacing w:line="572" w:lineRule="exact"/>
        <w:jc w:val="left"/>
        <w:outlineLvl w:val="0"/>
        <w:rPr>
          <w:rFonts w:ascii="仿宋_GB2312" w:hAnsi="仿宋_GB2312" w:eastAsia="仿宋_GB2312" w:cs="仿宋_GB2312"/>
          <w:sz w:val="32"/>
          <w:szCs w:val="32"/>
        </w:rPr>
      </w:pPr>
      <w:r>
        <w:rPr>
          <w:rFonts w:hint="eastAsia" w:ascii="黑体" w:hAnsi="黑体" w:eastAsia="黑体" w:cs="黑体"/>
          <w:sz w:val="32"/>
          <w:szCs w:val="32"/>
        </w:rPr>
        <w:t>附件</w:t>
      </w:r>
    </w:p>
    <w:tbl>
      <w:tblPr>
        <w:tblStyle w:val="14"/>
        <w:tblpPr w:leftFromText="180" w:rightFromText="180" w:vertAnchor="text" w:horzAnchor="page" w:tblpX="1281" w:tblpY="660"/>
        <w:tblOverlap w:val="never"/>
        <w:tblW w:w="9427" w:type="dxa"/>
        <w:tblInd w:w="0" w:type="dxa"/>
        <w:tblLayout w:type="fixed"/>
        <w:tblCellMar>
          <w:top w:w="0" w:type="dxa"/>
          <w:left w:w="108" w:type="dxa"/>
          <w:bottom w:w="0" w:type="dxa"/>
          <w:right w:w="108" w:type="dxa"/>
        </w:tblCellMar>
      </w:tblPr>
      <w:tblGrid>
        <w:gridCol w:w="1526"/>
        <w:gridCol w:w="1467"/>
        <w:gridCol w:w="1569"/>
        <w:gridCol w:w="1142"/>
        <w:gridCol w:w="1175"/>
        <w:gridCol w:w="2312"/>
        <w:gridCol w:w="236"/>
      </w:tblGrid>
      <w:tr>
        <w:tblPrEx>
          <w:tblCellMar>
            <w:top w:w="0" w:type="dxa"/>
            <w:left w:w="108" w:type="dxa"/>
            <w:bottom w:w="0" w:type="dxa"/>
            <w:right w:w="108" w:type="dxa"/>
          </w:tblCellMar>
        </w:tblPrEx>
        <w:trPr>
          <w:trHeight w:val="669" w:hRule="atLeast"/>
        </w:trPr>
        <w:tc>
          <w:tcPr>
            <w:tcW w:w="9191" w:type="dxa"/>
            <w:gridSpan w:val="6"/>
            <w:tcBorders>
              <w:top w:val="nil"/>
              <w:left w:val="nil"/>
              <w:bottom w:val="nil"/>
              <w:right w:val="nil"/>
            </w:tcBorders>
            <w:shd w:val="clear" w:color="auto" w:fill="auto"/>
            <w:vAlign w:val="center"/>
          </w:tcPr>
          <w:p>
            <w:pPr>
              <w:widowControl/>
              <w:jc w:val="center"/>
              <w:textAlignment w:val="center"/>
              <w:rPr>
                <w:rFonts w:ascii="宋体" w:hAnsi="宋体" w:cs="宋体"/>
                <w:b/>
                <w:sz w:val="18"/>
                <w:szCs w:val="32"/>
              </w:rPr>
            </w:pPr>
            <w:bookmarkStart w:id="57" w:name="_Toc15396618"/>
            <w:r>
              <w:rPr>
                <w:rFonts w:hint="eastAsia" w:ascii="宋体" w:hAnsi="宋体" w:cs="宋体"/>
                <w:b/>
                <w:szCs w:val="32"/>
              </w:rPr>
              <w:t>2021年特定目标类部门预算项目绩效目标自评（校园安保）</w:t>
            </w:r>
          </w:p>
        </w:tc>
        <w:tc>
          <w:tcPr>
            <w:tcW w:w="236" w:type="dxa"/>
            <w:tcBorders>
              <w:top w:val="nil"/>
              <w:left w:val="nil"/>
              <w:bottom w:val="nil"/>
              <w:right w:val="nil"/>
            </w:tcBorders>
            <w:shd w:val="clear" w:color="auto" w:fill="auto"/>
            <w:vAlign w:val="center"/>
          </w:tcPr>
          <w:p>
            <w:pPr>
              <w:widowControl/>
              <w:jc w:val="center"/>
              <w:textAlignment w:val="center"/>
              <w:rPr>
                <w:rFonts w:ascii="宋体" w:hAnsi="宋体" w:cs="宋体"/>
                <w:b/>
                <w:kern w:val="0"/>
                <w:sz w:val="18"/>
                <w:szCs w:val="32"/>
              </w:rPr>
            </w:pPr>
          </w:p>
        </w:tc>
      </w:tr>
      <w:tr>
        <w:tblPrEx>
          <w:tblCellMar>
            <w:top w:w="0" w:type="dxa"/>
            <w:left w:w="108" w:type="dxa"/>
            <w:bottom w:w="0" w:type="dxa"/>
            <w:right w:w="108" w:type="dxa"/>
          </w:tblCellMar>
        </w:tblPrEx>
        <w:trPr>
          <w:gridAfter w:val="1"/>
          <w:wAfter w:w="236" w:type="dxa"/>
          <w:trHeight w:val="252" w:hRule="atLeast"/>
        </w:trPr>
        <w:tc>
          <w:tcPr>
            <w:tcW w:w="29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18"/>
              </w:rPr>
            </w:pPr>
            <w:r>
              <w:rPr>
                <w:rFonts w:hint="eastAsia" w:ascii="宋体" w:hAnsi="宋体" w:cs="宋体"/>
                <w:kern w:val="0"/>
                <w:sz w:val="18"/>
              </w:rPr>
              <w:t>主管部门及代码</w:t>
            </w:r>
          </w:p>
        </w:tc>
        <w:tc>
          <w:tcPr>
            <w:tcW w:w="271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18"/>
              </w:rPr>
            </w:pPr>
            <w:r>
              <w:rPr>
                <w:rFonts w:hint="eastAsia" w:ascii="宋体" w:hAnsi="宋体" w:cs="宋体"/>
                <w:sz w:val="18"/>
              </w:rPr>
              <w:t>市中区教育局</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18"/>
              </w:rPr>
            </w:pPr>
            <w:r>
              <w:rPr>
                <w:rFonts w:hint="eastAsia" w:ascii="宋体" w:hAnsi="宋体" w:cs="宋体"/>
                <w:kern w:val="0"/>
                <w:sz w:val="18"/>
              </w:rPr>
              <w:t>实施单位</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宋体" w:hAnsi="宋体" w:eastAsia="宋体" w:cs="宋体"/>
                <w:sz w:val="18"/>
                <w:lang w:val="en-US" w:eastAsia="zh-CN"/>
              </w:rPr>
            </w:pPr>
            <w:r>
              <w:rPr>
                <w:rFonts w:hint="eastAsia" w:ascii="宋体" w:hAnsi="宋体" w:cs="宋体"/>
                <w:sz w:val="18"/>
              </w:rPr>
              <w:t>乐山市市中区</w:t>
            </w:r>
            <w:r>
              <w:rPr>
                <w:rFonts w:hint="eastAsia" w:ascii="宋体" w:hAnsi="宋体" w:cs="宋体"/>
                <w:sz w:val="18"/>
                <w:lang w:val="en-US" w:eastAsia="zh-CN"/>
              </w:rPr>
              <w:t>童家学校</w:t>
            </w:r>
          </w:p>
        </w:tc>
      </w:tr>
      <w:tr>
        <w:tblPrEx>
          <w:tblCellMar>
            <w:top w:w="0" w:type="dxa"/>
            <w:left w:w="108" w:type="dxa"/>
            <w:bottom w:w="0" w:type="dxa"/>
            <w:right w:w="108" w:type="dxa"/>
          </w:tblCellMar>
        </w:tblPrEx>
        <w:trPr>
          <w:gridAfter w:val="1"/>
          <w:wAfter w:w="236" w:type="dxa"/>
          <w:trHeight w:val="338" w:hRule="atLeast"/>
        </w:trPr>
        <w:tc>
          <w:tcPr>
            <w:tcW w:w="299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宋体" w:hAnsi="宋体" w:eastAsia="宋体" w:cs="宋体"/>
                <w:kern w:val="0"/>
                <w:sz w:val="18"/>
                <w:lang w:eastAsia="zh-CN"/>
              </w:rPr>
            </w:pPr>
            <w:r>
              <w:rPr>
                <w:rFonts w:hint="eastAsia" w:ascii="宋体" w:hAnsi="宋体" w:cs="宋体"/>
                <w:kern w:val="0"/>
                <w:sz w:val="18"/>
              </w:rPr>
              <w:t>项目预算</w:t>
            </w:r>
          </w:p>
          <w:p>
            <w:pPr>
              <w:widowControl/>
              <w:spacing w:line="320" w:lineRule="exact"/>
              <w:jc w:val="center"/>
              <w:textAlignment w:val="center"/>
              <w:rPr>
                <w:rFonts w:hint="eastAsia" w:ascii="宋体" w:hAnsi="宋体" w:eastAsia="宋体" w:cs="宋体"/>
                <w:kern w:val="0"/>
                <w:sz w:val="18"/>
                <w:lang w:eastAsia="zh-CN"/>
              </w:rPr>
            </w:pPr>
            <w:r>
              <w:rPr>
                <w:rFonts w:hint="eastAsia" w:ascii="宋体" w:hAnsi="宋体" w:cs="宋体"/>
                <w:kern w:val="0"/>
                <w:sz w:val="18"/>
              </w:rPr>
              <w:t>执行情况</w:t>
            </w:r>
          </w:p>
          <w:p>
            <w:pPr>
              <w:widowControl/>
              <w:spacing w:line="320" w:lineRule="exact"/>
              <w:jc w:val="center"/>
              <w:textAlignment w:val="center"/>
              <w:rPr>
                <w:rFonts w:ascii="宋体" w:hAnsi="宋体" w:cs="宋体"/>
                <w:sz w:val="18"/>
              </w:rPr>
            </w:pPr>
            <w:r>
              <w:rPr>
                <w:rFonts w:hint="eastAsia" w:ascii="宋体" w:hAnsi="宋体" w:cs="宋体"/>
                <w:kern w:val="0"/>
                <w:sz w:val="18"/>
              </w:rPr>
              <w:t>（万元）</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18"/>
              </w:rPr>
            </w:pPr>
            <w:r>
              <w:rPr>
                <w:rFonts w:hint="eastAsia" w:ascii="宋体" w:hAnsi="宋体" w:cs="宋体"/>
                <w:kern w:val="0"/>
                <w:sz w:val="18"/>
              </w:rPr>
              <w:t xml:space="preserve"> 预算数：</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宋体" w:hAnsi="宋体" w:cs="宋体"/>
                <w:sz w:val="18"/>
                <w:lang w:val="en-US"/>
              </w:rPr>
            </w:pPr>
            <w:r>
              <w:rPr>
                <w:rFonts w:ascii="宋体" w:hAnsi="宋体" w:cs="宋体"/>
                <w:sz w:val="18"/>
              </w:rPr>
              <w:t>1</w:t>
            </w:r>
            <w:r>
              <w:rPr>
                <w:rFonts w:hint="eastAsia" w:ascii="宋体" w:hAnsi="宋体" w:cs="宋体"/>
                <w:sz w:val="18"/>
                <w:lang w:val="en-US" w:eastAsia="zh-CN"/>
              </w:rPr>
              <w:t>5</w:t>
            </w:r>
            <w:r>
              <w:rPr>
                <w:rFonts w:ascii="宋体" w:hAnsi="宋体" w:cs="宋体"/>
                <w:sz w:val="18"/>
              </w:rPr>
              <w:t>.</w:t>
            </w:r>
            <w:r>
              <w:rPr>
                <w:rFonts w:hint="eastAsia" w:ascii="宋体" w:hAnsi="宋体" w:cs="宋体"/>
                <w:sz w:val="18"/>
                <w:lang w:val="en-US" w:eastAsia="zh-CN"/>
              </w:rPr>
              <w:t>35</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18"/>
              </w:rPr>
            </w:pPr>
            <w:r>
              <w:rPr>
                <w:rFonts w:hint="eastAsia" w:ascii="宋体" w:hAnsi="宋体" w:cs="宋体"/>
                <w:kern w:val="0"/>
                <w:sz w:val="18"/>
              </w:rPr>
              <w:t xml:space="preserve"> 执行数：</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宋体" w:hAnsi="宋体" w:eastAsia="宋体" w:cs="宋体"/>
                <w:sz w:val="18"/>
                <w:lang w:val="en-US" w:eastAsia="zh-CN"/>
              </w:rPr>
            </w:pPr>
            <w:r>
              <w:rPr>
                <w:rFonts w:hint="eastAsia" w:ascii="宋体" w:hAnsi="宋体" w:cs="宋体"/>
                <w:sz w:val="18"/>
                <w:lang w:val="en-US" w:eastAsia="zh-CN"/>
              </w:rPr>
              <w:t>15.35</w:t>
            </w:r>
          </w:p>
        </w:tc>
      </w:tr>
      <w:tr>
        <w:tblPrEx>
          <w:tblCellMar>
            <w:top w:w="0" w:type="dxa"/>
            <w:left w:w="108" w:type="dxa"/>
            <w:bottom w:w="0" w:type="dxa"/>
            <w:right w:w="108" w:type="dxa"/>
          </w:tblCellMar>
        </w:tblPrEx>
        <w:trPr>
          <w:gridAfter w:val="1"/>
          <w:wAfter w:w="236" w:type="dxa"/>
          <w:trHeight w:val="550" w:hRule="atLeast"/>
        </w:trPr>
        <w:tc>
          <w:tcPr>
            <w:tcW w:w="299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1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18"/>
              </w:rPr>
            </w:pPr>
            <w:r>
              <w:rPr>
                <w:rFonts w:hint="eastAsia" w:ascii="宋体" w:hAnsi="宋体" w:cs="宋体"/>
                <w:kern w:val="0"/>
                <w:sz w:val="18"/>
              </w:rPr>
              <w:t>其中：</w:t>
            </w:r>
          </w:p>
          <w:p>
            <w:pPr>
              <w:widowControl/>
              <w:spacing w:line="320" w:lineRule="exact"/>
              <w:jc w:val="left"/>
              <w:textAlignment w:val="center"/>
              <w:rPr>
                <w:rFonts w:ascii="宋体" w:hAnsi="宋体" w:cs="宋体"/>
                <w:sz w:val="18"/>
              </w:rPr>
            </w:pPr>
            <w:r>
              <w:rPr>
                <w:rFonts w:hint="eastAsia" w:ascii="宋体" w:hAnsi="宋体" w:cs="宋体"/>
                <w:kern w:val="0"/>
                <w:sz w:val="18"/>
              </w:rPr>
              <w:t>财政拨款</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宋体" w:hAnsi="宋体" w:eastAsia="宋体" w:cs="宋体"/>
                <w:sz w:val="18"/>
                <w:lang w:val="en-US" w:eastAsia="zh-CN"/>
              </w:rPr>
            </w:pPr>
            <w:r>
              <w:rPr>
                <w:rFonts w:hint="eastAsia" w:ascii="宋体" w:hAnsi="宋体" w:cs="宋体"/>
                <w:sz w:val="18"/>
                <w:lang w:val="en-US" w:eastAsia="zh-CN"/>
              </w:rPr>
              <w:t>15.35</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18"/>
              </w:rPr>
            </w:pPr>
            <w:r>
              <w:rPr>
                <w:rFonts w:hint="eastAsia" w:ascii="宋体" w:hAnsi="宋体" w:cs="宋体"/>
                <w:kern w:val="0"/>
                <w:sz w:val="18"/>
              </w:rPr>
              <w:t>其中：</w:t>
            </w:r>
          </w:p>
          <w:p>
            <w:pPr>
              <w:widowControl/>
              <w:spacing w:line="320" w:lineRule="exact"/>
              <w:jc w:val="left"/>
              <w:textAlignment w:val="center"/>
              <w:rPr>
                <w:rFonts w:ascii="宋体" w:hAnsi="宋体" w:cs="宋体"/>
                <w:sz w:val="18"/>
              </w:rPr>
            </w:pPr>
            <w:r>
              <w:rPr>
                <w:rFonts w:hint="eastAsia" w:ascii="宋体" w:hAnsi="宋体" w:cs="宋体"/>
                <w:kern w:val="0"/>
                <w:sz w:val="18"/>
              </w:rPr>
              <w:t>财政拨款</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default" w:ascii="宋体" w:hAnsi="宋体" w:eastAsia="宋体" w:cs="宋体"/>
                <w:sz w:val="18"/>
                <w:lang w:val="en-US" w:eastAsia="zh-CN"/>
              </w:rPr>
            </w:pPr>
            <w:r>
              <w:rPr>
                <w:rFonts w:hint="eastAsia" w:ascii="宋体" w:hAnsi="宋体" w:cs="宋体"/>
                <w:sz w:val="18"/>
                <w:lang w:val="en-US" w:eastAsia="zh-CN"/>
              </w:rPr>
              <w:t>15.35</w:t>
            </w:r>
          </w:p>
        </w:tc>
      </w:tr>
      <w:tr>
        <w:tblPrEx>
          <w:tblCellMar>
            <w:top w:w="0" w:type="dxa"/>
            <w:left w:w="108" w:type="dxa"/>
            <w:bottom w:w="0" w:type="dxa"/>
            <w:right w:w="108" w:type="dxa"/>
          </w:tblCellMar>
        </w:tblPrEx>
        <w:trPr>
          <w:gridAfter w:val="1"/>
          <w:wAfter w:w="236" w:type="dxa"/>
          <w:trHeight w:val="338" w:hRule="atLeast"/>
        </w:trPr>
        <w:tc>
          <w:tcPr>
            <w:tcW w:w="299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1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18"/>
              </w:rPr>
            </w:pPr>
            <w:r>
              <w:rPr>
                <w:rFonts w:hint="eastAsia" w:ascii="宋体" w:hAnsi="宋体" w:cs="宋体"/>
                <w:kern w:val="0"/>
                <w:sz w:val="18"/>
              </w:rPr>
              <w:t>其他资金</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18"/>
              </w:rPr>
            </w:pPr>
            <w:r>
              <w:rPr>
                <w:rFonts w:ascii="宋体" w:hAnsi="宋体" w:cs="宋体"/>
                <w:sz w:val="18"/>
              </w:rPr>
              <w:t>0</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18"/>
              </w:rPr>
            </w:pPr>
            <w:r>
              <w:rPr>
                <w:rFonts w:hint="eastAsia" w:ascii="宋体" w:hAnsi="宋体" w:cs="宋体"/>
                <w:kern w:val="0"/>
                <w:sz w:val="18"/>
              </w:rPr>
              <w:t>其他资金</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18"/>
              </w:rPr>
            </w:pPr>
            <w:r>
              <w:rPr>
                <w:rFonts w:ascii="宋体" w:hAnsi="宋体" w:cs="宋体"/>
                <w:sz w:val="18"/>
              </w:rPr>
              <w:t>0</w:t>
            </w:r>
          </w:p>
        </w:tc>
      </w:tr>
      <w:tr>
        <w:tblPrEx>
          <w:tblCellMar>
            <w:top w:w="0" w:type="dxa"/>
            <w:left w:w="108" w:type="dxa"/>
            <w:bottom w:w="0" w:type="dxa"/>
            <w:right w:w="108" w:type="dxa"/>
          </w:tblCellMar>
        </w:tblPrEx>
        <w:trPr>
          <w:gridAfter w:val="1"/>
          <w:wAfter w:w="236" w:type="dxa"/>
          <w:trHeight w:val="215" w:hRule="atLeast"/>
        </w:trPr>
        <w:tc>
          <w:tcPr>
            <w:tcW w:w="152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kern w:val="0"/>
                <w:sz w:val="18"/>
              </w:rPr>
            </w:pPr>
            <w:r>
              <w:rPr>
                <w:rFonts w:hint="eastAsia" w:ascii="宋体" w:hAnsi="宋体" w:cs="宋体"/>
                <w:kern w:val="0"/>
                <w:sz w:val="18"/>
              </w:rPr>
              <w:t>年度总体目标</w:t>
            </w:r>
          </w:p>
          <w:p>
            <w:pPr>
              <w:widowControl/>
              <w:spacing w:line="320" w:lineRule="exact"/>
              <w:jc w:val="center"/>
              <w:textAlignment w:val="center"/>
              <w:rPr>
                <w:rFonts w:ascii="宋体" w:hAnsi="宋体" w:cs="宋体"/>
                <w:sz w:val="18"/>
              </w:rPr>
            </w:pPr>
            <w:r>
              <w:rPr>
                <w:rFonts w:hint="eastAsia" w:ascii="宋体" w:hAnsi="宋体" w:cs="宋体"/>
                <w:kern w:val="0"/>
                <w:sz w:val="18"/>
              </w:rPr>
              <w:t>完成情况</w:t>
            </w:r>
          </w:p>
        </w:tc>
        <w:tc>
          <w:tcPr>
            <w:tcW w:w="417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18"/>
              </w:rPr>
            </w:pPr>
            <w:r>
              <w:rPr>
                <w:rFonts w:hint="eastAsia" w:ascii="宋体" w:hAnsi="宋体" w:cs="宋体"/>
                <w:kern w:val="0"/>
                <w:sz w:val="18"/>
              </w:rPr>
              <w:t>预期目标</w:t>
            </w:r>
          </w:p>
        </w:tc>
        <w:tc>
          <w:tcPr>
            <w:tcW w:w="348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18"/>
              </w:rPr>
            </w:pPr>
            <w:r>
              <w:rPr>
                <w:rFonts w:hint="eastAsia" w:ascii="宋体" w:hAnsi="宋体" w:cs="宋体"/>
                <w:kern w:val="0"/>
                <w:sz w:val="18"/>
              </w:rPr>
              <w:t>目标实际完成情况</w:t>
            </w:r>
          </w:p>
        </w:tc>
      </w:tr>
      <w:tr>
        <w:tblPrEx>
          <w:tblCellMar>
            <w:top w:w="0" w:type="dxa"/>
            <w:left w:w="108" w:type="dxa"/>
            <w:bottom w:w="0" w:type="dxa"/>
            <w:right w:w="108" w:type="dxa"/>
          </w:tblCellMar>
        </w:tblPrEx>
        <w:trPr>
          <w:gridAfter w:val="1"/>
          <w:wAfter w:w="236" w:type="dxa"/>
          <w:trHeight w:val="790" w:hRule="atLeast"/>
        </w:trPr>
        <w:tc>
          <w:tcPr>
            <w:tcW w:w="152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18"/>
              </w:rPr>
            </w:pPr>
          </w:p>
        </w:tc>
        <w:tc>
          <w:tcPr>
            <w:tcW w:w="4178"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18"/>
              </w:rPr>
            </w:pPr>
            <w:r>
              <w:rPr>
                <w:rFonts w:hint="eastAsia" w:ascii="宋体" w:hAnsi="宋体" w:cs="宋体"/>
                <w:sz w:val="18"/>
              </w:rPr>
              <w:t>我校师生共计</w:t>
            </w:r>
            <w:r>
              <w:rPr>
                <w:rFonts w:hint="eastAsia" w:ascii="宋体" w:hAnsi="宋体" w:cs="宋体"/>
                <w:sz w:val="18"/>
                <w:lang w:val="en-US" w:eastAsia="zh-CN"/>
              </w:rPr>
              <w:t>402</w:t>
            </w:r>
            <w:r>
              <w:rPr>
                <w:rFonts w:hint="eastAsia" w:ascii="宋体" w:hAnsi="宋体" w:cs="宋体"/>
                <w:sz w:val="18"/>
              </w:rPr>
              <w:t>人，</w:t>
            </w:r>
            <w:r>
              <w:rPr>
                <w:rFonts w:hint="eastAsia" w:ascii="宋体" w:hAnsi="宋体" w:cs="宋体"/>
                <w:sz w:val="18"/>
                <w:lang w:val="en-US" w:eastAsia="zh-CN"/>
              </w:rPr>
              <w:t>有两个校区，</w:t>
            </w:r>
            <w:r>
              <w:rPr>
                <w:rFonts w:hint="eastAsia" w:ascii="宋体" w:hAnsi="宋体" w:cs="宋体"/>
                <w:sz w:val="18"/>
              </w:rPr>
              <w:t>为寄宿制学校，根据市中区教育局对校园保安配备人数的规定，我校2021年配备</w:t>
            </w:r>
            <w:r>
              <w:rPr>
                <w:rFonts w:hint="eastAsia" w:ascii="宋体" w:hAnsi="宋体" w:cs="宋体"/>
                <w:sz w:val="18"/>
                <w:lang w:val="en-US" w:eastAsia="zh-CN"/>
              </w:rPr>
              <w:t>4</w:t>
            </w:r>
            <w:r>
              <w:rPr>
                <w:rFonts w:hint="eastAsia" w:ascii="宋体" w:hAnsi="宋体" w:cs="宋体"/>
                <w:sz w:val="18"/>
              </w:rPr>
              <w:t>名保安，共需校园保安费</w:t>
            </w:r>
            <w:r>
              <w:rPr>
                <w:rFonts w:hint="eastAsia" w:ascii="宋体" w:hAnsi="宋体" w:cs="宋体"/>
                <w:sz w:val="18"/>
                <w:lang w:val="en-US" w:eastAsia="zh-CN"/>
              </w:rPr>
              <w:t>15</w:t>
            </w:r>
            <w:r>
              <w:rPr>
                <w:rFonts w:hint="eastAsia" w:ascii="宋体" w:hAnsi="宋体" w:cs="宋体"/>
                <w:sz w:val="18"/>
              </w:rPr>
              <w:t>万元左右，用于</w:t>
            </w:r>
            <w:r>
              <w:rPr>
                <w:rFonts w:hint="eastAsia" w:ascii="宋体" w:hAnsi="宋体" w:cs="宋体"/>
                <w:sz w:val="18"/>
                <w:lang w:val="en-US" w:eastAsia="zh-CN"/>
              </w:rPr>
              <w:t>4</w:t>
            </w:r>
            <w:r>
              <w:rPr>
                <w:rFonts w:hint="eastAsia" w:ascii="宋体" w:hAnsi="宋体" w:cs="宋体"/>
                <w:sz w:val="18"/>
              </w:rPr>
              <w:t>名保安的劳务费和保险等。</w:t>
            </w:r>
          </w:p>
        </w:tc>
        <w:tc>
          <w:tcPr>
            <w:tcW w:w="3487"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18"/>
              </w:rPr>
            </w:pPr>
            <w:r>
              <w:rPr>
                <w:rFonts w:hint="eastAsia" w:ascii="宋体" w:hAnsi="宋体" w:cs="宋体"/>
                <w:sz w:val="18"/>
              </w:rPr>
              <w:t>我校2021年共配备</w:t>
            </w:r>
            <w:r>
              <w:rPr>
                <w:rFonts w:hint="eastAsia" w:ascii="宋体" w:hAnsi="宋体" w:cs="宋体"/>
                <w:sz w:val="18"/>
                <w:lang w:val="en-US" w:eastAsia="zh-CN"/>
              </w:rPr>
              <w:t>4</w:t>
            </w:r>
            <w:r>
              <w:rPr>
                <w:rFonts w:hint="eastAsia" w:ascii="宋体" w:hAnsi="宋体" w:cs="宋体"/>
                <w:sz w:val="18"/>
              </w:rPr>
              <w:t>名保安，共支出校园安保费1</w:t>
            </w:r>
            <w:r>
              <w:rPr>
                <w:rFonts w:hint="eastAsia" w:ascii="宋体" w:hAnsi="宋体" w:cs="宋体"/>
                <w:sz w:val="18"/>
                <w:lang w:val="en-US" w:eastAsia="zh-CN"/>
              </w:rPr>
              <w:t>5.35</w:t>
            </w:r>
            <w:r>
              <w:rPr>
                <w:rFonts w:hint="eastAsia" w:ascii="宋体" w:hAnsi="宋体" w:cs="宋体"/>
                <w:sz w:val="18"/>
              </w:rPr>
              <w:t>万元，用于</w:t>
            </w:r>
            <w:r>
              <w:rPr>
                <w:rFonts w:hint="eastAsia" w:ascii="宋体" w:hAnsi="宋体" w:cs="宋体"/>
                <w:sz w:val="18"/>
                <w:lang w:val="en-US" w:eastAsia="zh-CN"/>
              </w:rPr>
              <w:t>4</w:t>
            </w:r>
            <w:r>
              <w:rPr>
                <w:rFonts w:hint="eastAsia" w:ascii="宋体" w:hAnsi="宋体" w:cs="宋体"/>
                <w:sz w:val="18"/>
              </w:rPr>
              <w:t>名保安的劳务费和保险等。</w:t>
            </w:r>
          </w:p>
        </w:tc>
      </w:tr>
      <w:tr>
        <w:tblPrEx>
          <w:tblCellMar>
            <w:top w:w="0" w:type="dxa"/>
            <w:left w:w="108" w:type="dxa"/>
            <w:bottom w:w="0" w:type="dxa"/>
            <w:right w:w="108" w:type="dxa"/>
          </w:tblCellMar>
        </w:tblPrEx>
        <w:trPr>
          <w:gridAfter w:val="1"/>
          <w:wAfter w:w="236" w:type="dxa"/>
          <w:trHeight w:val="687" w:hRule="atLeast"/>
        </w:trPr>
        <w:tc>
          <w:tcPr>
            <w:tcW w:w="152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年度绩效指标完成情况</w:t>
            </w:r>
          </w:p>
        </w:tc>
        <w:tc>
          <w:tcPr>
            <w:tcW w:w="1467"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18"/>
                <w:szCs w:val="28"/>
              </w:rPr>
            </w:pPr>
            <w:r>
              <w:rPr>
                <w:rFonts w:hint="eastAsia" w:ascii="仿宋_GB2312" w:hAnsi="仿宋_GB2312" w:eastAsia="仿宋_GB2312" w:cs="仿宋_GB2312"/>
                <w:kern w:val="0"/>
                <w:sz w:val="18"/>
                <w:szCs w:val="28"/>
              </w:rPr>
              <w:t>一级</w:t>
            </w:r>
          </w:p>
          <w:p>
            <w:pPr>
              <w:widowControl/>
              <w:spacing w:line="320" w:lineRule="exact"/>
              <w:jc w:val="center"/>
              <w:textAlignment w:val="center"/>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指标</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18"/>
                <w:szCs w:val="28"/>
              </w:rPr>
            </w:pPr>
            <w:r>
              <w:rPr>
                <w:rFonts w:hint="eastAsia" w:ascii="仿宋_GB2312" w:hAnsi="仿宋_GB2312" w:eastAsia="仿宋_GB2312" w:cs="仿宋_GB2312"/>
                <w:kern w:val="0"/>
                <w:sz w:val="18"/>
                <w:szCs w:val="28"/>
              </w:rPr>
              <w:t>二级</w:t>
            </w:r>
          </w:p>
          <w:p>
            <w:pPr>
              <w:widowControl/>
              <w:spacing w:line="320" w:lineRule="exact"/>
              <w:jc w:val="center"/>
              <w:textAlignment w:val="center"/>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18"/>
                <w:szCs w:val="28"/>
              </w:rPr>
            </w:pPr>
            <w:r>
              <w:rPr>
                <w:rFonts w:hint="eastAsia" w:ascii="仿宋_GB2312" w:hAnsi="仿宋_GB2312" w:eastAsia="仿宋_GB2312" w:cs="仿宋_GB2312"/>
                <w:kern w:val="0"/>
                <w:sz w:val="18"/>
                <w:szCs w:val="28"/>
              </w:rPr>
              <w:t>三级</w:t>
            </w:r>
          </w:p>
          <w:p>
            <w:pPr>
              <w:widowControl/>
              <w:spacing w:line="320" w:lineRule="exact"/>
              <w:jc w:val="center"/>
              <w:textAlignment w:val="center"/>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指标</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预期指标值</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实际完成指标值</w:t>
            </w:r>
          </w:p>
        </w:tc>
      </w:tr>
      <w:tr>
        <w:tblPrEx>
          <w:tblCellMar>
            <w:top w:w="0" w:type="dxa"/>
            <w:left w:w="108" w:type="dxa"/>
            <w:bottom w:w="0" w:type="dxa"/>
            <w:right w:w="108" w:type="dxa"/>
          </w:tblCellMar>
        </w:tblPrEx>
        <w:trPr>
          <w:gridAfter w:val="1"/>
          <w:wAfter w:w="236" w:type="dxa"/>
          <w:trHeight w:val="411"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kern w:val="0"/>
                <w:sz w:val="18"/>
                <w:szCs w:val="28"/>
              </w:rPr>
            </w:pPr>
            <w:r>
              <w:rPr>
                <w:rFonts w:hint="eastAsia" w:ascii="仿宋_GB2312" w:hAnsi="仿宋_GB2312" w:eastAsia="仿宋_GB2312" w:cs="仿宋_GB2312"/>
                <w:kern w:val="0"/>
                <w:sz w:val="18"/>
                <w:szCs w:val="28"/>
              </w:rPr>
              <w:t>完成</w:t>
            </w:r>
          </w:p>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指标</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数量指标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聘请保安人数</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lang w:val="en-US" w:eastAsia="zh-CN"/>
              </w:rPr>
              <w:t>4</w:t>
            </w:r>
            <w:r>
              <w:rPr>
                <w:rFonts w:hint="eastAsia" w:ascii="仿宋_GB2312" w:hAnsi="仿宋_GB2312" w:eastAsia="仿宋_GB2312" w:cs="仿宋_GB2312"/>
                <w:sz w:val="18"/>
                <w:szCs w:val="28"/>
              </w:rPr>
              <w:t>人</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lang w:val="en-US" w:eastAsia="zh-CN"/>
              </w:rPr>
              <w:t>4</w:t>
            </w:r>
            <w:r>
              <w:rPr>
                <w:rFonts w:hint="eastAsia" w:ascii="仿宋_GB2312" w:hAnsi="仿宋_GB2312" w:eastAsia="仿宋_GB2312" w:cs="仿宋_GB2312"/>
                <w:sz w:val="18"/>
                <w:szCs w:val="28"/>
              </w:rPr>
              <w:t>人</w:t>
            </w:r>
          </w:p>
        </w:tc>
      </w:tr>
      <w:tr>
        <w:tblPrEx>
          <w:tblCellMar>
            <w:top w:w="0" w:type="dxa"/>
            <w:left w:w="108" w:type="dxa"/>
            <w:bottom w:w="0" w:type="dxa"/>
            <w:right w:w="108" w:type="dxa"/>
          </w:tblCellMar>
        </w:tblPrEx>
        <w:trPr>
          <w:gridAfter w:val="1"/>
          <w:wAfter w:w="236" w:type="dxa"/>
          <w:trHeight w:val="411"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18"/>
                <w:szCs w:val="2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质量指标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保安人员到岗到位职责落实情况</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100%</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100%</w:t>
            </w:r>
          </w:p>
        </w:tc>
      </w:tr>
      <w:tr>
        <w:tblPrEx>
          <w:tblCellMar>
            <w:top w:w="0" w:type="dxa"/>
            <w:left w:w="108" w:type="dxa"/>
            <w:bottom w:w="0" w:type="dxa"/>
            <w:right w:w="108" w:type="dxa"/>
          </w:tblCellMar>
        </w:tblPrEx>
        <w:trPr>
          <w:gridAfter w:val="1"/>
          <w:wAfter w:w="236" w:type="dxa"/>
          <w:trHeight w:val="411"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18"/>
                <w:szCs w:val="2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时效指标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完成时间节点</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2021</w:t>
            </w:r>
            <w:r>
              <w:rPr>
                <w:rFonts w:hint="eastAsia" w:ascii="仿宋_GB2312" w:hAnsi="仿宋_GB2312" w:eastAsia="仿宋_GB2312" w:cs="仿宋_GB2312"/>
                <w:sz w:val="18"/>
                <w:szCs w:val="28"/>
              </w:rPr>
              <w:t>年1月1日-2021年12月31日</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2021</w:t>
            </w:r>
            <w:r>
              <w:rPr>
                <w:rFonts w:hint="eastAsia" w:ascii="仿宋_GB2312" w:hAnsi="仿宋_GB2312" w:eastAsia="仿宋_GB2312" w:cs="仿宋_GB2312"/>
                <w:sz w:val="18"/>
                <w:szCs w:val="28"/>
              </w:rPr>
              <w:t>年1月1日-2021年12月31日</w:t>
            </w:r>
          </w:p>
        </w:tc>
      </w:tr>
      <w:tr>
        <w:tblPrEx>
          <w:tblCellMar>
            <w:top w:w="0" w:type="dxa"/>
            <w:left w:w="108" w:type="dxa"/>
            <w:bottom w:w="0" w:type="dxa"/>
            <w:right w:w="108" w:type="dxa"/>
          </w:tblCellMar>
        </w:tblPrEx>
        <w:trPr>
          <w:gridAfter w:val="1"/>
          <w:wAfter w:w="236" w:type="dxa"/>
          <w:trHeight w:val="476"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18"/>
                <w:szCs w:val="2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成本指标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校园安保经费</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38</w:t>
            </w:r>
            <w:r>
              <w:rPr>
                <w:rFonts w:hint="eastAsia" w:ascii="仿宋_GB2312" w:hAnsi="仿宋_GB2312" w:eastAsia="仿宋_GB2312" w:cs="仿宋_GB2312"/>
                <w:sz w:val="18"/>
                <w:szCs w:val="28"/>
                <w:lang w:val="en-US" w:eastAsia="zh-CN"/>
              </w:rPr>
              <w:t>3</w:t>
            </w:r>
            <w:r>
              <w:rPr>
                <w:rFonts w:ascii="仿宋_GB2312" w:hAnsi="仿宋_GB2312" w:eastAsia="仿宋_GB2312" w:cs="仿宋_GB2312"/>
                <w:sz w:val="18"/>
                <w:szCs w:val="28"/>
              </w:rPr>
              <w:t>75</w:t>
            </w:r>
            <w:r>
              <w:rPr>
                <w:rFonts w:hint="eastAsia" w:ascii="仿宋_GB2312" w:hAnsi="仿宋_GB2312" w:eastAsia="仿宋_GB2312" w:cs="仿宋_GB2312"/>
                <w:sz w:val="18"/>
                <w:szCs w:val="28"/>
              </w:rPr>
              <w:t>元/人</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38</w:t>
            </w:r>
            <w:r>
              <w:rPr>
                <w:rFonts w:hint="eastAsia" w:ascii="仿宋_GB2312" w:hAnsi="仿宋_GB2312" w:eastAsia="仿宋_GB2312" w:cs="仿宋_GB2312"/>
                <w:sz w:val="18"/>
                <w:szCs w:val="28"/>
                <w:lang w:val="en-US" w:eastAsia="zh-CN"/>
              </w:rPr>
              <w:t>3</w:t>
            </w:r>
            <w:r>
              <w:rPr>
                <w:rFonts w:ascii="仿宋_GB2312" w:hAnsi="仿宋_GB2312" w:eastAsia="仿宋_GB2312" w:cs="仿宋_GB2312"/>
                <w:sz w:val="18"/>
                <w:szCs w:val="28"/>
              </w:rPr>
              <w:t>75</w:t>
            </w:r>
            <w:r>
              <w:rPr>
                <w:rFonts w:hint="eastAsia" w:ascii="仿宋_GB2312" w:hAnsi="仿宋_GB2312" w:eastAsia="仿宋_GB2312" w:cs="仿宋_GB2312"/>
                <w:sz w:val="18"/>
                <w:szCs w:val="28"/>
              </w:rPr>
              <w:t>元/人</w:t>
            </w:r>
          </w:p>
        </w:tc>
      </w:tr>
      <w:tr>
        <w:tblPrEx>
          <w:tblCellMar>
            <w:top w:w="0" w:type="dxa"/>
            <w:left w:w="108" w:type="dxa"/>
            <w:bottom w:w="0" w:type="dxa"/>
            <w:right w:w="108" w:type="dxa"/>
          </w:tblCellMar>
        </w:tblPrEx>
        <w:trPr>
          <w:gridAfter w:val="1"/>
          <w:wAfter w:w="236" w:type="dxa"/>
          <w:trHeight w:val="476"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 w:val="18"/>
                <w:szCs w:val="28"/>
                <w:lang w:eastAsia="zh-CN"/>
              </w:rPr>
            </w:pPr>
            <w:r>
              <w:rPr>
                <w:rFonts w:hint="eastAsia" w:ascii="仿宋_GB2312" w:hAnsi="仿宋_GB2312" w:eastAsia="仿宋_GB2312" w:cs="仿宋_GB2312"/>
                <w:kern w:val="0"/>
                <w:sz w:val="18"/>
                <w:szCs w:val="28"/>
              </w:rPr>
              <w:t>效益</w:t>
            </w:r>
          </w:p>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指标</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经济效益  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r>
      <w:tr>
        <w:tblPrEx>
          <w:tblCellMar>
            <w:top w:w="0" w:type="dxa"/>
            <w:left w:w="108" w:type="dxa"/>
            <w:bottom w:w="0" w:type="dxa"/>
            <w:right w:w="108" w:type="dxa"/>
          </w:tblCellMar>
        </w:tblPrEx>
        <w:trPr>
          <w:gridAfter w:val="1"/>
          <w:wAfter w:w="236" w:type="dxa"/>
          <w:trHeight w:val="476"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18"/>
                <w:szCs w:val="2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社会效益  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校园安全事故发生率</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等于</w:t>
            </w:r>
            <w:r>
              <w:rPr>
                <w:rFonts w:ascii="仿宋_GB2312" w:hAnsi="仿宋_GB2312" w:eastAsia="仿宋_GB2312" w:cs="仿宋_GB2312"/>
                <w:sz w:val="18"/>
                <w:szCs w:val="28"/>
              </w:rPr>
              <w:t>0%</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0%</w:t>
            </w:r>
          </w:p>
        </w:tc>
      </w:tr>
      <w:tr>
        <w:tblPrEx>
          <w:tblCellMar>
            <w:top w:w="0" w:type="dxa"/>
            <w:left w:w="108" w:type="dxa"/>
            <w:bottom w:w="0" w:type="dxa"/>
            <w:right w:w="108" w:type="dxa"/>
          </w:tblCellMar>
        </w:tblPrEx>
        <w:trPr>
          <w:gridAfter w:val="1"/>
          <w:wAfter w:w="236" w:type="dxa"/>
          <w:trHeight w:val="572"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18"/>
                <w:szCs w:val="2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363" w:leftChars="87" w:hanging="180" w:hangingChars="100"/>
              <w:jc w:val="left"/>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生态效益  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r>
      <w:tr>
        <w:tblPrEx>
          <w:tblCellMar>
            <w:top w:w="0" w:type="dxa"/>
            <w:left w:w="108" w:type="dxa"/>
            <w:bottom w:w="0" w:type="dxa"/>
            <w:right w:w="108" w:type="dxa"/>
          </w:tblCellMar>
        </w:tblPrEx>
        <w:trPr>
          <w:gridAfter w:val="1"/>
          <w:wAfter w:w="236" w:type="dxa"/>
          <w:trHeight w:val="476" w:hRule="atLeast"/>
        </w:trPr>
        <w:tc>
          <w:tcPr>
            <w:tcW w:w="152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18"/>
                <w:szCs w:val="28"/>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可持续影响 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p>
        </w:tc>
      </w:tr>
      <w:tr>
        <w:tblPrEx>
          <w:tblCellMar>
            <w:top w:w="0" w:type="dxa"/>
            <w:left w:w="108" w:type="dxa"/>
            <w:bottom w:w="0" w:type="dxa"/>
            <w:right w:w="108" w:type="dxa"/>
          </w:tblCellMar>
        </w:tblPrEx>
        <w:trPr>
          <w:gridAfter w:val="1"/>
          <w:wAfter w:w="236" w:type="dxa"/>
          <w:trHeight w:val="525" w:hRule="atLeast"/>
        </w:trPr>
        <w:tc>
          <w:tcPr>
            <w:tcW w:w="1526"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18"/>
                <w:szCs w:val="28"/>
              </w:rPr>
            </w:pPr>
          </w:p>
        </w:tc>
        <w:tc>
          <w:tcPr>
            <w:tcW w:w="1467"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 w:val="18"/>
                <w:szCs w:val="28"/>
                <w:lang w:eastAsia="zh-CN"/>
              </w:rPr>
            </w:pPr>
            <w:r>
              <w:rPr>
                <w:rFonts w:hint="eastAsia" w:ascii="仿宋_GB2312" w:hAnsi="仿宋_GB2312" w:eastAsia="仿宋_GB2312" w:cs="仿宋_GB2312"/>
                <w:kern w:val="0"/>
                <w:sz w:val="18"/>
                <w:szCs w:val="28"/>
              </w:rPr>
              <w:t>满意</w:t>
            </w:r>
          </w:p>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度指标</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0"/>
                <w:sz w:val="18"/>
                <w:szCs w:val="28"/>
              </w:rPr>
            </w:pPr>
            <w:r>
              <w:rPr>
                <w:rFonts w:hint="eastAsia" w:ascii="仿宋_GB2312" w:hAnsi="仿宋_GB2312" w:eastAsia="仿宋_GB2312" w:cs="仿宋_GB2312"/>
                <w:kern w:val="0"/>
                <w:sz w:val="18"/>
                <w:szCs w:val="28"/>
              </w:rPr>
              <w:t>满意度</w:t>
            </w:r>
          </w:p>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kern w:val="0"/>
                <w:sz w:val="18"/>
                <w:szCs w:val="28"/>
              </w:rPr>
              <w:t>指标</w:t>
            </w: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hint="eastAsia" w:ascii="仿宋_GB2312" w:hAnsi="仿宋_GB2312" w:eastAsia="仿宋_GB2312" w:cs="仿宋_GB2312"/>
                <w:sz w:val="18"/>
                <w:szCs w:val="28"/>
              </w:rPr>
              <w:t>服务对象满意度</w:t>
            </w:r>
          </w:p>
        </w:tc>
        <w:tc>
          <w:tcPr>
            <w:tcW w:w="117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95%</w:t>
            </w:r>
            <w:r>
              <w:rPr>
                <w:rFonts w:hint="eastAsia" w:ascii="仿宋_GB2312" w:hAnsi="仿宋_GB2312" w:eastAsia="仿宋_GB2312" w:cs="仿宋_GB2312"/>
                <w:sz w:val="18"/>
                <w:szCs w:val="28"/>
              </w:rPr>
              <w:t>以上</w:t>
            </w:r>
          </w:p>
        </w:tc>
        <w:tc>
          <w:tcPr>
            <w:tcW w:w="231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28"/>
              </w:rPr>
            </w:pPr>
            <w:r>
              <w:rPr>
                <w:rFonts w:ascii="仿宋_GB2312" w:hAnsi="仿宋_GB2312" w:eastAsia="仿宋_GB2312" w:cs="仿宋_GB2312"/>
                <w:sz w:val="18"/>
                <w:szCs w:val="28"/>
              </w:rPr>
              <w:t>96%</w:t>
            </w:r>
          </w:p>
        </w:tc>
      </w:tr>
    </w:tbl>
    <w:p>
      <w:pPr>
        <w:pStyle w:val="7"/>
        <w:spacing w:before="93"/>
      </w:pPr>
    </w:p>
    <w:tbl>
      <w:tblPr>
        <w:tblStyle w:val="14"/>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1976"/>
        <w:gridCol w:w="1142"/>
        <w:gridCol w:w="1635"/>
        <w:gridCol w:w="1189"/>
        <w:gridCol w:w="1224"/>
        <w:gridCol w:w="2409"/>
        <w:gridCol w:w="236"/>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仿宋_GB2312" w:hAnsi="宋体" w:eastAsia="仿宋_GB2312" w:cs="宋体"/>
                <w:b/>
                <w:szCs w:val="32"/>
              </w:rPr>
            </w:pPr>
            <w:r>
              <w:rPr>
                <w:rFonts w:hint="eastAsia" w:ascii="仿宋_GB2312" w:hAnsi="宋体" w:eastAsia="仿宋_GB2312" w:cs="宋体"/>
                <w:b/>
                <w:szCs w:val="32"/>
              </w:rPr>
              <w:t>2021年特定目标类部门预算项目绩效目标自评（临聘教师）</w:t>
            </w:r>
          </w:p>
        </w:tc>
        <w:tc>
          <w:tcPr>
            <w:tcW w:w="236" w:type="dxa"/>
            <w:tcBorders>
              <w:top w:val="nil"/>
              <w:left w:val="nil"/>
              <w:bottom w:val="nil"/>
              <w:right w:val="nil"/>
            </w:tcBorders>
            <w:shd w:val="clear" w:color="auto" w:fill="auto"/>
            <w:vAlign w:val="center"/>
          </w:tcPr>
          <w:p>
            <w:pPr>
              <w:widowControl/>
              <w:jc w:val="center"/>
              <w:textAlignment w:val="center"/>
              <w:rPr>
                <w:rFonts w:hint="eastAsia" w:ascii="仿宋_GB2312" w:hAnsi="宋体" w:eastAsia="仿宋_GB2312" w:cs="宋体"/>
                <w:b/>
                <w:kern w:val="0"/>
                <w:szCs w:val="32"/>
              </w:rPr>
            </w:pPr>
          </w:p>
        </w:tc>
      </w:tr>
      <w:tr>
        <w:tblPrEx>
          <w:tblCellMar>
            <w:top w:w="0" w:type="dxa"/>
            <w:left w:w="108" w:type="dxa"/>
            <w:bottom w:w="0" w:type="dxa"/>
            <w:right w:w="108" w:type="dxa"/>
          </w:tblCellMar>
        </w:tblPrEx>
        <w:trPr>
          <w:gridAfter w:val="1"/>
          <w:wAfter w:w="236" w:type="dxa"/>
          <w:trHeight w:val="254"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kern w:val="0"/>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eastAsia" w:ascii="仿宋_GB2312" w:hAnsi="宋体" w:eastAsia="仿宋_GB2312" w:cs="宋体"/>
              </w:rPr>
            </w:pPr>
            <w:r>
              <w:rPr>
                <w:rFonts w:hint="eastAsia" w:ascii="仿宋_GB2312" w:hAnsi="宋体" w:eastAsia="仿宋_GB2312" w:cs="宋体"/>
              </w:rPr>
              <w:t>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kern w:val="0"/>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仿宋_GB2312" w:hAnsi="宋体" w:eastAsia="仿宋_GB2312" w:cs="宋体"/>
                <w:lang w:val="en-US" w:eastAsia="zh-CN"/>
              </w:rPr>
            </w:pPr>
            <w:r>
              <w:rPr>
                <w:rFonts w:hint="eastAsia" w:ascii="仿宋_GB2312" w:hAnsi="宋体" w:eastAsia="仿宋_GB2312" w:cs="宋体"/>
              </w:rPr>
              <w:t>乐山市市中区</w:t>
            </w:r>
            <w:r>
              <w:rPr>
                <w:rFonts w:hint="eastAsia" w:ascii="仿宋_GB2312" w:hAnsi="宋体" w:eastAsia="仿宋_GB2312" w:cs="宋体"/>
                <w:lang w:val="en-US" w:eastAsia="zh-CN"/>
              </w:rPr>
              <w:t>童家学校</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kern w:val="0"/>
                <w:lang w:eastAsia="zh-CN"/>
              </w:rPr>
            </w:pPr>
            <w:r>
              <w:rPr>
                <w:rFonts w:hint="eastAsia" w:ascii="仿宋_GB2312" w:hAnsi="宋体" w:eastAsia="仿宋_GB2312" w:cs="宋体"/>
                <w:kern w:val="0"/>
              </w:rPr>
              <w:t>项目预算</w:t>
            </w:r>
          </w:p>
          <w:p>
            <w:pPr>
              <w:widowControl/>
              <w:spacing w:line="320" w:lineRule="exact"/>
              <w:jc w:val="center"/>
              <w:textAlignment w:val="center"/>
              <w:rPr>
                <w:rFonts w:hint="eastAsia" w:ascii="仿宋_GB2312" w:hAnsi="宋体" w:eastAsia="仿宋_GB2312" w:cs="宋体"/>
                <w:kern w:val="0"/>
                <w:lang w:eastAsia="zh-CN"/>
              </w:rPr>
            </w:pPr>
            <w:r>
              <w:rPr>
                <w:rFonts w:hint="eastAsia" w:ascii="仿宋_GB2312" w:hAnsi="宋体" w:eastAsia="仿宋_GB2312" w:cs="宋体"/>
                <w:kern w:val="0"/>
              </w:rPr>
              <w:t>执行情况</w:t>
            </w:r>
          </w:p>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kern w:val="0"/>
              </w:rPr>
              <w:t>（万元）</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kern w:val="0"/>
              </w:rPr>
              <w:t xml:space="preserve"> 预算数：</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仿宋_GB2312" w:hAnsi="宋体" w:eastAsia="仿宋_GB2312" w:cs="宋体"/>
                <w:lang w:val="en-US" w:eastAsia="zh-CN"/>
              </w:rPr>
            </w:pPr>
            <w:r>
              <w:rPr>
                <w:rFonts w:hint="eastAsia" w:ascii="仿宋_GB2312" w:hAnsi="宋体" w:eastAsia="仿宋_GB2312" w:cs="宋体"/>
                <w:lang w:val="en-US" w:eastAsia="zh-CN"/>
              </w:rPr>
              <w:t>46.26</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kern w:val="0"/>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仿宋_GB2312" w:hAnsi="宋体" w:eastAsia="仿宋_GB2312" w:cs="宋体"/>
                <w:lang w:val="en-US" w:eastAsia="zh-CN"/>
              </w:rPr>
            </w:pPr>
            <w:r>
              <w:rPr>
                <w:rFonts w:hint="eastAsia" w:ascii="仿宋_GB2312" w:hAnsi="宋体" w:eastAsia="仿宋_GB2312" w:cs="宋体"/>
                <w:lang w:val="en-US" w:eastAsia="zh-CN"/>
              </w:rPr>
              <w:t>46.26</w:t>
            </w:r>
          </w:p>
        </w:tc>
      </w:tr>
      <w:tr>
        <w:tblPrEx>
          <w:tblCellMar>
            <w:top w:w="0" w:type="dxa"/>
            <w:left w:w="108" w:type="dxa"/>
            <w:bottom w:w="0" w:type="dxa"/>
            <w:right w:w="108" w:type="dxa"/>
          </w:tblCellMar>
        </w:tblPrEx>
        <w:trPr>
          <w:gridAfter w:val="1"/>
          <w:wAfter w:w="236" w:type="dxa"/>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kern w:val="0"/>
              </w:rPr>
            </w:pPr>
            <w:r>
              <w:rPr>
                <w:rFonts w:hint="eastAsia" w:ascii="仿宋_GB2312" w:hAnsi="宋体" w:eastAsia="仿宋_GB2312" w:cs="宋体"/>
                <w:kern w:val="0"/>
              </w:rPr>
              <w:t>其中：</w:t>
            </w:r>
          </w:p>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kern w:val="0"/>
              </w:rPr>
              <w:t>财政拨款</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仿宋_GB2312" w:hAnsi="宋体" w:eastAsia="仿宋_GB2312" w:cs="宋体"/>
                <w:lang w:val="en-US" w:eastAsia="zh-CN"/>
              </w:rPr>
            </w:pPr>
            <w:r>
              <w:rPr>
                <w:rFonts w:hint="eastAsia" w:ascii="仿宋_GB2312" w:hAnsi="宋体" w:eastAsia="仿宋_GB2312" w:cs="宋体"/>
                <w:lang w:val="en-US" w:eastAsia="zh-CN"/>
              </w:rPr>
              <w:t>36.16</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kern w:val="0"/>
              </w:rPr>
            </w:pPr>
            <w:r>
              <w:rPr>
                <w:rFonts w:hint="eastAsia" w:ascii="仿宋_GB2312" w:hAnsi="宋体" w:eastAsia="仿宋_GB2312" w:cs="宋体"/>
                <w:kern w:val="0"/>
              </w:rPr>
              <w:t>其中：</w:t>
            </w:r>
          </w:p>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kern w:val="0"/>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default" w:ascii="仿宋_GB2312" w:hAnsi="宋体" w:eastAsia="仿宋_GB2312" w:cs="宋体"/>
                <w:lang w:val="en-US" w:eastAsia="zh-CN"/>
              </w:rPr>
            </w:pPr>
            <w:r>
              <w:rPr>
                <w:rFonts w:hint="eastAsia" w:ascii="仿宋_GB2312" w:hAnsi="宋体" w:eastAsia="仿宋_GB2312" w:cs="宋体"/>
                <w:lang w:val="en-US" w:eastAsia="zh-CN"/>
              </w:rPr>
              <w:t>36.16</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kern w:val="0"/>
              </w:rPr>
              <w:t>其他资金</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rPr>
              <w:t>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rPr>
            </w:pPr>
            <w:r>
              <w:rPr>
                <w:rFonts w:hint="eastAsia" w:ascii="仿宋_GB2312" w:hAnsi="宋体" w:eastAsia="仿宋_GB2312" w:cs="宋体"/>
                <w:kern w:val="0"/>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rPr>
              <w:t>0</w:t>
            </w:r>
          </w:p>
        </w:tc>
      </w:tr>
      <w:tr>
        <w:tblPrEx>
          <w:tblCellMar>
            <w:top w:w="0" w:type="dxa"/>
            <w:left w:w="108" w:type="dxa"/>
            <w:bottom w:w="0" w:type="dxa"/>
            <w:right w:w="108" w:type="dxa"/>
          </w:tblCellMar>
        </w:tblPrEx>
        <w:trPr>
          <w:gridAfter w:val="1"/>
          <w:wAfter w:w="236" w:type="dxa"/>
          <w:trHeight w:val="217"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kern w:val="0"/>
              </w:rPr>
            </w:pPr>
            <w:r>
              <w:rPr>
                <w:rFonts w:hint="eastAsia" w:ascii="仿宋_GB2312" w:hAnsi="宋体" w:eastAsia="仿宋_GB2312" w:cs="宋体"/>
                <w:kern w:val="0"/>
              </w:rPr>
              <w:t>年度总体目标</w:t>
            </w:r>
          </w:p>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kern w:val="0"/>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kern w:val="0"/>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rPr>
            </w:pPr>
            <w:r>
              <w:rPr>
                <w:rFonts w:hint="eastAsia" w:ascii="仿宋_GB2312" w:hAnsi="宋体" w:eastAsia="仿宋_GB2312" w:cs="宋体"/>
                <w:kern w:val="0"/>
              </w:rPr>
              <w:t>目标实际完成情况</w:t>
            </w:r>
          </w:p>
        </w:tc>
      </w:tr>
      <w:tr>
        <w:tblPrEx>
          <w:tblCellMar>
            <w:top w:w="0" w:type="dxa"/>
            <w:left w:w="108" w:type="dxa"/>
            <w:bottom w:w="0" w:type="dxa"/>
            <w:right w:w="108" w:type="dxa"/>
          </w:tblCellMar>
        </w:tblPrEx>
        <w:trPr>
          <w:gridAfter w:val="1"/>
          <w:wAfter w:w="236" w:type="dxa"/>
          <w:trHeight w:val="79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center"/>
              <w:textAlignment w:val="top"/>
              <w:rPr>
                <w:rFonts w:hint="eastAsia" w:ascii="仿宋_GB2312" w:hAnsi="宋体" w:eastAsia="仿宋_GB2312" w:cs="宋体"/>
              </w:rPr>
            </w:pPr>
            <w:r>
              <w:rPr>
                <w:rFonts w:hint="eastAsia" w:ascii="仿宋_GB2312" w:hAnsi="宋体" w:eastAsia="仿宋_GB2312" w:cs="宋体"/>
              </w:rPr>
              <w:t>完成教学计划，确保临聘教师工资按时足额发放。</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hint="eastAsia" w:ascii="仿宋_GB2312" w:hAnsi="宋体" w:eastAsia="仿宋_GB2312" w:cs="宋体"/>
              </w:rPr>
            </w:pPr>
            <w:r>
              <w:rPr>
                <w:rFonts w:hint="eastAsia" w:ascii="仿宋_GB2312" w:hAnsi="宋体" w:eastAsia="仿宋_GB2312" w:cs="宋体"/>
              </w:rPr>
              <w:t>我校2021年共聘请</w:t>
            </w:r>
            <w:r>
              <w:rPr>
                <w:rFonts w:hint="eastAsia" w:ascii="仿宋_GB2312" w:hAnsi="宋体" w:eastAsia="仿宋_GB2312" w:cs="宋体"/>
                <w:lang w:val="en-US" w:eastAsia="zh-CN"/>
              </w:rPr>
              <w:t>4</w:t>
            </w:r>
            <w:r>
              <w:rPr>
                <w:rFonts w:hint="eastAsia" w:ascii="仿宋_GB2312" w:hAnsi="宋体" w:eastAsia="仿宋_GB2312" w:cs="宋体"/>
              </w:rPr>
              <w:t>名临聘教师，按时完成教学计划，教师工作也足额发放。</w:t>
            </w:r>
          </w:p>
        </w:tc>
      </w:tr>
      <w:tr>
        <w:tblPrEx>
          <w:tblCellMar>
            <w:top w:w="0" w:type="dxa"/>
            <w:left w:w="108" w:type="dxa"/>
            <w:bottom w:w="0" w:type="dxa"/>
            <w:right w:w="108" w:type="dxa"/>
          </w:tblCellMar>
        </w:tblPrEx>
        <w:trPr>
          <w:gridAfter w:val="1"/>
          <w:wAfter w:w="236" w:type="dxa"/>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Cs w:val="28"/>
              </w:rPr>
            </w:pPr>
            <w:r>
              <w:rPr>
                <w:rFonts w:hint="eastAsia" w:ascii="仿宋_GB2312" w:hAnsi="仿宋_GB2312" w:eastAsia="仿宋_GB2312" w:cs="仿宋_GB2312"/>
                <w:kern w:val="0"/>
                <w:szCs w:val="28"/>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Cs w:val="28"/>
              </w:rPr>
            </w:pPr>
            <w:r>
              <w:rPr>
                <w:rFonts w:hint="eastAsia" w:ascii="仿宋_GB2312" w:hAnsi="仿宋_GB2312" w:eastAsia="仿宋_GB2312" w:cs="仿宋_GB2312"/>
                <w:kern w:val="0"/>
                <w:szCs w:val="28"/>
              </w:rPr>
              <w:t>一级</w:t>
            </w:r>
          </w:p>
          <w:p>
            <w:pPr>
              <w:widowControl/>
              <w:spacing w:line="320" w:lineRule="exact"/>
              <w:jc w:val="center"/>
              <w:textAlignment w:val="center"/>
              <w:rPr>
                <w:rFonts w:hint="eastAsia" w:ascii="仿宋_GB2312" w:hAnsi="仿宋_GB2312" w:eastAsia="仿宋_GB2312" w:cs="仿宋_GB2312"/>
                <w:szCs w:val="28"/>
              </w:rPr>
            </w:pPr>
            <w:r>
              <w:rPr>
                <w:rFonts w:hint="eastAsia" w:ascii="仿宋_GB2312" w:hAnsi="仿宋_GB2312" w:eastAsia="仿宋_GB2312" w:cs="仿宋_GB2312"/>
                <w:kern w:val="0"/>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Cs w:val="28"/>
              </w:rPr>
            </w:pPr>
            <w:r>
              <w:rPr>
                <w:rFonts w:hint="eastAsia" w:ascii="仿宋_GB2312" w:hAnsi="仿宋_GB2312" w:eastAsia="仿宋_GB2312" w:cs="仿宋_GB2312"/>
                <w:kern w:val="0"/>
                <w:szCs w:val="28"/>
              </w:rPr>
              <w:t>二级</w:t>
            </w:r>
          </w:p>
          <w:p>
            <w:pPr>
              <w:widowControl/>
              <w:spacing w:line="320" w:lineRule="exact"/>
              <w:jc w:val="center"/>
              <w:textAlignment w:val="center"/>
              <w:rPr>
                <w:rFonts w:hint="eastAsia" w:ascii="仿宋_GB2312" w:hAnsi="仿宋_GB2312" w:eastAsia="仿宋_GB2312" w:cs="仿宋_GB2312"/>
                <w:szCs w:val="28"/>
              </w:rPr>
            </w:pPr>
            <w:r>
              <w:rPr>
                <w:rFonts w:hint="eastAsia" w:ascii="仿宋_GB2312" w:hAnsi="仿宋_GB2312" w:eastAsia="仿宋_GB2312" w:cs="仿宋_GB2312"/>
                <w:kern w:val="0"/>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Cs w:val="28"/>
              </w:rPr>
            </w:pPr>
            <w:r>
              <w:rPr>
                <w:rFonts w:hint="eastAsia" w:ascii="仿宋_GB2312" w:hAnsi="仿宋_GB2312" w:eastAsia="仿宋_GB2312" w:cs="仿宋_GB2312"/>
                <w:kern w:val="0"/>
                <w:szCs w:val="28"/>
              </w:rPr>
              <w:t>三级</w:t>
            </w:r>
          </w:p>
          <w:p>
            <w:pPr>
              <w:widowControl/>
              <w:spacing w:line="320" w:lineRule="exact"/>
              <w:jc w:val="center"/>
              <w:textAlignment w:val="center"/>
              <w:rPr>
                <w:rFonts w:hint="eastAsia" w:ascii="仿宋_GB2312" w:hAnsi="仿宋_GB2312" w:eastAsia="仿宋_GB2312" w:cs="仿宋_GB2312"/>
                <w:szCs w:val="28"/>
              </w:rPr>
            </w:pPr>
            <w:r>
              <w:rPr>
                <w:rFonts w:hint="eastAsia" w:ascii="仿宋_GB2312" w:hAnsi="仿宋_GB2312" w:eastAsia="仿宋_GB2312" w:cs="仿宋_GB2312"/>
                <w:kern w:val="0"/>
                <w:szCs w:val="28"/>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Cs w:val="28"/>
              </w:rPr>
            </w:pPr>
            <w:r>
              <w:rPr>
                <w:rFonts w:hint="eastAsia" w:ascii="仿宋_GB2312" w:hAnsi="仿宋_GB2312" w:eastAsia="仿宋_GB2312" w:cs="仿宋_GB2312"/>
                <w:kern w:val="0"/>
                <w:szCs w:val="28"/>
              </w:rPr>
              <w:t>预期指标值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Cs w:val="28"/>
              </w:rPr>
            </w:pPr>
            <w:r>
              <w:rPr>
                <w:rFonts w:hint="eastAsia" w:ascii="仿宋_GB2312" w:hAnsi="仿宋_GB2312" w:eastAsia="仿宋_GB2312" w:cs="仿宋_GB2312"/>
                <w:kern w:val="0"/>
                <w:szCs w:val="28"/>
              </w:rPr>
              <w:t>实际完成指标值</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Cs w:val="28"/>
              </w:rPr>
            </w:pPr>
            <w:r>
              <w:rPr>
                <w:rFonts w:hint="eastAsia" w:ascii="仿宋_GB2312" w:hAnsi="仿宋_GB2312" w:eastAsia="仿宋_GB2312" w:cs="仿宋_GB2312"/>
                <w:kern w:val="0"/>
                <w:szCs w:val="28"/>
              </w:rPr>
              <w:t>完成</w:t>
            </w:r>
          </w:p>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数量指标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临聘教师</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lang w:val="en-US" w:eastAsia="zh-CN"/>
              </w:rPr>
              <w:t>4</w:t>
            </w:r>
            <w:r>
              <w:rPr>
                <w:rFonts w:hint="eastAsia" w:ascii="仿宋_GB2312" w:hAnsi="仿宋_GB2312" w:eastAsia="仿宋_GB2312" w:cs="仿宋_GB2312"/>
                <w:szCs w:val="28"/>
              </w:rPr>
              <w:t>人</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lang w:val="en-US" w:eastAsia="zh-CN"/>
              </w:rPr>
              <w:t>4</w:t>
            </w:r>
            <w:r>
              <w:rPr>
                <w:rFonts w:hint="eastAsia" w:ascii="仿宋_GB2312" w:hAnsi="仿宋_GB2312" w:eastAsia="仿宋_GB2312" w:cs="仿宋_GB2312"/>
                <w:szCs w:val="28"/>
              </w:rPr>
              <w:t>人</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质量指标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临聘教师教学完成情况及质量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优</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优</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时效指标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完成时间节点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2021年1月1日-2021年12月31日</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2021年1月1日-2021年12月31日</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成本指标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临聘教师工资及社保支出</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lang w:val="en-US" w:eastAsia="zh-CN"/>
              </w:rPr>
              <w:t>9.04</w:t>
            </w:r>
            <w:r>
              <w:rPr>
                <w:rFonts w:hint="eastAsia" w:ascii="仿宋_GB2312" w:hAnsi="仿宋_GB2312" w:eastAsia="仿宋_GB2312" w:cs="仿宋_GB2312"/>
                <w:szCs w:val="28"/>
              </w:rPr>
              <w:t>万元/人</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lang w:val="en-US" w:eastAsia="zh-CN"/>
              </w:rPr>
              <w:t>9.04</w:t>
            </w:r>
            <w:r>
              <w:rPr>
                <w:rFonts w:hint="eastAsia" w:ascii="仿宋_GB2312" w:hAnsi="仿宋_GB2312" w:eastAsia="仿宋_GB2312" w:cs="仿宋_GB2312"/>
                <w:szCs w:val="28"/>
              </w:rPr>
              <w:t>万元/人</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Cs w:val="28"/>
                <w:lang w:eastAsia="zh-CN"/>
              </w:rPr>
            </w:pPr>
            <w:r>
              <w:rPr>
                <w:rFonts w:hint="eastAsia" w:ascii="仿宋_GB2312" w:hAnsi="仿宋_GB2312" w:eastAsia="仿宋_GB2312" w:cs="仿宋_GB2312"/>
                <w:kern w:val="0"/>
                <w:szCs w:val="28"/>
              </w:rPr>
              <w:t>效益</w:t>
            </w:r>
          </w:p>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经济效益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社会效益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提高学校教学质量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良</w:t>
            </w:r>
          </w:p>
        </w:tc>
      </w:tr>
      <w:tr>
        <w:tblPrEx>
          <w:tblCellMar>
            <w:top w:w="0" w:type="dxa"/>
            <w:left w:w="108" w:type="dxa"/>
            <w:bottom w:w="0" w:type="dxa"/>
            <w:right w:w="108" w:type="dxa"/>
          </w:tblCellMar>
        </w:tblPrEx>
        <w:trPr>
          <w:gridAfter w:val="1"/>
          <w:wAfter w:w="236" w:type="dxa"/>
          <w:trHeight w:val="577"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393" w:leftChars="87" w:hanging="210" w:hangingChars="100"/>
              <w:jc w:val="left"/>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生态效益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可持续影响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Cs w:val="28"/>
              </w:rPr>
            </w:pPr>
          </w:p>
        </w:tc>
      </w:tr>
      <w:tr>
        <w:tblPrEx>
          <w:tblCellMar>
            <w:top w:w="0" w:type="dxa"/>
            <w:left w:w="108" w:type="dxa"/>
            <w:bottom w:w="0" w:type="dxa"/>
            <w:right w:w="108" w:type="dxa"/>
          </w:tblCellMar>
        </w:tblPrEx>
        <w:trPr>
          <w:gridAfter w:val="1"/>
          <w:wAfter w:w="236" w:type="dxa"/>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Cs w:val="28"/>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Cs w:val="28"/>
                <w:lang w:eastAsia="zh-CN"/>
              </w:rPr>
            </w:pPr>
            <w:r>
              <w:rPr>
                <w:rFonts w:hint="eastAsia" w:ascii="仿宋_GB2312" w:hAnsi="仿宋_GB2312" w:eastAsia="仿宋_GB2312" w:cs="仿宋_GB2312"/>
                <w:kern w:val="0"/>
                <w:szCs w:val="28"/>
              </w:rPr>
              <w:t>满意</w:t>
            </w:r>
          </w:p>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度指标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Cs w:val="28"/>
              </w:rPr>
            </w:pPr>
            <w:r>
              <w:rPr>
                <w:rFonts w:hint="eastAsia" w:ascii="仿宋_GB2312" w:hAnsi="仿宋_GB2312" w:eastAsia="仿宋_GB2312" w:cs="仿宋_GB2312"/>
                <w:kern w:val="0"/>
                <w:szCs w:val="28"/>
              </w:rPr>
              <w:t>满意度</w:t>
            </w:r>
          </w:p>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kern w:val="0"/>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服务对象满意度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95%以上</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szCs w:val="28"/>
              </w:rPr>
            </w:pPr>
            <w:r>
              <w:rPr>
                <w:rFonts w:hint="eastAsia" w:ascii="仿宋_GB2312" w:hAnsi="仿宋_GB2312" w:eastAsia="仿宋_GB2312" w:cs="仿宋_GB2312"/>
                <w:szCs w:val="28"/>
              </w:rPr>
              <w:t>97%</w:t>
            </w:r>
          </w:p>
        </w:tc>
      </w:tr>
    </w:tbl>
    <w:p>
      <w:pPr>
        <w:pStyle w:val="7"/>
        <w:spacing w:before="93"/>
      </w:pPr>
    </w:p>
    <w:tbl>
      <w:tblPr>
        <w:tblStyle w:val="14"/>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1976"/>
        <w:gridCol w:w="1142"/>
        <w:gridCol w:w="1635"/>
        <w:gridCol w:w="1189"/>
        <w:gridCol w:w="1224"/>
        <w:gridCol w:w="2409"/>
        <w:gridCol w:w="236"/>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hint="eastAsia" w:ascii="仿宋_GB2312" w:hAnsi="宋体" w:eastAsia="仿宋_GB2312" w:cs="宋体"/>
                <w:b/>
                <w:sz w:val="22"/>
                <w:szCs w:val="32"/>
              </w:rPr>
            </w:pPr>
          </w:p>
          <w:p>
            <w:pPr>
              <w:widowControl/>
              <w:jc w:val="center"/>
              <w:textAlignment w:val="center"/>
              <w:rPr>
                <w:rFonts w:hint="eastAsia" w:ascii="仿宋_GB2312" w:hAnsi="宋体" w:eastAsia="仿宋_GB2312" w:cs="宋体"/>
                <w:b/>
                <w:sz w:val="22"/>
                <w:szCs w:val="32"/>
              </w:rPr>
            </w:pPr>
          </w:p>
          <w:p>
            <w:pPr>
              <w:widowControl/>
              <w:jc w:val="center"/>
              <w:textAlignment w:val="center"/>
              <w:rPr>
                <w:rFonts w:hint="eastAsia" w:ascii="仿宋_GB2312" w:hAnsi="宋体" w:eastAsia="仿宋_GB2312" w:cs="宋体"/>
                <w:b/>
                <w:sz w:val="22"/>
                <w:szCs w:val="32"/>
              </w:rPr>
            </w:pPr>
          </w:p>
          <w:p>
            <w:pPr>
              <w:widowControl/>
              <w:jc w:val="center"/>
              <w:textAlignment w:val="center"/>
              <w:rPr>
                <w:rFonts w:hint="eastAsia" w:ascii="仿宋_GB2312" w:hAnsi="宋体" w:eastAsia="仿宋_GB2312" w:cs="宋体"/>
                <w:b/>
                <w:sz w:val="22"/>
                <w:szCs w:val="32"/>
              </w:rPr>
            </w:pPr>
            <w:r>
              <w:rPr>
                <w:rFonts w:hint="eastAsia" w:ascii="仿宋_GB2312" w:hAnsi="宋体" w:eastAsia="仿宋_GB2312" w:cs="宋体"/>
                <w:b/>
                <w:sz w:val="22"/>
                <w:szCs w:val="32"/>
              </w:rPr>
              <w:t>2021年特定目标类部门预算项目绩效目标自评（寄宿制补助经费）</w:t>
            </w:r>
          </w:p>
        </w:tc>
        <w:tc>
          <w:tcPr>
            <w:tcW w:w="236" w:type="dxa"/>
            <w:tcBorders>
              <w:top w:val="nil"/>
              <w:left w:val="nil"/>
              <w:bottom w:val="nil"/>
              <w:right w:val="nil"/>
            </w:tcBorders>
            <w:shd w:val="clear" w:color="auto" w:fill="auto"/>
            <w:vAlign w:val="center"/>
          </w:tcPr>
          <w:p>
            <w:pPr>
              <w:widowControl/>
              <w:jc w:val="center"/>
              <w:textAlignment w:val="center"/>
              <w:rPr>
                <w:rFonts w:hint="eastAsia" w:ascii="仿宋_GB2312" w:hAnsi="宋体" w:eastAsia="仿宋_GB2312" w:cs="宋体"/>
                <w:b/>
                <w:kern w:val="0"/>
                <w:sz w:val="22"/>
                <w:szCs w:val="32"/>
              </w:rPr>
            </w:pPr>
          </w:p>
        </w:tc>
      </w:tr>
      <w:tr>
        <w:tblPrEx>
          <w:tblCellMar>
            <w:top w:w="0" w:type="dxa"/>
            <w:left w:w="108" w:type="dxa"/>
            <w:bottom w:w="0" w:type="dxa"/>
            <w:right w:w="108" w:type="dxa"/>
          </w:tblCellMar>
        </w:tblPrEx>
        <w:trPr>
          <w:gridAfter w:val="1"/>
          <w:wAfter w:w="236" w:type="dxa"/>
          <w:trHeight w:val="254"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eastAsia" w:ascii="仿宋_GB2312" w:hAnsi="宋体" w:eastAsia="仿宋_GB2312" w:cs="宋体"/>
                <w:sz w:val="22"/>
              </w:rPr>
            </w:pPr>
            <w:r>
              <w:rPr>
                <w:rFonts w:hint="eastAsia" w:ascii="仿宋_GB2312" w:hAnsi="宋体" w:eastAsia="仿宋_GB2312" w:cs="宋体"/>
                <w:sz w:val="22"/>
              </w:rPr>
              <w:t>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仿宋_GB2312" w:hAnsi="宋体" w:eastAsia="仿宋_GB2312" w:cs="宋体"/>
                <w:sz w:val="22"/>
                <w:lang w:val="en-US" w:eastAsia="zh-CN"/>
              </w:rPr>
            </w:pPr>
            <w:r>
              <w:rPr>
                <w:rFonts w:hint="eastAsia" w:ascii="仿宋_GB2312" w:hAnsi="宋体" w:eastAsia="仿宋_GB2312" w:cs="宋体"/>
                <w:sz w:val="22"/>
              </w:rPr>
              <w:t>乐山市市中区</w:t>
            </w:r>
            <w:r>
              <w:rPr>
                <w:rFonts w:hint="eastAsia" w:ascii="仿宋_GB2312" w:hAnsi="宋体" w:eastAsia="仿宋_GB2312" w:cs="宋体"/>
                <w:sz w:val="22"/>
                <w:lang w:val="en-US" w:eastAsia="zh-CN"/>
              </w:rPr>
              <w:t>童家学校</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kern w:val="0"/>
                <w:sz w:val="22"/>
                <w:lang w:eastAsia="zh-CN"/>
              </w:rPr>
            </w:pPr>
            <w:r>
              <w:rPr>
                <w:rFonts w:hint="eastAsia" w:ascii="仿宋_GB2312" w:hAnsi="宋体" w:eastAsia="仿宋_GB2312" w:cs="宋体"/>
                <w:kern w:val="0"/>
                <w:sz w:val="22"/>
              </w:rPr>
              <w:t>项目预算</w:t>
            </w:r>
          </w:p>
          <w:p>
            <w:pPr>
              <w:widowControl/>
              <w:spacing w:line="320" w:lineRule="exact"/>
              <w:jc w:val="center"/>
              <w:textAlignment w:val="center"/>
              <w:rPr>
                <w:rFonts w:hint="eastAsia" w:ascii="仿宋_GB2312" w:hAnsi="宋体" w:eastAsia="仿宋_GB2312" w:cs="宋体"/>
                <w:kern w:val="0"/>
                <w:sz w:val="22"/>
                <w:lang w:eastAsia="zh-CN"/>
              </w:rPr>
            </w:pPr>
            <w:r>
              <w:rPr>
                <w:rFonts w:hint="eastAsia" w:ascii="仿宋_GB2312" w:hAnsi="宋体" w:eastAsia="仿宋_GB2312" w:cs="宋体"/>
                <w:kern w:val="0"/>
                <w:sz w:val="22"/>
              </w:rPr>
              <w:t>执行情况</w:t>
            </w:r>
          </w:p>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（万元）</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 xml:space="preserve"> 预算数：</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仿宋_GB2312" w:hAnsi="宋体" w:eastAsia="仿宋_GB2312" w:cs="宋体"/>
                <w:sz w:val="22"/>
                <w:lang w:val="en-US" w:eastAsia="zh-CN"/>
              </w:rPr>
            </w:pPr>
            <w:r>
              <w:rPr>
                <w:rFonts w:hint="eastAsia" w:ascii="仿宋_GB2312" w:hAnsi="宋体" w:eastAsia="仿宋_GB2312" w:cs="宋体"/>
                <w:sz w:val="22"/>
                <w:lang w:val="en-US" w:eastAsia="zh-CN"/>
              </w:rPr>
              <w:t>12.39</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仿宋_GB2312" w:hAnsi="宋体" w:eastAsia="仿宋_GB2312" w:cs="宋体"/>
                <w:sz w:val="22"/>
                <w:lang w:val="en-US" w:eastAsia="zh-CN"/>
              </w:rPr>
            </w:pPr>
            <w:r>
              <w:rPr>
                <w:rFonts w:hint="eastAsia" w:ascii="仿宋_GB2312" w:hAnsi="宋体" w:eastAsia="仿宋_GB2312" w:cs="宋体"/>
                <w:sz w:val="22"/>
                <w:lang w:val="en-US" w:eastAsia="zh-CN"/>
              </w:rPr>
              <w:t>12.39</w:t>
            </w:r>
          </w:p>
        </w:tc>
      </w:tr>
      <w:tr>
        <w:tblPrEx>
          <w:tblCellMar>
            <w:top w:w="0" w:type="dxa"/>
            <w:left w:w="108" w:type="dxa"/>
            <w:bottom w:w="0" w:type="dxa"/>
            <w:right w:w="108" w:type="dxa"/>
          </w:tblCellMar>
        </w:tblPrEx>
        <w:trPr>
          <w:gridAfter w:val="1"/>
          <w:wAfter w:w="236" w:type="dxa"/>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sz w:val="22"/>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kern w:val="0"/>
                <w:sz w:val="22"/>
              </w:rPr>
            </w:pPr>
            <w:r>
              <w:rPr>
                <w:rFonts w:hint="eastAsia" w:ascii="仿宋_GB2312" w:hAnsi="宋体" w:eastAsia="仿宋_GB2312" w:cs="宋体"/>
                <w:kern w:val="0"/>
                <w:sz w:val="22"/>
              </w:rPr>
              <w:t>其中：</w:t>
            </w:r>
          </w:p>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财政拨款</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仿宋_GB2312" w:hAnsi="宋体" w:eastAsia="仿宋_GB2312" w:cs="宋体"/>
                <w:sz w:val="22"/>
                <w:lang w:val="en-US" w:eastAsia="zh-CN"/>
              </w:rPr>
            </w:pPr>
            <w:r>
              <w:rPr>
                <w:rFonts w:hint="eastAsia" w:ascii="仿宋_GB2312" w:hAnsi="宋体" w:eastAsia="仿宋_GB2312" w:cs="宋体"/>
                <w:sz w:val="22"/>
                <w:lang w:val="en-US" w:eastAsia="zh-CN"/>
              </w:rPr>
              <w:t>12.39</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kern w:val="0"/>
                <w:sz w:val="22"/>
              </w:rPr>
            </w:pPr>
            <w:r>
              <w:rPr>
                <w:rFonts w:hint="eastAsia" w:ascii="仿宋_GB2312" w:hAnsi="宋体" w:eastAsia="仿宋_GB2312" w:cs="宋体"/>
                <w:kern w:val="0"/>
                <w:sz w:val="22"/>
              </w:rPr>
              <w:t>其中：</w:t>
            </w:r>
          </w:p>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default" w:ascii="仿宋_GB2312" w:hAnsi="宋体" w:eastAsia="仿宋_GB2312" w:cs="宋体"/>
                <w:sz w:val="22"/>
                <w:lang w:val="en-US" w:eastAsia="zh-CN"/>
              </w:rPr>
            </w:pPr>
            <w:r>
              <w:rPr>
                <w:rFonts w:hint="eastAsia" w:ascii="仿宋_GB2312" w:hAnsi="宋体" w:eastAsia="仿宋_GB2312" w:cs="宋体"/>
                <w:sz w:val="22"/>
                <w:lang w:val="en-US" w:eastAsia="zh-CN"/>
              </w:rPr>
              <w:t>12.39</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sz w:val="22"/>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其他资金</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sz w:val="22"/>
              </w:rPr>
              <w:t>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sz w:val="22"/>
              </w:rPr>
              <w:t>0</w:t>
            </w:r>
          </w:p>
        </w:tc>
      </w:tr>
      <w:tr>
        <w:tblPrEx>
          <w:tblCellMar>
            <w:top w:w="0" w:type="dxa"/>
            <w:left w:w="108" w:type="dxa"/>
            <w:bottom w:w="0" w:type="dxa"/>
            <w:right w:w="108" w:type="dxa"/>
          </w:tblCellMar>
        </w:tblPrEx>
        <w:trPr>
          <w:gridAfter w:val="1"/>
          <w:wAfter w:w="236" w:type="dxa"/>
          <w:trHeight w:val="217"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kern w:val="0"/>
                <w:sz w:val="22"/>
              </w:rPr>
            </w:pPr>
            <w:r>
              <w:rPr>
                <w:rFonts w:hint="eastAsia" w:ascii="仿宋_GB2312" w:hAnsi="宋体" w:eastAsia="仿宋_GB2312" w:cs="宋体"/>
                <w:kern w:val="0"/>
                <w:sz w:val="22"/>
              </w:rPr>
              <w:t>年度总体目标</w:t>
            </w:r>
          </w:p>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目标实际完成情况</w:t>
            </w:r>
          </w:p>
        </w:tc>
      </w:tr>
      <w:tr>
        <w:tblPrEx>
          <w:tblCellMar>
            <w:top w:w="0" w:type="dxa"/>
            <w:left w:w="108" w:type="dxa"/>
            <w:bottom w:w="0" w:type="dxa"/>
            <w:right w:w="108" w:type="dxa"/>
          </w:tblCellMar>
        </w:tblPrEx>
        <w:trPr>
          <w:gridAfter w:val="1"/>
          <w:wAfter w:w="236" w:type="dxa"/>
          <w:trHeight w:val="79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sz w:val="22"/>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hint="eastAsia" w:ascii="仿宋_GB2312" w:hAnsi="宋体" w:eastAsia="仿宋_GB2312" w:cs="宋体"/>
                <w:sz w:val="22"/>
              </w:rPr>
            </w:pPr>
            <w:r>
              <w:rPr>
                <w:rFonts w:hint="eastAsia" w:ascii="仿宋_GB2312" w:hAnsi="宋体" w:eastAsia="仿宋_GB2312" w:cs="宋体"/>
                <w:sz w:val="22"/>
              </w:rPr>
              <w:t>保障寄宿制学校义务教育阶段教学工作正常开展。</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hint="eastAsia" w:ascii="仿宋_GB2312" w:hAnsi="宋体" w:eastAsia="仿宋_GB2312" w:cs="宋体"/>
                <w:sz w:val="22"/>
              </w:rPr>
            </w:pPr>
            <w:r>
              <w:rPr>
                <w:rFonts w:hint="eastAsia" w:ascii="仿宋_GB2312" w:hAnsi="宋体" w:eastAsia="仿宋_GB2312" w:cs="宋体"/>
                <w:sz w:val="22"/>
              </w:rPr>
              <w:t>2021年，我校正常寄宿制开展义务教育阶段教学工作开展。</w:t>
            </w:r>
          </w:p>
        </w:tc>
      </w:tr>
      <w:tr>
        <w:tblPrEx>
          <w:tblCellMar>
            <w:top w:w="0" w:type="dxa"/>
            <w:left w:w="108" w:type="dxa"/>
            <w:bottom w:w="0" w:type="dxa"/>
            <w:right w:w="108" w:type="dxa"/>
          </w:tblCellMar>
        </w:tblPrEx>
        <w:trPr>
          <w:gridAfter w:val="1"/>
          <w:wAfter w:w="236" w:type="dxa"/>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一级</w:t>
            </w:r>
          </w:p>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二级</w:t>
            </w:r>
          </w:p>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三级</w:t>
            </w:r>
          </w:p>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预期指标值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实际完成指标值</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完成</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数量指标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寄宿生人数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lang w:val="en-US" w:eastAsia="zh-CN"/>
              </w:rPr>
              <w:t>177</w:t>
            </w:r>
            <w:r>
              <w:rPr>
                <w:rFonts w:hint="eastAsia" w:ascii="仿宋_GB2312" w:hAnsi="仿宋_GB2312" w:eastAsia="仿宋_GB2312" w:cs="仿宋_GB2312"/>
                <w:sz w:val="22"/>
                <w:szCs w:val="28"/>
              </w:rPr>
              <w:t>人</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lang w:val="en-US" w:eastAsia="zh-CN"/>
              </w:rPr>
              <w:t>177</w:t>
            </w:r>
            <w:r>
              <w:rPr>
                <w:rFonts w:hint="eastAsia" w:ascii="仿宋_GB2312" w:hAnsi="仿宋_GB2312" w:eastAsia="仿宋_GB2312" w:cs="仿宋_GB2312"/>
                <w:sz w:val="22"/>
                <w:szCs w:val="28"/>
              </w:rPr>
              <w:t>人</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质量指标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寄宿制管理工作开展情况</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良</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时效指标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完成时间节点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16"/>
                <w:szCs w:val="28"/>
              </w:rPr>
              <w:t>2021年1月1日-2021年12月31日</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16"/>
                <w:szCs w:val="28"/>
              </w:rPr>
              <w:t>2021年1月1日-2021年12月31日</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成本指标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每生安排补助公用经费金额</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700元/人</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700元/人</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 w:val="22"/>
                <w:szCs w:val="28"/>
                <w:lang w:eastAsia="zh-CN"/>
              </w:rPr>
            </w:pPr>
            <w:r>
              <w:rPr>
                <w:rFonts w:hint="eastAsia" w:ascii="仿宋_GB2312" w:hAnsi="仿宋_GB2312" w:eastAsia="仿宋_GB2312" w:cs="仿宋_GB2312"/>
                <w:kern w:val="0"/>
                <w:sz w:val="22"/>
                <w:szCs w:val="28"/>
              </w:rPr>
              <w:t>效益</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经济效益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社会效益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保障学校寄宿制管理工作经费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良</w:t>
            </w:r>
          </w:p>
        </w:tc>
      </w:tr>
      <w:tr>
        <w:tblPrEx>
          <w:tblCellMar>
            <w:top w:w="0" w:type="dxa"/>
            <w:left w:w="108" w:type="dxa"/>
            <w:bottom w:w="0" w:type="dxa"/>
            <w:right w:w="108" w:type="dxa"/>
          </w:tblCellMar>
        </w:tblPrEx>
        <w:trPr>
          <w:gridAfter w:val="1"/>
          <w:wAfter w:w="236" w:type="dxa"/>
          <w:trHeight w:val="577"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403" w:leftChars="87" w:hanging="220" w:hangingChars="100"/>
              <w:jc w:val="left"/>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生态效益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可持续影响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r>
      <w:tr>
        <w:tblPrEx>
          <w:tblCellMar>
            <w:top w:w="0" w:type="dxa"/>
            <w:left w:w="108" w:type="dxa"/>
            <w:bottom w:w="0" w:type="dxa"/>
            <w:right w:w="108" w:type="dxa"/>
          </w:tblCellMar>
        </w:tblPrEx>
        <w:trPr>
          <w:gridAfter w:val="1"/>
          <w:wAfter w:w="236" w:type="dxa"/>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 w:val="22"/>
                <w:szCs w:val="28"/>
                <w:lang w:eastAsia="zh-CN"/>
              </w:rPr>
            </w:pPr>
            <w:r>
              <w:rPr>
                <w:rFonts w:hint="eastAsia" w:ascii="仿宋_GB2312" w:hAnsi="仿宋_GB2312" w:eastAsia="仿宋_GB2312" w:cs="仿宋_GB2312"/>
                <w:kern w:val="0"/>
                <w:sz w:val="22"/>
                <w:szCs w:val="28"/>
              </w:rPr>
              <w:t>满意</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度指标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满意度</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服务对象满意度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95%以上</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96%</w:t>
            </w:r>
          </w:p>
        </w:tc>
      </w:tr>
    </w:tbl>
    <w:p>
      <w:pPr>
        <w:pStyle w:val="7"/>
        <w:spacing w:before="93"/>
        <w:rPr>
          <w:rFonts w:hint="eastAsia"/>
        </w:rPr>
      </w:pPr>
    </w:p>
    <w:tbl>
      <w:tblPr>
        <w:tblStyle w:val="14"/>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2026"/>
        <w:gridCol w:w="1170"/>
        <w:gridCol w:w="1675"/>
        <w:gridCol w:w="1218"/>
        <w:gridCol w:w="1254"/>
        <w:gridCol w:w="2468"/>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textAlignment w:val="center"/>
              <w:rPr>
                <w:rFonts w:hint="eastAsia" w:ascii="仿宋_GB2312" w:hAnsi="宋体" w:eastAsia="仿宋_GB2312" w:cs="宋体"/>
                <w:b/>
                <w:sz w:val="22"/>
                <w:szCs w:val="32"/>
              </w:rPr>
            </w:pPr>
          </w:p>
          <w:p>
            <w:pPr>
              <w:widowControl/>
              <w:jc w:val="center"/>
              <w:textAlignment w:val="center"/>
              <w:rPr>
                <w:rFonts w:hint="eastAsia" w:ascii="仿宋_GB2312" w:hAnsi="宋体" w:eastAsia="仿宋_GB2312" w:cs="宋体"/>
                <w:b/>
                <w:sz w:val="22"/>
                <w:szCs w:val="32"/>
              </w:rPr>
            </w:pPr>
            <w:r>
              <w:rPr>
                <w:rFonts w:hint="eastAsia" w:ascii="仿宋_GB2312" w:hAnsi="宋体" w:eastAsia="仿宋_GB2312" w:cs="宋体"/>
                <w:b/>
                <w:sz w:val="22"/>
                <w:szCs w:val="32"/>
              </w:rPr>
              <w:t>2021年特定目标类部门预算项目绩效目标自评（作业本费）</w:t>
            </w:r>
          </w:p>
        </w:tc>
      </w:tr>
      <w:tr>
        <w:tblPrEx>
          <w:tblCellMar>
            <w:top w:w="0" w:type="dxa"/>
            <w:left w:w="108" w:type="dxa"/>
            <w:bottom w:w="0" w:type="dxa"/>
            <w:right w:w="108" w:type="dxa"/>
          </w:tblCellMar>
        </w:tblPrEx>
        <w:trPr>
          <w:trHeight w:val="254"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eastAsia" w:ascii="仿宋_GB2312" w:hAnsi="宋体" w:eastAsia="仿宋_GB2312" w:cs="宋体"/>
                <w:sz w:val="22"/>
              </w:rPr>
            </w:pPr>
            <w:r>
              <w:rPr>
                <w:rFonts w:hint="eastAsia" w:ascii="仿宋_GB2312" w:hAnsi="宋体" w:eastAsia="仿宋_GB2312" w:cs="宋体"/>
                <w:sz w:val="22"/>
              </w:rPr>
              <w:t>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仿宋_GB2312" w:hAnsi="宋体" w:eastAsia="仿宋_GB2312" w:cs="宋体"/>
                <w:sz w:val="22"/>
                <w:lang w:val="en-US" w:eastAsia="zh-CN"/>
              </w:rPr>
            </w:pPr>
            <w:r>
              <w:rPr>
                <w:rFonts w:hint="eastAsia" w:ascii="仿宋_GB2312" w:hAnsi="宋体" w:eastAsia="仿宋_GB2312" w:cs="宋体"/>
                <w:sz w:val="22"/>
              </w:rPr>
              <w:t>乐山市市中区</w:t>
            </w:r>
            <w:r>
              <w:rPr>
                <w:rFonts w:hint="eastAsia" w:ascii="仿宋_GB2312" w:hAnsi="宋体" w:eastAsia="仿宋_GB2312" w:cs="宋体"/>
                <w:sz w:val="22"/>
                <w:lang w:val="en-US" w:eastAsia="zh-CN"/>
              </w:rPr>
              <w:t>童家学校</w:t>
            </w:r>
          </w:p>
        </w:tc>
      </w:tr>
      <w:tr>
        <w:tblPrEx>
          <w:tblCellMar>
            <w:top w:w="0" w:type="dxa"/>
            <w:left w:w="108" w:type="dxa"/>
            <w:bottom w:w="0" w:type="dxa"/>
            <w:right w:w="108" w:type="dxa"/>
          </w:tblCellMar>
        </w:tblPrEx>
        <w:trPr>
          <w:trHeight w:val="341"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kern w:val="0"/>
                <w:sz w:val="22"/>
                <w:lang w:eastAsia="zh-CN"/>
              </w:rPr>
            </w:pPr>
            <w:r>
              <w:rPr>
                <w:rFonts w:hint="eastAsia" w:ascii="仿宋_GB2312" w:hAnsi="宋体" w:eastAsia="仿宋_GB2312" w:cs="宋体"/>
                <w:kern w:val="0"/>
                <w:sz w:val="22"/>
              </w:rPr>
              <w:t>项目预算</w:t>
            </w:r>
          </w:p>
          <w:p>
            <w:pPr>
              <w:widowControl/>
              <w:spacing w:line="320" w:lineRule="exact"/>
              <w:jc w:val="center"/>
              <w:textAlignment w:val="center"/>
              <w:rPr>
                <w:rFonts w:hint="eastAsia" w:ascii="仿宋_GB2312" w:hAnsi="宋体" w:eastAsia="仿宋_GB2312" w:cs="宋体"/>
                <w:kern w:val="0"/>
                <w:sz w:val="22"/>
                <w:lang w:eastAsia="zh-CN"/>
              </w:rPr>
            </w:pPr>
            <w:r>
              <w:rPr>
                <w:rFonts w:hint="eastAsia" w:ascii="仿宋_GB2312" w:hAnsi="宋体" w:eastAsia="仿宋_GB2312" w:cs="宋体"/>
                <w:kern w:val="0"/>
                <w:sz w:val="22"/>
              </w:rPr>
              <w:t>执行情况</w:t>
            </w:r>
          </w:p>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（万元）</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 xml:space="preserve"> 预算数：</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仿宋_GB2312" w:hAnsi="宋体" w:eastAsia="仿宋_GB2312" w:cs="宋体"/>
                <w:sz w:val="22"/>
                <w:lang w:val="en-US" w:eastAsia="zh-CN"/>
              </w:rPr>
            </w:pPr>
            <w:r>
              <w:rPr>
                <w:rFonts w:hint="eastAsia" w:ascii="仿宋_GB2312" w:hAnsi="宋体" w:eastAsia="仿宋_GB2312" w:cs="宋体"/>
                <w:sz w:val="22"/>
              </w:rPr>
              <w:t>0.</w:t>
            </w:r>
            <w:r>
              <w:rPr>
                <w:rFonts w:hint="eastAsia" w:ascii="仿宋_GB2312" w:hAnsi="宋体" w:eastAsia="仿宋_GB2312" w:cs="宋体"/>
                <w:sz w:val="22"/>
                <w:lang w:val="en-US" w:eastAsia="zh-CN"/>
              </w:rPr>
              <w:t>35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仿宋_GB2312" w:hAnsi="宋体" w:eastAsia="仿宋_GB2312" w:cs="宋体"/>
                <w:sz w:val="22"/>
                <w:lang w:val="en-US" w:eastAsia="zh-CN"/>
              </w:rPr>
            </w:pPr>
            <w:r>
              <w:rPr>
                <w:rFonts w:hint="eastAsia" w:ascii="仿宋_GB2312" w:hAnsi="宋体" w:eastAsia="仿宋_GB2312" w:cs="宋体"/>
                <w:sz w:val="22"/>
              </w:rPr>
              <w:t>0.</w:t>
            </w:r>
            <w:r>
              <w:rPr>
                <w:rFonts w:hint="eastAsia" w:ascii="仿宋_GB2312" w:hAnsi="宋体" w:eastAsia="仿宋_GB2312" w:cs="宋体"/>
                <w:sz w:val="22"/>
                <w:lang w:val="en-US" w:eastAsia="zh-CN"/>
              </w:rPr>
              <w:t>35</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sz w:val="22"/>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kern w:val="0"/>
                <w:sz w:val="22"/>
              </w:rPr>
            </w:pPr>
            <w:r>
              <w:rPr>
                <w:rFonts w:hint="eastAsia" w:ascii="仿宋_GB2312" w:hAnsi="宋体" w:eastAsia="仿宋_GB2312" w:cs="宋体"/>
                <w:kern w:val="0"/>
                <w:sz w:val="22"/>
              </w:rPr>
              <w:t>其中：</w:t>
            </w:r>
          </w:p>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财政拨款</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仿宋_GB2312" w:hAnsi="宋体" w:eastAsia="仿宋_GB2312" w:cs="宋体"/>
                <w:sz w:val="22"/>
                <w:lang w:val="en-US" w:eastAsia="zh-CN"/>
              </w:rPr>
            </w:pPr>
            <w:r>
              <w:rPr>
                <w:rFonts w:hint="eastAsia" w:ascii="仿宋_GB2312" w:hAnsi="宋体" w:eastAsia="仿宋_GB2312" w:cs="宋体"/>
                <w:sz w:val="22"/>
              </w:rPr>
              <w:t>0.</w:t>
            </w:r>
            <w:r>
              <w:rPr>
                <w:rFonts w:hint="eastAsia" w:ascii="仿宋_GB2312" w:hAnsi="宋体" w:eastAsia="仿宋_GB2312" w:cs="宋体"/>
                <w:sz w:val="22"/>
                <w:lang w:val="en-US" w:eastAsia="zh-CN"/>
              </w:rPr>
              <w:t>35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kern w:val="0"/>
                <w:sz w:val="22"/>
              </w:rPr>
            </w:pPr>
            <w:r>
              <w:rPr>
                <w:rFonts w:hint="eastAsia" w:ascii="仿宋_GB2312" w:hAnsi="宋体" w:eastAsia="仿宋_GB2312" w:cs="宋体"/>
                <w:kern w:val="0"/>
                <w:sz w:val="22"/>
              </w:rPr>
              <w:t>其中：</w:t>
            </w:r>
          </w:p>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hint="default" w:ascii="仿宋_GB2312" w:hAnsi="宋体" w:eastAsia="仿宋_GB2312" w:cs="宋体"/>
                <w:sz w:val="22"/>
                <w:lang w:val="en-US" w:eastAsia="zh-CN"/>
              </w:rPr>
            </w:pPr>
            <w:r>
              <w:rPr>
                <w:rFonts w:hint="eastAsia" w:ascii="仿宋_GB2312" w:hAnsi="宋体" w:eastAsia="仿宋_GB2312" w:cs="宋体"/>
                <w:sz w:val="22"/>
              </w:rPr>
              <w:t>0.</w:t>
            </w:r>
            <w:r>
              <w:rPr>
                <w:rFonts w:hint="eastAsia" w:ascii="仿宋_GB2312" w:hAnsi="宋体" w:eastAsia="仿宋_GB2312" w:cs="宋体"/>
                <w:sz w:val="22"/>
                <w:lang w:val="en-US" w:eastAsia="zh-CN"/>
              </w:rPr>
              <w:t>35</w:t>
            </w:r>
          </w:p>
        </w:tc>
      </w:tr>
      <w:tr>
        <w:tblPrEx>
          <w:tblCellMar>
            <w:top w:w="0" w:type="dxa"/>
            <w:left w:w="108" w:type="dxa"/>
            <w:bottom w:w="0" w:type="dxa"/>
            <w:right w:w="108" w:type="dxa"/>
          </w:tblCellMar>
        </w:tblPrEx>
        <w:trPr>
          <w:trHeight w:val="34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sz w:val="22"/>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其他资金</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sz w:val="22"/>
              </w:rPr>
              <w:t>0</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eastAsia" w:ascii="仿宋_GB2312" w:hAnsi="宋体" w:eastAsia="仿宋_GB2312" w:cs="宋体"/>
                <w:sz w:val="22"/>
              </w:rPr>
            </w:pPr>
            <w:r>
              <w:rPr>
                <w:rFonts w:hint="eastAsia" w:ascii="仿宋_GB2312" w:hAnsi="宋体" w:eastAsia="仿宋_GB2312" w:cs="宋体"/>
                <w:kern w:val="0"/>
                <w:sz w:val="22"/>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sz w:val="22"/>
              </w:rPr>
              <w:t>0</w:t>
            </w:r>
          </w:p>
        </w:tc>
      </w:tr>
      <w:tr>
        <w:tblPrEx>
          <w:tblCellMar>
            <w:top w:w="0" w:type="dxa"/>
            <w:left w:w="108" w:type="dxa"/>
            <w:bottom w:w="0" w:type="dxa"/>
            <w:right w:w="108" w:type="dxa"/>
          </w:tblCellMar>
        </w:tblPrEx>
        <w:trPr>
          <w:trHeight w:val="217"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kern w:val="0"/>
                <w:sz w:val="22"/>
              </w:rPr>
            </w:pPr>
            <w:r>
              <w:rPr>
                <w:rFonts w:hint="eastAsia" w:ascii="仿宋_GB2312" w:hAnsi="宋体" w:eastAsia="仿宋_GB2312" w:cs="宋体"/>
                <w:kern w:val="0"/>
                <w:sz w:val="22"/>
              </w:rPr>
              <w:t>年度总体目标</w:t>
            </w:r>
          </w:p>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宋体" w:eastAsia="仿宋_GB2312" w:cs="宋体"/>
                <w:sz w:val="22"/>
              </w:rPr>
            </w:pPr>
            <w:r>
              <w:rPr>
                <w:rFonts w:hint="eastAsia" w:ascii="仿宋_GB2312" w:hAnsi="宋体" w:eastAsia="仿宋_GB2312" w:cs="宋体"/>
                <w:kern w:val="0"/>
                <w:sz w:val="22"/>
              </w:rPr>
              <w:t>目标实际完成情况</w:t>
            </w:r>
          </w:p>
        </w:tc>
      </w:tr>
      <w:tr>
        <w:tblPrEx>
          <w:tblCellMar>
            <w:top w:w="0" w:type="dxa"/>
            <w:left w:w="108" w:type="dxa"/>
            <w:bottom w:w="0" w:type="dxa"/>
            <w:right w:w="108" w:type="dxa"/>
          </w:tblCellMar>
        </w:tblPrEx>
        <w:trPr>
          <w:trHeight w:val="79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宋体" w:eastAsia="仿宋_GB2312" w:cs="宋体"/>
                <w:sz w:val="22"/>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hint="eastAsia" w:ascii="仿宋_GB2312" w:hAnsi="宋体" w:eastAsia="仿宋_GB2312" w:cs="宋体"/>
                <w:sz w:val="22"/>
              </w:rPr>
            </w:pPr>
            <w:r>
              <w:rPr>
                <w:rFonts w:hint="eastAsia" w:ascii="仿宋_GB2312" w:hAnsi="宋体" w:eastAsia="仿宋_GB2312" w:cs="宋体"/>
                <w:sz w:val="22"/>
              </w:rPr>
              <w:t>保障义务教育学校学生作业本经费支出。</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hint="eastAsia" w:ascii="仿宋_GB2312" w:hAnsi="宋体" w:eastAsia="仿宋_GB2312" w:cs="宋体"/>
                <w:sz w:val="22"/>
              </w:rPr>
            </w:pPr>
            <w:r>
              <w:rPr>
                <w:rFonts w:hint="eastAsia" w:ascii="仿宋_GB2312" w:hAnsi="宋体" w:eastAsia="仿宋_GB2312" w:cs="宋体"/>
                <w:sz w:val="22"/>
              </w:rPr>
              <w:t>2021年，我校作业本全数分发给每个学生。</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一级</w:t>
            </w:r>
          </w:p>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二级</w:t>
            </w:r>
          </w:p>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三级</w:t>
            </w:r>
          </w:p>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预期指标值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实际完成指标值</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完成</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数量指标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学生人数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lang w:val="en-US" w:eastAsia="zh-CN"/>
              </w:rPr>
              <w:t>363</w:t>
            </w:r>
            <w:r>
              <w:rPr>
                <w:rFonts w:hint="eastAsia" w:ascii="仿宋_GB2312" w:hAnsi="仿宋_GB2312" w:eastAsia="仿宋_GB2312" w:cs="仿宋_GB2312"/>
                <w:sz w:val="22"/>
                <w:szCs w:val="28"/>
              </w:rPr>
              <w:t>人</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lang w:val="en-US" w:eastAsia="zh-CN"/>
              </w:rPr>
              <w:t>363</w:t>
            </w:r>
            <w:r>
              <w:rPr>
                <w:rFonts w:hint="eastAsia" w:ascii="仿宋_GB2312" w:hAnsi="仿宋_GB2312" w:eastAsia="仿宋_GB2312" w:cs="仿宋_GB2312"/>
                <w:sz w:val="22"/>
                <w:szCs w:val="28"/>
              </w:rPr>
              <w:t>人</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质量指标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作业本分发情况</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优</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时效指标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完成时间节点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16"/>
                <w:szCs w:val="28"/>
              </w:rPr>
              <w:t>2021年1月1日-2021年12月31日</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16"/>
                <w:szCs w:val="28"/>
              </w:rPr>
              <w:t>2021年1月1日-2021年12月31日</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成本指标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每生安排作业本经费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lang w:val="en-US" w:eastAsia="zh-CN"/>
              </w:rPr>
              <w:t>15</w:t>
            </w:r>
            <w:r>
              <w:rPr>
                <w:rFonts w:hint="eastAsia" w:ascii="仿宋_GB2312" w:hAnsi="仿宋_GB2312" w:eastAsia="仿宋_GB2312" w:cs="仿宋_GB2312"/>
                <w:sz w:val="22"/>
                <w:szCs w:val="28"/>
              </w:rPr>
              <w:t>元/人</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lang w:val="en-US" w:eastAsia="zh-CN"/>
              </w:rPr>
              <w:t>15</w:t>
            </w:r>
            <w:r>
              <w:rPr>
                <w:rFonts w:hint="eastAsia" w:ascii="仿宋_GB2312" w:hAnsi="仿宋_GB2312" w:eastAsia="仿宋_GB2312" w:cs="仿宋_GB2312"/>
                <w:sz w:val="22"/>
                <w:szCs w:val="28"/>
              </w:rPr>
              <w:t>元/人</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hint="eastAsia" w:ascii="仿宋_GB2312" w:hAnsi="仿宋_GB2312" w:eastAsia="仿宋_GB2312" w:cs="仿宋_GB2312"/>
                <w:kern w:val="0"/>
                <w:sz w:val="22"/>
                <w:szCs w:val="28"/>
                <w:lang w:eastAsia="zh-CN"/>
              </w:rPr>
            </w:pPr>
            <w:r>
              <w:rPr>
                <w:rFonts w:hint="eastAsia" w:ascii="仿宋_GB2312" w:hAnsi="仿宋_GB2312" w:eastAsia="仿宋_GB2312" w:cs="仿宋_GB2312"/>
                <w:kern w:val="0"/>
                <w:sz w:val="22"/>
                <w:szCs w:val="28"/>
              </w:rPr>
              <w:t>效益</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经济效益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社会效益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保障学校作业本分发工作</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优</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403" w:leftChars="87" w:hanging="220" w:hangingChars="100"/>
              <w:jc w:val="left"/>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生态效益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hint="eastAsia" w:ascii="仿宋_GB2312" w:hAnsi="仿宋_GB2312" w:eastAsia="仿宋_GB2312" w:cs="仿宋_GB2312"/>
                <w:sz w:val="22"/>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可持续影响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hint="eastAsia" w:ascii="仿宋_GB2312" w:hAnsi="仿宋_GB2312" w:eastAsia="仿宋_GB2312" w:cs="仿宋_GB2312"/>
                <w:sz w:val="22"/>
                <w:szCs w:val="28"/>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 w:val="22"/>
                <w:szCs w:val="28"/>
                <w:lang w:eastAsia="zh-CN"/>
              </w:rPr>
            </w:pPr>
            <w:r>
              <w:rPr>
                <w:rFonts w:hint="eastAsia" w:ascii="仿宋_GB2312" w:hAnsi="仿宋_GB2312" w:eastAsia="仿宋_GB2312" w:cs="仿宋_GB2312"/>
                <w:kern w:val="0"/>
                <w:sz w:val="22"/>
                <w:szCs w:val="28"/>
              </w:rPr>
              <w:t>满意</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度指标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kern w:val="0"/>
                <w:sz w:val="22"/>
                <w:szCs w:val="28"/>
              </w:rPr>
            </w:pPr>
            <w:r>
              <w:rPr>
                <w:rFonts w:hint="eastAsia" w:ascii="仿宋_GB2312" w:hAnsi="仿宋_GB2312" w:eastAsia="仿宋_GB2312" w:cs="仿宋_GB2312"/>
                <w:kern w:val="0"/>
                <w:sz w:val="22"/>
                <w:szCs w:val="28"/>
              </w:rPr>
              <w:t>满意度</w:t>
            </w:r>
          </w:p>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kern w:val="0"/>
                <w:sz w:val="22"/>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服务对象满意度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95%以上</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2"/>
                <w:szCs w:val="28"/>
              </w:rPr>
            </w:pPr>
            <w:r>
              <w:rPr>
                <w:rFonts w:hint="eastAsia" w:ascii="仿宋_GB2312" w:hAnsi="仿宋_GB2312" w:eastAsia="仿宋_GB2312" w:cs="仿宋_GB2312"/>
                <w:sz w:val="22"/>
                <w:szCs w:val="28"/>
              </w:rPr>
              <w:t xml:space="preserve">97% </w:t>
            </w:r>
          </w:p>
        </w:tc>
      </w:tr>
    </w:tbl>
    <w:p>
      <w:pPr>
        <w:tabs>
          <w:tab w:val="left" w:pos="2076"/>
          <w:tab w:val="center" w:pos="4153"/>
        </w:tabs>
        <w:spacing w:line="600" w:lineRule="exact"/>
        <w:jc w:val="left"/>
        <w:outlineLvl w:val="0"/>
        <w:rPr>
          <w:rFonts w:hint="eastAsia" w:ascii="黑体" w:hAnsi="黑体" w:eastAsia="黑体"/>
          <w:sz w:val="44"/>
          <w:szCs w:val="44"/>
        </w:rPr>
      </w:pPr>
    </w:p>
    <w:tbl>
      <w:tblPr>
        <w:tblStyle w:val="14"/>
        <w:tblpPr w:leftFromText="180" w:rightFromText="180" w:vertAnchor="text" w:horzAnchor="page" w:tblpX="1281" w:tblpY="660"/>
        <w:tblOverlap w:val="never"/>
        <w:tblW w:w="236" w:type="dxa"/>
        <w:tblInd w:w="0" w:type="dxa"/>
        <w:tblLayout w:type="fixed"/>
        <w:tblCellMar>
          <w:top w:w="0" w:type="dxa"/>
          <w:left w:w="108" w:type="dxa"/>
          <w:bottom w:w="0" w:type="dxa"/>
          <w:right w:w="108" w:type="dxa"/>
        </w:tblCellMar>
      </w:tblPr>
      <w:tblGrid>
        <w:gridCol w:w="236"/>
      </w:tblGrid>
      <w:tr>
        <w:tblPrEx>
          <w:tblCellMar>
            <w:top w:w="0" w:type="dxa"/>
            <w:left w:w="108" w:type="dxa"/>
            <w:bottom w:w="0" w:type="dxa"/>
            <w:right w:w="108" w:type="dxa"/>
          </w:tblCellMar>
        </w:tblPrEx>
        <w:trPr>
          <w:trHeight w:val="675" w:hRule="atLeast"/>
        </w:trPr>
        <w:tc>
          <w:tcPr>
            <w:tcW w:w="236" w:type="dxa"/>
            <w:tcBorders>
              <w:top w:val="nil"/>
              <w:left w:val="nil"/>
              <w:bottom w:val="nil"/>
              <w:right w:val="nil"/>
            </w:tcBorders>
            <w:shd w:val="clear" w:color="auto" w:fill="auto"/>
            <w:vAlign w:val="center"/>
          </w:tcPr>
          <w:p>
            <w:pPr>
              <w:widowControl/>
              <w:jc w:val="center"/>
              <w:textAlignment w:val="center"/>
              <w:rPr>
                <w:rFonts w:hint="eastAsia" w:ascii="仿宋_GB2312" w:hAnsi="宋体" w:eastAsia="仿宋_GB2312" w:cs="宋体"/>
                <w:b/>
                <w:kern w:val="0"/>
                <w:sz w:val="22"/>
                <w:szCs w:val="32"/>
              </w:rPr>
            </w:pPr>
          </w:p>
        </w:tc>
      </w:tr>
    </w:tbl>
    <w:p>
      <w:pPr>
        <w:widowControl/>
        <w:adjustRightInd w:val="0"/>
        <w:snapToGrid w:val="0"/>
        <w:spacing w:line="580" w:lineRule="exact"/>
        <w:contextualSpacing/>
        <w:jc w:val="left"/>
        <w:rPr>
          <w:rFonts w:ascii="黑体" w:hAnsi="黑体" w:eastAsia="黑体"/>
          <w:sz w:val="44"/>
          <w:szCs w:val="44"/>
        </w:rPr>
      </w:pPr>
    </w:p>
    <w:p>
      <w:pPr>
        <w:spacing w:line="600" w:lineRule="exact"/>
        <w:jc w:val="center"/>
        <w:outlineLvl w:val="0"/>
        <w:rPr>
          <w:rFonts w:ascii="仿宋" w:hAnsi="仿宋" w:eastAsia="仿宋"/>
        </w:rPr>
      </w:pPr>
      <w:r>
        <w:rPr>
          <w:rFonts w:hint="eastAsia" w:ascii="黑体" w:hAnsi="黑体" w:eastAsia="黑体"/>
          <w:sz w:val="44"/>
          <w:szCs w:val="44"/>
        </w:rPr>
        <w:t>第</w:t>
      </w:r>
      <w:r>
        <w:rPr>
          <w:rStyle w:val="26"/>
          <w:rFonts w:hint="eastAsia" w:ascii="黑体" w:hAnsi="黑体" w:eastAsia="黑体"/>
          <w:b w:val="0"/>
        </w:rPr>
        <w:t>五部分 附表</w:t>
      </w:r>
      <w:bookmarkEnd w:id="56"/>
      <w:bookmarkEnd w:id="57"/>
      <w:bookmarkStart w:id="58" w:name="_Toc15396619"/>
    </w:p>
    <w:p>
      <w:pPr>
        <w:pStyle w:val="5"/>
        <w:rPr>
          <w:rStyle w:val="27"/>
          <w:rFonts w:hint="eastAsia" w:ascii="仿宋" w:hAnsi="仿宋" w:eastAsia="仿宋"/>
          <w:b w:val="0"/>
          <w:bCs w:val="0"/>
        </w:rPr>
      </w:pPr>
      <w:r>
        <w:rPr>
          <w:rFonts w:hint="eastAsia" w:ascii="仿宋" w:hAnsi="仿宋" w:eastAsia="仿宋"/>
          <w:b w:val="0"/>
        </w:rPr>
        <w:t>一、收</w:t>
      </w:r>
      <w:r>
        <w:rPr>
          <w:rStyle w:val="27"/>
          <w:rFonts w:hint="eastAsia" w:ascii="仿宋" w:hAnsi="仿宋" w:eastAsia="仿宋"/>
          <w:b w:val="0"/>
          <w:bCs w:val="0"/>
        </w:rPr>
        <w:t>入支出决算总表</w:t>
      </w:r>
      <w:bookmarkEnd w:id="58"/>
    </w:p>
    <w:p>
      <w:r>
        <w:drawing>
          <wp:inline distT="0" distB="0" distL="114300" distR="114300">
            <wp:extent cx="5269865" cy="3907790"/>
            <wp:effectExtent l="0" t="0" r="635" b="38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2"/>
                    <a:stretch>
                      <a:fillRect/>
                    </a:stretch>
                  </pic:blipFill>
                  <pic:spPr>
                    <a:xfrm>
                      <a:off x="0" y="0"/>
                      <a:ext cx="5269865" cy="3907790"/>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59" w:name="_Toc15396620"/>
      <w:r>
        <w:rPr>
          <w:rFonts w:hint="eastAsia" w:ascii="仿宋" w:hAnsi="仿宋" w:eastAsia="仿宋"/>
          <w:b w:val="0"/>
        </w:rPr>
        <w:t>收</w:t>
      </w:r>
      <w:r>
        <w:rPr>
          <w:rStyle w:val="27"/>
          <w:rFonts w:hint="eastAsia" w:ascii="仿宋" w:hAnsi="仿宋" w:eastAsia="仿宋"/>
          <w:b w:val="0"/>
          <w:bCs w:val="0"/>
        </w:rPr>
        <w:t>入决算表</w:t>
      </w:r>
      <w:bookmarkEnd w:id="59"/>
    </w:p>
    <w:p>
      <w:pPr>
        <w:numPr>
          <w:ilvl w:val="0"/>
          <w:numId w:val="0"/>
        </w:numPr>
        <w:ind w:leftChars="0"/>
      </w:pPr>
      <w:r>
        <w:drawing>
          <wp:inline distT="0" distB="0" distL="114300" distR="114300">
            <wp:extent cx="5269230" cy="2634615"/>
            <wp:effectExtent l="0" t="0" r="1270"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3"/>
                    <a:stretch>
                      <a:fillRect/>
                    </a:stretch>
                  </pic:blipFill>
                  <pic:spPr>
                    <a:xfrm>
                      <a:off x="0" y="0"/>
                      <a:ext cx="5269230" cy="2634615"/>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60" w:name="_Toc15396621"/>
      <w:r>
        <w:rPr>
          <w:rFonts w:hint="eastAsia" w:ascii="仿宋" w:hAnsi="仿宋" w:eastAsia="仿宋"/>
          <w:b w:val="0"/>
        </w:rPr>
        <w:t>支</w:t>
      </w:r>
      <w:r>
        <w:rPr>
          <w:rStyle w:val="27"/>
          <w:rFonts w:hint="eastAsia" w:ascii="仿宋" w:hAnsi="仿宋" w:eastAsia="仿宋"/>
          <w:b w:val="0"/>
          <w:bCs w:val="0"/>
        </w:rPr>
        <w:t>出决算表</w:t>
      </w:r>
      <w:bookmarkEnd w:id="60"/>
    </w:p>
    <w:p>
      <w:pPr>
        <w:numPr>
          <w:ilvl w:val="0"/>
          <w:numId w:val="0"/>
        </w:numPr>
        <w:ind w:leftChars="0"/>
      </w:pPr>
      <w:r>
        <w:drawing>
          <wp:inline distT="0" distB="0" distL="114300" distR="114300">
            <wp:extent cx="5271770" cy="3015615"/>
            <wp:effectExtent l="0" t="0" r="11430" b="698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5271770" cy="3015615"/>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61" w:name="_Toc15396622"/>
      <w:r>
        <w:rPr>
          <w:rFonts w:hint="eastAsia" w:ascii="仿宋" w:hAnsi="仿宋" w:eastAsia="仿宋"/>
          <w:b w:val="0"/>
        </w:rPr>
        <w:t>财</w:t>
      </w:r>
      <w:r>
        <w:rPr>
          <w:rStyle w:val="27"/>
          <w:rFonts w:hint="eastAsia" w:ascii="仿宋" w:hAnsi="仿宋" w:eastAsia="仿宋"/>
          <w:b w:val="0"/>
          <w:bCs w:val="0"/>
        </w:rPr>
        <w:t>政拨款收入支出决算总表</w:t>
      </w:r>
      <w:bookmarkEnd w:id="61"/>
    </w:p>
    <w:p>
      <w:pPr>
        <w:numPr>
          <w:ilvl w:val="0"/>
          <w:numId w:val="0"/>
        </w:numPr>
        <w:ind w:leftChars="0"/>
      </w:pPr>
      <w:r>
        <w:drawing>
          <wp:inline distT="0" distB="0" distL="114300" distR="114300">
            <wp:extent cx="5266690" cy="3710940"/>
            <wp:effectExtent l="0" t="0" r="3810" b="1016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5"/>
                    <a:stretch>
                      <a:fillRect/>
                    </a:stretch>
                  </pic:blipFill>
                  <pic:spPr>
                    <a:xfrm>
                      <a:off x="0" y="0"/>
                      <a:ext cx="5266690" cy="3710940"/>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62" w:name="_Toc15396623"/>
      <w:r>
        <w:rPr>
          <w:rFonts w:hint="eastAsia" w:ascii="仿宋" w:hAnsi="仿宋" w:eastAsia="仿宋"/>
          <w:b w:val="0"/>
        </w:rPr>
        <w:t>财</w:t>
      </w:r>
      <w:r>
        <w:rPr>
          <w:rStyle w:val="27"/>
          <w:rFonts w:hint="eastAsia" w:ascii="仿宋" w:hAnsi="仿宋" w:eastAsia="仿宋"/>
          <w:b w:val="0"/>
          <w:bCs w:val="0"/>
        </w:rPr>
        <w:t>政拨款支出决算明细表</w:t>
      </w:r>
      <w:bookmarkEnd w:id="62"/>
      <w:bookmarkStart w:id="63" w:name="_Toc15396624"/>
    </w:p>
    <w:p>
      <w:pPr>
        <w:numPr>
          <w:ilvl w:val="0"/>
          <w:numId w:val="0"/>
        </w:numPr>
        <w:ind w:leftChars="0"/>
      </w:pPr>
      <w:r>
        <w:drawing>
          <wp:inline distT="0" distB="0" distL="114300" distR="114300">
            <wp:extent cx="5266690" cy="7615555"/>
            <wp:effectExtent l="0" t="0" r="3810" b="444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
                    <a:stretch>
                      <a:fillRect/>
                    </a:stretch>
                  </pic:blipFill>
                  <pic:spPr>
                    <a:xfrm>
                      <a:off x="0" y="0"/>
                      <a:ext cx="5266690" cy="7615555"/>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r>
        <w:rPr>
          <w:rFonts w:hint="eastAsia" w:ascii="仿宋" w:hAnsi="仿宋" w:eastAsia="仿宋"/>
          <w:b w:val="0"/>
        </w:rPr>
        <w:t>一</w:t>
      </w:r>
      <w:r>
        <w:rPr>
          <w:rStyle w:val="27"/>
          <w:rFonts w:hint="eastAsia" w:ascii="仿宋" w:hAnsi="仿宋" w:eastAsia="仿宋"/>
          <w:b w:val="0"/>
          <w:bCs w:val="0"/>
        </w:rPr>
        <w:t>般公共预算财政拨款支出决算表</w:t>
      </w:r>
      <w:bookmarkEnd w:id="63"/>
      <w:bookmarkStart w:id="64" w:name="_Toc15396625"/>
    </w:p>
    <w:p>
      <w:pPr>
        <w:pStyle w:val="5"/>
        <w:numPr>
          <w:ilvl w:val="0"/>
          <w:numId w:val="0"/>
        </w:numPr>
        <w:ind w:leftChars="0"/>
        <w:rPr>
          <w:rStyle w:val="27"/>
          <w:rFonts w:hint="eastAsia" w:ascii="仿宋" w:hAnsi="仿宋" w:eastAsia="仿宋"/>
          <w:b w:val="0"/>
          <w:bCs w:val="0"/>
        </w:rPr>
      </w:pPr>
      <w:r>
        <w:drawing>
          <wp:inline distT="0" distB="0" distL="114300" distR="114300">
            <wp:extent cx="5267325" cy="4269105"/>
            <wp:effectExtent l="0" t="0" r="3175" b="1079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7"/>
                    <a:stretch>
                      <a:fillRect/>
                    </a:stretch>
                  </pic:blipFill>
                  <pic:spPr>
                    <a:xfrm>
                      <a:off x="0" y="0"/>
                      <a:ext cx="5267325" cy="4269105"/>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r>
        <w:rPr>
          <w:rFonts w:hint="eastAsia" w:ascii="仿宋" w:hAnsi="仿宋" w:eastAsia="仿宋"/>
          <w:b w:val="0"/>
        </w:rPr>
        <w:t>一</w:t>
      </w:r>
      <w:r>
        <w:rPr>
          <w:rStyle w:val="27"/>
          <w:rFonts w:hint="eastAsia" w:ascii="仿宋" w:hAnsi="仿宋" w:eastAsia="仿宋"/>
          <w:b w:val="0"/>
          <w:bCs w:val="0"/>
        </w:rPr>
        <w:t>般公共预算财政拨款支出决算明细表</w:t>
      </w:r>
      <w:bookmarkEnd w:id="64"/>
      <w:bookmarkStart w:id="65" w:name="_Toc15396626"/>
    </w:p>
    <w:p>
      <w:pPr>
        <w:pStyle w:val="5"/>
        <w:numPr>
          <w:ilvl w:val="0"/>
          <w:numId w:val="0"/>
        </w:numPr>
        <w:ind w:leftChars="0"/>
      </w:pPr>
      <w:r>
        <w:drawing>
          <wp:inline distT="0" distB="0" distL="114300" distR="114300">
            <wp:extent cx="5267325" cy="1597025"/>
            <wp:effectExtent l="0" t="0" r="3175" b="3175"/>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8"/>
                    <a:stretch>
                      <a:fillRect/>
                    </a:stretch>
                  </pic:blipFill>
                  <pic:spPr>
                    <a:xfrm>
                      <a:off x="0" y="0"/>
                      <a:ext cx="5267325" cy="1597025"/>
                    </a:xfrm>
                    <a:prstGeom prst="rect">
                      <a:avLst/>
                    </a:prstGeom>
                    <a:noFill/>
                    <a:ln>
                      <a:noFill/>
                    </a:ln>
                  </pic:spPr>
                </pic:pic>
              </a:graphicData>
            </a:graphic>
          </wp:inline>
        </w:drawing>
      </w:r>
    </w:p>
    <w:p>
      <w:r>
        <w:drawing>
          <wp:inline distT="0" distB="0" distL="114300" distR="114300">
            <wp:extent cx="5273675" cy="1885315"/>
            <wp:effectExtent l="0" t="0" r="9525" b="698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9"/>
                    <a:stretch>
                      <a:fillRect/>
                    </a:stretch>
                  </pic:blipFill>
                  <pic:spPr>
                    <a:xfrm>
                      <a:off x="0" y="0"/>
                      <a:ext cx="5273675" cy="1885315"/>
                    </a:xfrm>
                    <a:prstGeom prst="rect">
                      <a:avLst/>
                    </a:prstGeom>
                    <a:noFill/>
                    <a:ln>
                      <a:noFill/>
                    </a:ln>
                  </pic:spPr>
                </pic:pic>
              </a:graphicData>
            </a:graphic>
          </wp:inline>
        </w:drawing>
      </w:r>
    </w:p>
    <w:p>
      <w:pPr>
        <w:pStyle w:val="2"/>
        <w:ind w:left="0" w:leftChars="0" w:firstLine="0" w:firstLineChars="0"/>
        <w:jc w:val="left"/>
      </w:pPr>
      <w:r>
        <w:drawing>
          <wp:inline distT="0" distB="0" distL="114300" distR="114300">
            <wp:extent cx="5270500" cy="2173605"/>
            <wp:effectExtent l="0" t="0" r="0" b="10795"/>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20"/>
                    <a:stretch>
                      <a:fillRect/>
                    </a:stretch>
                  </pic:blipFill>
                  <pic:spPr>
                    <a:xfrm>
                      <a:off x="0" y="0"/>
                      <a:ext cx="5270500" cy="217360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71135" cy="2163445"/>
            <wp:effectExtent l="0" t="0" r="12065" b="825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21"/>
                    <a:stretch>
                      <a:fillRect/>
                    </a:stretch>
                  </pic:blipFill>
                  <pic:spPr>
                    <a:xfrm>
                      <a:off x="0" y="0"/>
                      <a:ext cx="5271135" cy="216344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73675" cy="1570990"/>
            <wp:effectExtent l="0" t="0" r="9525" b="381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22"/>
                    <a:stretch>
                      <a:fillRect/>
                    </a:stretch>
                  </pic:blipFill>
                  <pic:spPr>
                    <a:xfrm>
                      <a:off x="0" y="0"/>
                      <a:ext cx="5273675" cy="157099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58435" cy="1658620"/>
            <wp:effectExtent l="0" t="0" r="12065" b="508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ChangeAspect="1"/>
                    </pic:cNvPicPr>
                  </pic:nvPicPr>
                  <pic:blipFill>
                    <a:blip r:embed="rId23"/>
                    <a:stretch>
                      <a:fillRect/>
                    </a:stretch>
                  </pic:blipFill>
                  <pic:spPr>
                    <a:xfrm>
                      <a:off x="0" y="0"/>
                      <a:ext cx="5258435" cy="1658620"/>
                    </a:xfrm>
                    <a:prstGeom prst="rect">
                      <a:avLst/>
                    </a:prstGeom>
                    <a:noFill/>
                    <a:ln>
                      <a:noFill/>
                    </a:ln>
                  </pic:spPr>
                </pic:pic>
              </a:graphicData>
            </a:graphic>
          </wp:inline>
        </w:drawing>
      </w:r>
    </w:p>
    <w:p>
      <w:pPr>
        <w:pStyle w:val="2"/>
        <w:ind w:left="0" w:leftChars="0" w:firstLine="0" w:firstLineChars="0"/>
        <w:jc w:val="both"/>
        <w:rPr>
          <w:rFonts w:hint="eastAsia"/>
        </w:rPr>
      </w:pPr>
      <w:r>
        <w:drawing>
          <wp:inline distT="0" distB="0" distL="114300" distR="114300">
            <wp:extent cx="5256530" cy="1399540"/>
            <wp:effectExtent l="0" t="0" r="1270" b="1016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24"/>
                    <a:stretch>
                      <a:fillRect/>
                    </a:stretch>
                  </pic:blipFill>
                  <pic:spPr>
                    <a:xfrm>
                      <a:off x="0" y="0"/>
                      <a:ext cx="5256530" cy="1399540"/>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r>
        <w:rPr>
          <w:rFonts w:hint="eastAsia" w:ascii="仿宋" w:hAnsi="仿宋" w:eastAsia="仿宋"/>
          <w:b w:val="0"/>
        </w:rPr>
        <w:t>一</w:t>
      </w:r>
      <w:r>
        <w:rPr>
          <w:rStyle w:val="27"/>
          <w:rFonts w:hint="eastAsia" w:ascii="仿宋" w:hAnsi="仿宋" w:eastAsia="仿宋"/>
          <w:b w:val="0"/>
          <w:bCs w:val="0"/>
        </w:rPr>
        <w:t>般公共预算财政拨款基本支出决算表</w:t>
      </w:r>
      <w:bookmarkEnd w:id="65"/>
    </w:p>
    <w:p>
      <w:pPr>
        <w:numPr>
          <w:ilvl w:val="0"/>
          <w:numId w:val="0"/>
        </w:numPr>
        <w:ind w:leftChars="0"/>
      </w:pPr>
      <w:r>
        <w:drawing>
          <wp:inline distT="0" distB="0" distL="114300" distR="114300">
            <wp:extent cx="5266055" cy="3302635"/>
            <wp:effectExtent l="0" t="0" r="4445" b="12065"/>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25"/>
                    <a:stretch>
                      <a:fillRect/>
                    </a:stretch>
                  </pic:blipFill>
                  <pic:spPr>
                    <a:xfrm>
                      <a:off x="0" y="0"/>
                      <a:ext cx="5266055" cy="3302635"/>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66" w:name="_Toc15396627"/>
      <w:r>
        <w:rPr>
          <w:rFonts w:hint="eastAsia" w:ascii="仿宋" w:hAnsi="仿宋" w:eastAsia="仿宋"/>
          <w:b w:val="0"/>
        </w:rPr>
        <w:t>一</w:t>
      </w:r>
      <w:r>
        <w:rPr>
          <w:rStyle w:val="27"/>
          <w:rFonts w:hint="eastAsia" w:ascii="仿宋" w:hAnsi="仿宋" w:eastAsia="仿宋"/>
          <w:b w:val="0"/>
          <w:bCs w:val="0"/>
        </w:rPr>
        <w:t>般公共预算财政拨款项目支出决算表</w:t>
      </w:r>
      <w:bookmarkEnd w:id="66"/>
    </w:p>
    <w:p>
      <w:pPr>
        <w:numPr>
          <w:ilvl w:val="0"/>
          <w:numId w:val="0"/>
        </w:numPr>
        <w:ind w:leftChars="0"/>
      </w:pPr>
      <w:r>
        <w:drawing>
          <wp:inline distT="0" distB="0" distL="114300" distR="114300">
            <wp:extent cx="5269865" cy="2436495"/>
            <wp:effectExtent l="0" t="0" r="635" b="1905"/>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26"/>
                    <a:stretch>
                      <a:fillRect/>
                    </a:stretch>
                  </pic:blipFill>
                  <pic:spPr>
                    <a:xfrm>
                      <a:off x="0" y="0"/>
                      <a:ext cx="5269865" cy="2436495"/>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67" w:name="_Toc15396628"/>
      <w:r>
        <w:rPr>
          <w:rFonts w:hint="eastAsia" w:ascii="仿宋" w:hAnsi="仿宋" w:eastAsia="仿宋"/>
          <w:b w:val="0"/>
        </w:rPr>
        <w:t>一</w:t>
      </w:r>
      <w:r>
        <w:rPr>
          <w:rStyle w:val="27"/>
          <w:rFonts w:hint="eastAsia" w:ascii="仿宋" w:hAnsi="仿宋" w:eastAsia="仿宋"/>
          <w:b w:val="0"/>
          <w:bCs w:val="0"/>
        </w:rPr>
        <w:t>般公共预算财政拨款“三公”经费支出决算表</w:t>
      </w:r>
      <w:bookmarkEnd w:id="67"/>
    </w:p>
    <w:p>
      <w:pPr>
        <w:numPr>
          <w:ilvl w:val="0"/>
          <w:numId w:val="0"/>
        </w:numPr>
        <w:ind w:leftChars="0"/>
      </w:pPr>
      <w:r>
        <w:drawing>
          <wp:inline distT="0" distB="0" distL="114300" distR="114300">
            <wp:extent cx="5262880" cy="1082040"/>
            <wp:effectExtent l="0" t="0" r="7620" b="1016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27"/>
                    <a:stretch>
                      <a:fillRect/>
                    </a:stretch>
                  </pic:blipFill>
                  <pic:spPr>
                    <a:xfrm>
                      <a:off x="0" y="0"/>
                      <a:ext cx="5262880" cy="1082040"/>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bookmarkStart w:id="68" w:name="_Toc15396629"/>
      <w:r>
        <w:rPr>
          <w:rFonts w:hint="eastAsia" w:ascii="仿宋" w:hAnsi="仿宋" w:eastAsia="仿宋"/>
          <w:b w:val="0"/>
        </w:rPr>
        <w:t>政</w:t>
      </w:r>
      <w:r>
        <w:rPr>
          <w:rStyle w:val="27"/>
          <w:rFonts w:hint="eastAsia" w:ascii="仿宋" w:hAnsi="仿宋" w:eastAsia="仿宋"/>
          <w:b w:val="0"/>
          <w:bCs w:val="0"/>
        </w:rPr>
        <w:t>府性基金预算财政拨款收入支出决算表</w:t>
      </w:r>
      <w:bookmarkEnd w:id="68"/>
    </w:p>
    <w:p>
      <w:pPr>
        <w:numPr>
          <w:ilvl w:val="0"/>
          <w:numId w:val="0"/>
        </w:numPr>
        <w:ind w:leftChars="0"/>
      </w:pPr>
      <w:r>
        <w:drawing>
          <wp:inline distT="0" distB="0" distL="114300" distR="114300">
            <wp:extent cx="5271770" cy="1311910"/>
            <wp:effectExtent l="0" t="0" r="11430" b="889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28"/>
                    <a:stretch>
                      <a:fillRect/>
                    </a:stretch>
                  </pic:blipFill>
                  <pic:spPr>
                    <a:xfrm>
                      <a:off x="0" y="0"/>
                      <a:ext cx="5271770" cy="1311910"/>
                    </a:xfrm>
                    <a:prstGeom prst="rect">
                      <a:avLst/>
                    </a:prstGeom>
                    <a:noFill/>
                    <a:ln>
                      <a:noFill/>
                    </a:ln>
                  </pic:spPr>
                </pic:pic>
              </a:graphicData>
            </a:graphic>
          </wp:inline>
        </w:drawing>
      </w:r>
    </w:p>
    <w:p>
      <w:pPr>
        <w:pStyle w:val="5"/>
        <w:numPr>
          <w:ilvl w:val="0"/>
          <w:numId w:val="1"/>
        </w:numPr>
        <w:ind w:left="0" w:leftChars="0" w:firstLine="0" w:firstLineChars="0"/>
        <w:rPr>
          <w:rStyle w:val="27"/>
          <w:rFonts w:ascii="仿宋" w:hAnsi="仿宋" w:eastAsia="仿宋"/>
          <w:b w:val="0"/>
          <w:bCs w:val="0"/>
        </w:rPr>
      </w:pPr>
      <w:bookmarkStart w:id="69" w:name="_Toc15396630"/>
      <w:r>
        <w:rPr>
          <w:rFonts w:hint="eastAsia" w:ascii="仿宋" w:hAnsi="仿宋" w:eastAsia="仿宋"/>
          <w:b w:val="0"/>
        </w:rPr>
        <w:t>政</w:t>
      </w:r>
      <w:r>
        <w:rPr>
          <w:rStyle w:val="27"/>
          <w:rFonts w:hint="eastAsia" w:ascii="仿宋" w:hAnsi="仿宋" w:eastAsia="仿宋"/>
          <w:b w:val="0"/>
          <w:bCs w:val="0"/>
        </w:rPr>
        <w:t>府性基金预算财政拨款“三公”经费支出决算表</w:t>
      </w:r>
      <w:bookmarkEnd w:id="69"/>
      <w:bookmarkStart w:id="70" w:name="_Toc15396631"/>
    </w:p>
    <w:p>
      <w:pPr>
        <w:pStyle w:val="5"/>
        <w:numPr>
          <w:ilvl w:val="0"/>
          <w:numId w:val="0"/>
        </w:numPr>
        <w:ind w:leftChars="0"/>
        <w:rPr>
          <w:rStyle w:val="27"/>
          <w:rFonts w:hint="eastAsia" w:ascii="仿宋" w:hAnsi="仿宋" w:eastAsia="仿宋"/>
          <w:b w:val="0"/>
          <w:bCs w:val="0"/>
        </w:rPr>
      </w:pPr>
      <w:r>
        <w:drawing>
          <wp:inline distT="0" distB="0" distL="114300" distR="114300">
            <wp:extent cx="5270500" cy="1024890"/>
            <wp:effectExtent l="0" t="0" r="0" b="381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29"/>
                    <a:stretch>
                      <a:fillRect/>
                    </a:stretch>
                  </pic:blipFill>
                  <pic:spPr>
                    <a:xfrm>
                      <a:off x="0" y="0"/>
                      <a:ext cx="5270500" cy="1024890"/>
                    </a:xfrm>
                    <a:prstGeom prst="rect">
                      <a:avLst/>
                    </a:prstGeom>
                    <a:noFill/>
                    <a:ln>
                      <a:noFill/>
                    </a:ln>
                  </pic:spPr>
                </pic:pic>
              </a:graphicData>
            </a:graphic>
          </wp:inline>
        </w:drawing>
      </w:r>
    </w:p>
    <w:p>
      <w:pPr>
        <w:pStyle w:val="5"/>
        <w:numPr>
          <w:ilvl w:val="0"/>
          <w:numId w:val="1"/>
        </w:numPr>
        <w:ind w:left="0" w:leftChars="0" w:firstLine="0" w:firstLineChars="0"/>
        <w:rPr>
          <w:rStyle w:val="27"/>
          <w:rFonts w:hint="eastAsia" w:ascii="仿宋" w:hAnsi="仿宋" w:eastAsia="仿宋"/>
          <w:b w:val="0"/>
          <w:bCs w:val="0"/>
        </w:rPr>
      </w:pPr>
      <w:r>
        <w:rPr>
          <w:rFonts w:hint="eastAsia" w:ascii="仿宋" w:hAnsi="仿宋" w:eastAsia="仿宋"/>
          <w:b w:val="0"/>
        </w:rPr>
        <w:t>国</w:t>
      </w:r>
      <w:r>
        <w:rPr>
          <w:rStyle w:val="27"/>
          <w:rFonts w:hint="eastAsia" w:ascii="仿宋" w:hAnsi="仿宋" w:eastAsia="仿宋"/>
          <w:b w:val="0"/>
          <w:bCs w:val="0"/>
        </w:rPr>
        <w:t>有资本经营预算财政拨款收入支出决算表</w:t>
      </w:r>
      <w:bookmarkEnd w:id="70"/>
    </w:p>
    <w:p>
      <w:pPr>
        <w:numPr>
          <w:ilvl w:val="0"/>
          <w:numId w:val="0"/>
        </w:numPr>
        <w:ind w:leftChars="0"/>
      </w:pPr>
      <w:r>
        <w:drawing>
          <wp:inline distT="0" distB="0" distL="114300" distR="114300">
            <wp:extent cx="5271135" cy="1838325"/>
            <wp:effectExtent l="0" t="0" r="12065" b="3175"/>
            <wp:docPr id="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0"/>
                    <pic:cNvPicPr>
                      <a:picLocks noChangeAspect="1"/>
                    </pic:cNvPicPr>
                  </pic:nvPicPr>
                  <pic:blipFill>
                    <a:blip r:embed="rId30"/>
                    <a:stretch>
                      <a:fillRect/>
                    </a:stretch>
                  </pic:blipFill>
                  <pic:spPr>
                    <a:xfrm>
                      <a:off x="0" y="0"/>
                      <a:ext cx="5271135" cy="1838325"/>
                    </a:xfrm>
                    <a:prstGeom prst="rect">
                      <a:avLst/>
                    </a:prstGeom>
                    <a:noFill/>
                    <a:ln>
                      <a:noFill/>
                    </a:ln>
                  </pic:spPr>
                </pic:pic>
              </a:graphicData>
            </a:graphic>
          </wp:inline>
        </w:drawing>
      </w:r>
    </w:p>
    <w:p>
      <w:pPr>
        <w:numPr>
          <w:ilvl w:val="0"/>
          <w:numId w:val="1"/>
        </w:numPr>
        <w:ind w:left="0" w:leftChars="0" w:firstLine="0" w:firstLineChars="0"/>
        <w:rPr>
          <w:rStyle w:val="27"/>
          <w:rFonts w:hint="eastAsia" w:ascii="仿宋" w:hAnsi="仿宋" w:eastAsia="仿宋"/>
          <w:b w:val="0"/>
          <w:bCs w:val="0"/>
        </w:rPr>
      </w:pPr>
      <w:r>
        <w:rPr>
          <w:rStyle w:val="27"/>
          <w:rFonts w:hint="eastAsia" w:ascii="仿宋" w:hAnsi="仿宋" w:eastAsia="仿宋"/>
          <w:b w:val="0"/>
          <w:bCs w:val="0"/>
        </w:rPr>
        <w:t>国有资本经营预算财政拨款支出决算表</w:t>
      </w:r>
    </w:p>
    <w:p>
      <w:pPr>
        <w:pStyle w:val="2"/>
        <w:numPr>
          <w:ilvl w:val="0"/>
          <w:numId w:val="0"/>
        </w:numPr>
        <w:ind w:leftChars="0"/>
      </w:pPr>
      <w:r>
        <w:drawing>
          <wp:inline distT="0" distB="0" distL="114300" distR="114300">
            <wp:extent cx="5272405" cy="2105660"/>
            <wp:effectExtent l="0" t="0" r="10795" b="2540"/>
            <wp:docPr id="3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1"/>
                    <pic:cNvPicPr>
                      <a:picLocks noChangeAspect="1"/>
                    </pic:cNvPicPr>
                  </pic:nvPicPr>
                  <pic:blipFill>
                    <a:blip r:embed="rId31"/>
                    <a:stretch>
                      <a:fillRect/>
                    </a:stretch>
                  </pic:blipFill>
                  <pic:spPr>
                    <a:xfrm>
                      <a:off x="0" y="0"/>
                      <a:ext cx="5272405" cy="2105660"/>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仿宋_GB2312"/>
    <w:panose1 w:val="03000509000000000000"/>
    <w:charset w:val="86"/>
    <w:family w:val="script"/>
    <w:pitch w:val="default"/>
    <w:sig w:usb0="00000000" w:usb1="00000000" w:usb2="0000001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10"/>
          <w:jc w:val="center"/>
        </w:pPr>
        <w:r>
          <w:fldChar w:fldCharType="begin"/>
        </w:r>
        <w:r>
          <w:instrText xml:space="preserve">PAGE   \* MERGEFORMAT</w:instrText>
        </w:r>
        <w:r>
          <w:fldChar w:fldCharType="separate"/>
        </w:r>
        <w:r>
          <w:rPr>
            <w:lang w:val="zh-CN"/>
          </w:rPr>
          <w:t>3</w:t>
        </w:r>
        <w:r>
          <w:fldChar w:fldCharType="end"/>
        </w:r>
      </w:p>
    </w:sdtContent>
  </w:sdt>
  <w:p>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2">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3">
    <w:nsid w:val="49855FDF"/>
    <w:multiLevelType w:val="singleLevel"/>
    <w:tmpl w:val="49855FDF"/>
    <w:lvl w:ilvl="0" w:tentative="0">
      <w:start w:val="1"/>
      <w:numFmt w:val="chineseCounting"/>
      <w:suff w:val="nothing"/>
      <w:lvlText w:val="%1、"/>
      <w:lvlJc w:val="left"/>
      <w:rPr>
        <w:rFonts w:hint="eastAsia"/>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Tk1Y2FiYTBjODczZThiZDIyNzNkZGNiM2YyYzdkMWQ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74E20"/>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92D20"/>
    <w:rsid w:val="003A484F"/>
    <w:rsid w:val="003A4883"/>
    <w:rsid w:val="003B0BE0"/>
    <w:rsid w:val="003B0C1B"/>
    <w:rsid w:val="003B688C"/>
    <w:rsid w:val="003C0291"/>
    <w:rsid w:val="003C39AE"/>
    <w:rsid w:val="003C7B60"/>
    <w:rsid w:val="003D0C0F"/>
    <w:rsid w:val="003D1FB2"/>
    <w:rsid w:val="003D66DA"/>
    <w:rsid w:val="003E1310"/>
    <w:rsid w:val="003E5CB4"/>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609F9"/>
    <w:rsid w:val="00871F71"/>
    <w:rsid w:val="00872FD8"/>
    <w:rsid w:val="00885AF4"/>
    <w:rsid w:val="008939CD"/>
    <w:rsid w:val="008B768C"/>
    <w:rsid w:val="008C4DB1"/>
    <w:rsid w:val="008C4EAF"/>
    <w:rsid w:val="008C5176"/>
    <w:rsid w:val="008C7FD0"/>
    <w:rsid w:val="008E1DE7"/>
    <w:rsid w:val="008E707C"/>
    <w:rsid w:val="008F4605"/>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57CE8"/>
    <w:rsid w:val="00A67AB5"/>
    <w:rsid w:val="00A733B2"/>
    <w:rsid w:val="00A741C2"/>
    <w:rsid w:val="00A774A1"/>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65748"/>
    <w:rsid w:val="00C87FD8"/>
    <w:rsid w:val="00C91381"/>
    <w:rsid w:val="00C91CBB"/>
    <w:rsid w:val="00CA6A66"/>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B6D64"/>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A2032A3"/>
    <w:rsid w:val="0A9E3569"/>
    <w:rsid w:val="0B8A37D8"/>
    <w:rsid w:val="10C055FF"/>
    <w:rsid w:val="10D012EF"/>
    <w:rsid w:val="118107EC"/>
    <w:rsid w:val="11DD6519"/>
    <w:rsid w:val="127D4751"/>
    <w:rsid w:val="16BB723D"/>
    <w:rsid w:val="17C134ED"/>
    <w:rsid w:val="18015F3F"/>
    <w:rsid w:val="1BE8440E"/>
    <w:rsid w:val="1D155CEE"/>
    <w:rsid w:val="20F57F95"/>
    <w:rsid w:val="240371BF"/>
    <w:rsid w:val="25C741E6"/>
    <w:rsid w:val="27842671"/>
    <w:rsid w:val="29FD04D3"/>
    <w:rsid w:val="2ABE7A3E"/>
    <w:rsid w:val="2EFA178C"/>
    <w:rsid w:val="30B46D73"/>
    <w:rsid w:val="319F7F4E"/>
    <w:rsid w:val="31BB155C"/>
    <w:rsid w:val="33594EBF"/>
    <w:rsid w:val="33E70C59"/>
    <w:rsid w:val="39AE70AB"/>
    <w:rsid w:val="3C0C0783"/>
    <w:rsid w:val="3F9F3A96"/>
    <w:rsid w:val="3FCC1F77"/>
    <w:rsid w:val="493C27E9"/>
    <w:rsid w:val="496F39ED"/>
    <w:rsid w:val="49FF41D3"/>
    <w:rsid w:val="4BE068DB"/>
    <w:rsid w:val="4BF6002B"/>
    <w:rsid w:val="4ECE2238"/>
    <w:rsid w:val="50977C88"/>
    <w:rsid w:val="51DB4B86"/>
    <w:rsid w:val="55333C3E"/>
    <w:rsid w:val="5EBB22EB"/>
    <w:rsid w:val="61A66CD8"/>
    <w:rsid w:val="64CA39A1"/>
    <w:rsid w:val="6B253B5D"/>
    <w:rsid w:val="6C4A05C8"/>
    <w:rsid w:val="72734D90"/>
    <w:rsid w:val="77CB5B14"/>
    <w:rsid w:val="79E7B28D"/>
    <w:rsid w:val="7CCF0E77"/>
    <w:rsid w:val="7F9F20EE"/>
    <w:rsid w:val="9E3A10E2"/>
    <w:rsid w:val="F2E1F9D4"/>
    <w:rsid w:val="F78808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26"/>
    <w:qFormat/>
    <w:uiPriority w:val="9"/>
    <w:pPr>
      <w:keepNext/>
      <w:keepLines/>
      <w:spacing w:before="340" w:after="330" w:line="578" w:lineRule="auto"/>
      <w:outlineLvl w:val="0"/>
    </w:pPr>
    <w:rPr>
      <w:b/>
      <w:bCs/>
      <w:kern w:val="44"/>
      <w:sz w:val="44"/>
      <w:szCs w:val="44"/>
    </w:rPr>
  </w:style>
  <w:style w:type="paragraph" w:styleId="5">
    <w:name w:val="heading 2"/>
    <w:basedOn w:val="1"/>
    <w:next w:val="1"/>
    <w:link w:val="27"/>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30"/>
    <w:unhideWhenUsed/>
    <w:qFormat/>
    <w:uiPriority w:val="9"/>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pPr>
      <w:spacing w:after="120"/>
      <w:ind w:left="420" w:leftChars="200" w:firstLine="420"/>
    </w:pPr>
  </w:style>
  <w:style w:type="paragraph" w:styleId="3">
    <w:name w:val="Body Text Indent"/>
    <w:basedOn w:val="1"/>
    <w:qFormat/>
    <w:uiPriority w:val="0"/>
    <w:pPr>
      <w:ind w:firstLine="600" w:firstLineChars="200"/>
    </w:pPr>
    <w:rPr>
      <w:sz w:val="30"/>
      <w:szCs w:val="30"/>
    </w:rPr>
  </w:style>
  <w:style w:type="paragraph" w:styleId="7">
    <w:name w:val="Body Text"/>
    <w:basedOn w:val="1"/>
    <w:link w:val="23"/>
    <w:qFormat/>
    <w:uiPriority w:val="99"/>
    <w:pPr>
      <w:spacing w:beforeLines="30"/>
    </w:pPr>
    <w:rPr>
      <w:rFonts w:ascii="仿宋_GB2312" w:eastAsia="仿宋_GB2312"/>
      <w:kern w:val="0"/>
      <w:sz w:val="30"/>
    </w:rPr>
  </w:style>
  <w:style w:type="paragraph" w:styleId="8">
    <w:name w:val="toc 3"/>
    <w:basedOn w:val="1"/>
    <w:next w:val="1"/>
    <w:unhideWhenUsed/>
    <w:qFormat/>
    <w:uiPriority w:val="39"/>
    <w:pPr>
      <w:tabs>
        <w:tab w:val="right" w:leader="dot" w:pos="8296"/>
      </w:tabs>
      <w:ind w:left="840" w:leftChars="400"/>
    </w:pPr>
  </w:style>
  <w:style w:type="paragraph" w:styleId="9">
    <w:name w:val="Balloon Text"/>
    <w:basedOn w:val="1"/>
    <w:link w:val="29"/>
    <w:semiHidden/>
    <w:unhideWhenUsed/>
    <w:qFormat/>
    <w:uiPriority w:val="99"/>
    <w:rPr>
      <w:sz w:val="18"/>
      <w:szCs w:val="18"/>
    </w:rPr>
  </w:style>
  <w:style w:type="paragraph" w:styleId="10">
    <w:name w:val="footer"/>
    <w:basedOn w:val="1"/>
    <w:link w:val="21"/>
    <w:qFormat/>
    <w:uiPriority w:val="99"/>
    <w:pPr>
      <w:tabs>
        <w:tab w:val="center" w:pos="4153"/>
        <w:tab w:val="right" w:pos="8306"/>
      </w:tabs>
      <w:snapToGrid w:val="0"/>
      <w:jc w:val="left"/>
    </w:pPr>
    <w:rPr>
      <w:rFonts w:ascii="Calibri" w:hAnsi="Calibri"/>
      <w:kern w:val="0"/>
      <w:sz w:val="18"/>
      <w:szCs w:val="18"/>
    </w:rPr>
  </w:style>
  <w:style w:type="paragraph" w:styleId="11">
    <w:name w:val="header"/>
    <w:basedOn w:val="1"/>
    <w:link w:val="19"/>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2">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3">
    <w:name w:val="toc 2"/>
    <w:basedOn w:val="1"/>
    <w:next w:val="1"/>
    <w:unhideWhenUsed/>
    <w:qFormat/>
    <w:uiPriority w:val="39"/>
    <w:pPr>
      <w:tabs>
        <w:tab w:val="right" w:leader="dot" w:pos="8296"/>
      </w:tabs>
      <w:ind w:left="420" w:leftChars="200"/>
    </w:pPr>
  </w:style>
  <w:style w:type="character" w:styleId="16">
    <w:name w:val="Strong"/>
    <w:basedOn w:val="15"/>
    <w:qFormat/>
    <w:uiPriority w:val="99"/>
    <w:rPr>
      <w:b/>
    </w:rPr>
  </w:style>
  <w:style w:type="character" w:styleId="17">
    <w:name w:val="Hyperlink"/>
    <w:basedOn w:val="15"/>
    <w:unhideWhenUsed/>
    <w:qFormat/>
    <w:uiPriority w:val="99"/>
    <w:rPr>
      <w:color w:val="0000FF" w:themeColor="hyperlink"/>
      <w:u w:val="single"/>
    </w:rPr>
  </w:style>
  <w:style w:type="character" w:customStyle="1" w:styleId="18">
    <w:name w:val="Header Char"/>
    <w:basedOn w:val="15"/>
    <w:semiHidden/>
    <w:qFormat/>
    <w:uiPriority w:val="99"/>
    <w:rPr>
      <w:rFonts w:ascii="Times New Roman" w:hAnsi="Times New Roman"/>
      <w:sz w:val="18"/>
      <w:szCs w:val="18"/>
    </w:rPr>
  </w:style>
  <w:style w:type="character" w:customStyle="1" w:styleId="19">
    <w:name w:val="页眉 Char"/>
    <w:link w:val="11"/>
    <w:semiHidden/>
    <w:qFormat/>
    <w:locked/>
    <w:uiPriority w:val="99"/>
    <w:rPr>
      <w:sz w:val="18"/>
    </w:rPr>
  </w:style>
  <w:style w:type="character" w:customStyle="1" w:styleId="20">
    <w:name w:val="Footer Char"/>
    <w:basedOn w:val="15"/>
    <w:semiHidden/>
    <w:qFormat/>
    <w:uiPriority w:val="99"/>
    <w:rPr>
      <w:rFonts w:ascii="Times New Roman" w:hAnsi="Times New Roman"/>
      <w:sz w:val="18"/>
      <w:szCs w:val="18"/>
    </w:rPr>
  </w:style>
  <w:style w:type="character" w:customStyle="1" w:styleId="21">
    <w:name w:val="页脚 Char"/>
    <w:link w:val="10"/>
    <w:qFormat/>
    <w:locked/>
    <w:uiPriority w:val="99"/>
    <w:rPr>
      <w:sz w:val="18"/>
    </w:rPr>
  </w:style>
  <w:style w:type="character" w:customStyle="1" w:styleId="22">
    <w:name w:val="Body Text Char"/>
    <w:basedOn w:val="15"/>
    <w:semiHidden/>
    <w:qFormat/>
    <w:uiPriority w:val="99"/>
    <w:rPr>
      <w:rFonts w:ascii="Times New Roman" w:hAnsi="Times New Roman"/>
      <w:szCs w:val="24"/>
    </w:rPr>
  </w:style>
  <w:style w:type="character" w:customStyle="1" w:styleId="23">
    <w:name w:val="正文文本 Char"/>
    <w:link w:val="7"/>
    <w:qFormat/>
    <w:locked/>
    <w:uiPriority w:val="99"/>
    <w:rPr>
      <w:rFonts w:ascii="仿宋_GB2312" w:hAnsi="Times New Roman" w:eastAsia="仿宋_GB2312"/>
      <w:sz w:val="24"/>
    </w:rPr>
  </w:style>
  <w:style w:type="paragraph" w:customStyle="1" w:styleId="24">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5">
    <w:name w:val="List Paragraph"/>
    <w:basedOn w:val="1"/>
    <w:qFormat/>
    <w:uiPriority w:val="34"/>
    <w:pPr>
      <w:ind w:firstLine="420" w:firstLineChars="200"/>
    </w:pPr>
  </w:style>
  <w:style w:type="character" w:customStyle="1" w:styleId="26">
    <w:name w:val="标题 1 Char"/>
    <w:basedOn w:val="15"/>
    <w:link w:val="4"/>
    <w:qFormat/>
    <w:uiPriority w:val="9"/>
    <w:rPr>
      <w:rFonts w:ascii="Times New Roman" w:hAnsi="Times New Roman"/>
      <w:b/>
      <w:bCs/>
      <w:kern w:val="44"/>
      <w:sz w:val="44"/>
      <w:szCs w:val="44"/>
    </w:rPr>
  </w:style>
  <w:style w:type="character" w:customStyle="1" w:styleId="27">
    <w:name w:val="标题 2 Char"/>
    <w:basedOn w:val="15"/>
    <w:link w:val="5"/>
    <w:qFormat/>
    <w:uiPriority w:val="9"/>
    <w:rPr>
      <w:rFonts w:asciiTheme="majorHAnsi" w:hAnsiTheme="majorHAnsi" w:eastAsiaTheme="majorEastAsia" w:cstheme="majorBidi"/>
      <w:b/>
      <w:bCs/>
      <w:kern w:val="2"/>
      <w:sz w:val="32"/>
      <w:szCs w:val="32"/>
    </w:rPr>
  </w:style>
  <w:style w:type="paragraph" w:customStyle="1" w:styleId="28">
    <w:name w:val="TOC 标题1"/>
    <w:basedOn w:val="4"/>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9">
    <w:name w:val="批注框文本 Char"/>
    <w:basedOn w:val="15"/>
    <w:link w:val="9"/>
    <w:semiHidden/>
    <w:qFormat/>
    <w:uiPriority w:val="99"/>
    <w:rPr>
      <w:rFonts w:ascii="Times New Roman" w:hAnsi="Times New Roman"/>
      <w:kern w:val="2"/>
      <w:sz w:val="18"/>
      <w:szCs w:val="18"/>
    </w:rPr>
  </w:style>
  <w:style w:type="character" w:customStyle="1" w:styleId="30">
    <w:name w:val="标题 3 Char"/>
    <w:basedOn w:val="15"/>
    <w:link w:val="6"/>
    <w:qFormat/>
    <w:uiPriority w:val="9"/>
    <w:rPr>
      <w:rFonts w:ascii="Times New Roman" w:hAnsi="Times New Roman"/>
      <w:b/>
      <w:bCs/>
      <w:kern w:val="2"/>
      <w:sz w:val="32"/>
      <w:szCs w:val="32"/>
    </w:rPr>
  </w:style>
  <w:style w:type="paragraph" w:customStyle="1" w:styleId="31">
    <w:name w:val="TOC 标题2"/>
    <w:basedOn w:val="4"/>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chart" Target="charts/chart6.xml"/><Relationship Id="rId10" Type="http://schemas.openxmlformats.org/officeDocument/2006/relationships/chart" Target="charts/chart5.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24635;&#21153;\&#37096;&#38376;&#39044;&#31639;&#12289;&#20915;&#31639;&#32534;&#21046;\&#20915;&#31639;\&#36130;&#25919;&#20915;&#31639;\2021&#36130;&#25919;&#20915;&#31639;\&#20915;&#31639;&#20844;&#24320;\&#38468;&#20214;4&#65306;2021&#24180;&#20915;&#31639;&#20844;&#24320;&#38468;&#22270;(&#27169;&#26495;)&#20165;&#20379;&#21442;&#3277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4635;&#21153;\&#37096;&#38376;&#39044;&#31639;&#12289;&#20915;&#31639;&#32534;&#21046;\&#20915;&#31639;\&#36130;&#25919;&#20915;&#31639;\2021&#36130;&#25919;&#20915;&#31639;\&#20915;&#31639;&#20844;&#24320;\&#38468;&#20214;4&#65306;2021&#24180;&#20915;&#31639;&#20844;&#24320;&#38468;&#22270;(&#27169;&#26495;)&#20165;&#20379;&#21442;&#3277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4635;&#21153;\&#37096;&#38376;&#39044;&#31639;&#12289;&#20915;&#31639;&#32534;&#21046;\&#20915;&#31639;\&#36130;&#25919;&#20915;&#31639;\2021&#36130;&#25919;&#20915;&#31639;\&#20915;&#31639;&#20844;&#24320;\&#38468;&#20214;4&#65306;2021&#24180;&#20915;&#31639;&#20844;&#24320;&#38468;&#22270;(&#27169;&#26495;)&#20165;&#20379;&#21442;&#327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4635;&#21153;\&#37096;&#38376;&#39044;&#31639;&#12289;&#20915;&#31639;&#32534;&#21046;\&#20915;&#31639;\&#36130;&#25919;&#20915;&#31639;\2021&#36130;&#25919;&#20915;&#31639;\&#20915;&#31639;&#20844;&#24320;\&#38468;&#20214;4&#65306;2021&#24180;&#20915;&#31639;&#20844;&#24320;&#38468;&#22270;(&#27169;&#26495;)&#20165;&#20379;&#21442;&#327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4635;&#21153;\&#37096;&#38376;&#39044;&#31639;&#12289;&#20915;&#31639;&#32534;&#21046;\&#20915;&#31639;\&#36130;&#25919;&#20915;&#31639;\2021&#36130;&#25919;&#20915;&#31639;\&#20915;&#31639;&#20844;&#24320;\&#38468;&#20214;4&#65306;2021&#24180;&#20915;&#31639;&#20844;&#24320;&#38468;&#22270;(&#27169;&#26495;)&#20165;&#20379;&#21442;&#3277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4635;&#21153;\&#37096;&#38376;&#39044;&#31639;&#12289;&#20915;&#31639;&#32534;&#21046;\&#20915;&#31639;\&#36130;&#25919;&#20915;&#31639;\2021&#36130;&#25919;&#20915;&#31639;\&#20915;&#31639;&#20844;&#24320;\&#38468;&#20214;4&#65306;2021&#24180;&#20915;&#31639;&#20844;&#24320;&#38468;&#22270;(&#27169;&#26495;)&#20165;&#20379;&#21442;&#3277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1</a:t>
            </a:r>
            <a:r>
              <a:rPr lang="zh-CN"/>
              <a:t>：收、支决算总计变动情况图</a:t>
            </a:r>
            <a:endParaRPr lang="zh-CN"/>
          </a:p>
        </c:rich>
      </c:tx>
      <c:layout/>
      <c:overlay val="0"/>
    </c:title>
    <c:autoTitleDeleted val="0"/>
    <c:plotArea>
      <c:layout/>
      <c:barChart>
        <c:barDir val="col"/>
        <c:grouping val="clustered"/>
        <c:varyColors val="0"/>
        <c:ser>
          <c:idx val="0"/>
          <c:order val="0"/>
          <c:tx>
            <c:strRef>
              <c:f>'[附件4：2021年决算公开附图(模板)仅供参考.xlsx]收、支决算总体变动情况图1'!$C$13</c:f>
              <c:strCache>
                <c:ptCount val="1"/>
                <c:pt idx="0">
                  <c:v>金额</c:v>
                </c:pt>
              </c:strCache>
            </c:strRef>
          </c:tx>
          <c:invertIfNegative val="0"/>
          <c:dPt>
            <c:idx val="1"/>
            <c:invertIfNegative val="0"/>
            <c:bubble3D val="0"/>
            <c:spPr>
              <a:solidFill>
                <a:schemeClr val="accent2"/>
              </a:solidFill>
              <a:ln w="25400" cap="flat" cmpd="sng" algn="ctr">
                <a:solidFill>
                  <a:schemeClr val="accent2">
                    <a:shade val="50000"/>
                  </a:schemeClr>
                </a:solidFill>
                <a:prstDash val="solid"/>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'[附件4：2021年决算公开附图(模板)仅供参考.xlsx]收、支决算总体变动情况图1'!$B$14:$B$15</c:f>
              <c:strCache>
                <c:ptCount val="2"/>
                <c:pt idx="0">
                  <c:v>2021年</c:v>
                </c:pt>
                <c:pt idx="1">
                  <c:v>2020年</c:v>
                </c:pt>
              </c:strCache>
            </c:strRef>
          </c:cat>
          <c:val>
            <c:numRef>
              <c:f>'[附件4：2021年决算公开附图(模板)仅供参考.xlsx]收、支决算总体变动情况图1'!$C$14:$C$15</c:f>
              <c:numCache>
                <c:formatCode>#,##0.00</c:formatCode>
                <c:ptCount val="2"/>
                <c:pt idx="0">
                  <c:v>800.55</c:v>
                </c:pt>
                <c:pt idx="1">
                  <c:v>770.04</c:v>
                </c:pt>
              </c:numCache>
            </c:numRef>
          </c:val>
        </c:ser>
        <c:dLbls>
          <c:showLegendKey val="0"/>
          <c:showVal val="1"/>
          <c:showCatName val="0"/>
          <c:showSerName val="0"/>
          <c:showPercent val="0"/>
          <c:showBubbleSize val="0"/>
        </c:dLbls>
        <c:gapWidth val="150"/>
        <c:axId val="73265920"/>
        <c:axId val="73267456"/>
      </c:barChart>
      <c:catAx>
        <c:axId val="7326592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7456"/>
        <c:crosses val="autoZero"/>
        <c:auto val="1"/>
        <c:lblAlgn val="ctr"/>
        <c:lblOffset val="100"/>
        <c:noMultiLvlLbl val="0"/>
      </c:catAx>
      <c:valAx>
        <c:axId val="73267456"/>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5920"/>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2</a:t>
            </a:r>
            <a:r>
              <a:rPr lang="zh-CN"/>
              <a:t>：</a:t>
            </a:r>
            <a:r>
              <a:rPr lang="en-US"/>
              <a:t>2021</a:t>
            </a:r>
            <a:r>
              <a:rPr lang="zh-CN"/>
              <a:t>年收入决算结构图</a:t>
            </a:r>
            <a:endParaRPr lang="zh-CN"/>
          </a:p>
        </c:rich>
      </c:tx>
      <c:layout/>
      <c:overlay val="0"/>
    </c:title>
    <c:autoTitleDeleted val="0"/>
    <c:plotArea>
      <c:layout/>
      <c:pieChart>
        <c:varyColors val="1"/>
        <c:ser>
          <c:idx val="0"/>
          <c:order val="0"/>
          <c:tx>
            <c:strRef>
              <c:f>'[附件4：2021年决算公开附图(模板)仅供参考.xlsx]收入决算结构图2'!$B$6</c:f>
              <c:strCache>
                <c:ptCount val="1"/>
                <c:pt idx="0">
                  <c:v>占比</c:v>
                </c:pt>
              </c:strCache>
            </c:strRef>
          </c:tx>
          <c:explosion val="0"/>
          <c:dPt>
            <c:idx val="0"/>
            <c:bubble3D val="0"/>
          </c:dPt>
          <c:dPt>
            <c:idx val="1"/>
            <c:bubble3D val="0"/>
          </c:dPt>
          <c:dPt>
            <c:idx val="2"/>
            <c:bubble3D val="0"/>
          </c:dPt>
          <c:dPt>
            <c:idx val="3"/>
            <c:bubble3D val="0"/>
          </c:dPt>
          <c:dLbls>
            <c:dLbl>
              <c:idx val="1"/>
              <c:layout>
                <c:manualLayout>
                  <c:x val="-0.0167753458752465"/>
                  <c:y val="-0.0412493660885495"/>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50471494345391"/>
                  <c:y val="-0.0162085918724544"/>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'[附件4：2021年决算公开附图(模板)仅供参考.xlsx]收入决算结构图2'!$A$7:$A$10</c:f>
              <c:strCache>
                <c:ptCount val="4"/>
                <c:pt idx="0">
                  <c:v>一般公共预算财政拨款收入800.55万元</c:v>
                </c:pt>
              </c:strCache>
            </c:strRef>
          </c:cat>
          <c:val>
            <c:numRef>
              <c:f>'[附件4：2021年决算公开附图(模板)仅供参考.xlsx]收入决算结构图2'!$B$7:$B$10</c:f>
              <c:numCache>
                <c:formatCode>0.00%</c:formatCode>
                <c:ptCount val="4"/>
                <c:pt idx="0">
                  <c:v>1</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egendEntry>
        <c:idx val="1"/>
        <c:delete val="1"/>
      </c:legendEntry>
      <c:legendEntry>
        <c:idx val="2"/>
        <c:delete val="1"/>
      </c:legendEntry>
      <c:legendEntry>
        <c:idx val="3"/>
        <c:delete val="1"/>
      </c:legendEntry>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3</a:t>
            </a:r>
            <a:r>
              <a:rPr lang="zh-CN"/>
              <a:t>：</a:t>
            </a:r>
            <a:r>
              <a:rPr lang="en-US"/>
              <a:t>2021</a:t>
            </a:r>
            <a:r>
              <a:rPr lang="zh-CN"/>
              <a:t>年支出决算结构图</a:t>
            </a:r>
            <a:endParaRPr lang="zh-CN"/>
          </a:p>
        </c:rich>
      </c:tx>
      <c:layout>
        <c:manualLayout>
          <c:xMode val="edge"/>
          <c:yMode val="edge"/>
          <c:x val="0.224852767962309"/>
          <c:y val="0.0234604105571848"/>
        </c:manualLayout>
      </c:layout>
      <c:overlay val="0"/>
    </c:title>
    <c:autoTitleDeleted val="0"/>
    <c:plotArea>
      <c:layout/>
      <c:pieChart>
        <c:varyColors val="1"/>
        <c:ser>
          <c:idx val="0"/>
          <c:order val="0"/>
          <c:tx>
            <c:strRef>
              <c:f>'[附件4：2021年决算公开附图(模板)仅供参考.xlsx]支出决算结构图3'!$B$9</c:f>
              <c:strCache>
                <c:ptCount val="1"/>
                <c:pt idx="0">
                  <c:v>占比</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'[附件4：2021年决算公开附图(模板)仅供参考.xlsx]支出决算结构图3'!$A$10:$A$11</c:f>
              <c:strCache>
                <c:ptCount val="2"/>
                <c:pt idx="0">
                  <c:v>基本支出737.21万元</c:v>
                </c:pt>
                <c:pt idx="1">
                  <c:v>项目支出67.31万元</c:v>
                </c:pt>
              </c:strCache>
            </c:strRef>
          </c:cat>
          <c:val>
            <c:numRef>
              <c:f>'[附件4：2021年决算公开附图(模板)仅供参考.xlsx]支出决算结构图3'!$B$10:$B$11</c:f>
              <c:numCache>
                <c:formatCode>0.00%</c:formatCode>
                <c:ptCount val="2"/>
                <c:pt idx="0">
                  <c:v>0.9163</c:v>
                </c:pt>
                <c:pt idx="1">
                  <c:v>0.0837</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4</a:t>
            </a:r>
            <a:r>
              <a:rPr lang="zh-CN" altLang="en-US"/>
              <a:t>：财政拨款收、支决算总计变动情况图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'[附件4：2021年决算公开附图(模板)仅供参考.xlsx]财政拨款收、支决算总计变动情况图4'!$C$4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'[附件4：2021年决算公开附图(模板)仅供参考.xlsx]财政拨款收、支决算总计变动情况图4'!$B$5:$B$6</c:f>
              <c:strCache>
                <c:ptCount val="2"/>
                <c:pt idx="0">
                  <c:v>2021年</c:v>
                </c:pt>
                <c:pt idx="1">
                  <c:v>2020年</c:v>
                </c:pt>
              </c:strCache>
            </c:strRef>
          </c:cat>
          <c:val>
            <c:numRef>
              <c:f>'[附件4：2021年决算公开附图(模板)仅供参考.xlsx]财政拨款收、支决算总计变动情况图4'!$C$5:$C$6</c:f>
              <c:numCache>
                <c:formatCode>#,##0.00</c:formatCode>
                <c:ptCount val="2"/>
                <c:pt idx="0">
                  <c:v>804.52</c:v>
                </c:pt>
                <c:pt idx="1">
                  <c:v>770.04</c:v>
                </c:pt>
              </c:numCache>
            </c:numRef>
          </c:val>
        </c:ser>
        <c:dLbls>
          <c:showLegendKey val="0"/>
          <c:showVal val="1"/>
          <c:showCatName val="0"/>
          <c:showSerName val="0"/>
          <c:showPercent val="0"/>
          <c:showBubbleSize val="0"/>
        </c:dLbls>
        <c:gapWidth val="150"/>
        <c:axId val="91223168"/>
        <c:axId val="91224704"/>
      </c:barChart>
      <c:catAx>
        <c:axId val="91223168"/>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4704"/>
        <c:crosses val="autoZero"/>
        <c:auto val="1"/>
        <c:lblAlgn val="ctr"/>
        <c:lblOffset val="100"/>
        <c:noMultiLvlLbl val="0"/>
      </c:catAx>
      <c:valAx>
        <c:axId val="9122470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3168"/>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5</a:t>
            </a:r>
            <a:r>
              <a:rPr lang="zh-CN" altLang="en-US"/>
              <a:t>：一般公共预算财政拨款支出决算       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'[附件4：2021年决算公开附图(模板)仅供参考.xlsx]一般公共预算财政拨款支出决算变动图5'!$C$4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'[附件4：2021年决算公开附图(模板)仅供参考.xlsx]一般公共预算财政拨款支出决算变动图5'!$B$5:$B$6</c:f>
              <c:strCache>
                <c:ptCount val="2"/>
                <c:pt idx="0">
                  <c:v>2021年</c:v>
                </c:pt>
                <c:pt idx="1">
                  <c:v>2020年</c:v>
                </c:pt>
              </c:strCache>
            </c:strRef>
          </c:cat>
          <c:val>
            <c:numRef>
              <c:f>'[附件4：2021年决算公开附图(模板)仅供参考.xlsx]一般公共预算财政拨款支出决算变动图5'!$C$5:$C$6</c:f>
              <c:numCache>
                <c:formatCode>#,##0.00</c:formatCode>
                <c:ptCount val="2"/>
                <c:pt idx="0">
                  <c:v>804.52</c:v>
                </c:pt>
                <c:pt idx="1">
                  <c:v>765.17</c:v>
                </c:pt>
              </c:numCache>
            </c:numRef>
          </c:val>
        </c:ser>
        <c:dLbls>
          <c:showLegendKey val="0"/>
          <c:showVal val="1"/>
          <c:showCatName val="0"/>
          <c:showSerName val="0"/>
          <c:showPercent val="0"/>
          <c:showBubbleSize val="0"/>
        </c:dLbls>
        <c:gapWidth val="150"/>
        <c:axId val="91241856"/>
        <c:axId val="91268224"/>
      </c:barChart>
      <c:catAx>
        <c:axId val="91241856"/>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68224"/>
        <c:crosses val="autoZero"/>
        <c:auto val="1"/>
        <c:lblAlgn val="ctr"/>
        <c:lblOffset val="100"/>
        <c:noMultiLvlLbl val="0"/>
      </c:catAx>
      <c:valAx>
        <c:axId val="9126822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41856"/>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6</a:t>
            </a:r>
            <a:r>
              <a:rPr lang="zh-CN" altLang="en-US"/>
              <a:t>：一般公共预算财政拨款支出决算结构图</a:t>
            </a:r>
            <a:endParaRPr lang="zh-CN" altLang="en-US"/>
          </a:p>
        </c:rich>
      </c:tx>
      <c:layout/>
      <c:overlay val="0"/>
    </c:title>
    <c:autoTitleDeleted val="0"/>
    <c:plotArea>
      <c:layout/>
      <c:pieChart>
        <c:varyColors val="1"/>
        <c:ser>
          <c:idx val="0"/>
          <c:order val="0"/>
          <c:tx>
            <c:strRef>
              <c:f>'[附件4：2021年决算公开附图(模板)仅供参考.xlsx]一般公共预算财政拨款支出决算结构图6'!$C$15</c:f>
              <c:strCache>
                <c:ptCount val="1"/>
                <c:pt idx="0">
                  <c:v>占比</c:v>
                </c:pt>
              </c:strCache>
            </c:strRef>
          </c:tx>
          <c:explosion val="0"/>
          <c:dPt>
            <c:idx val="0"/>
            <c:bubble3D val="0"/>
          </c:dPt>
          <c:dPt>
            <c:idx val="1"/>
            <c:bubble3D val="0"/>
          </c:dPt>
          <c:dPt>
            <c:idx val="2"/>
            <c:bubble3D val="0"/>
          </c:dPt>
          <c:dPt>
            <c:idx val="3"/>
            <c:bubble3D val="0"/>
          </c:dPt>
          <c:dPt>
            <c:idx val="4"/>
            <c:bubble3D val="0"/>
          </c:dPt>
          <c:dPt>
            <c:idx val="5"/>
            <c:bubble3D val="0"/>
          </c:dPt>
          <c:dPt>
            <c:idx val="6"/>
            <c:bubble3D val="0"/>
          </c:dPt>
          <c:dLbls>
            <c:dLbl>
              <c:idx val="5"/>
              <c:layout>
                <c:manualLayout>
                  <c:x val="0.0569634882148239"/>
                  <c:y val="-0.0231827518809166"/>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0305024618798017"/>
                  <c:y val="0.119045485645333"/>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'[附件4：2021年决算公开附图(模板)仅供参考.xlsx]一般公共预算财政拨款支出决算结构图6'!$B$16:$B$22</c:f>
              <c:strCache>
                <c:ptCount val="7"/>
                <c:pt idx="1">
                  <c:v>教育支出</c:v>
                </c:pt>
                <c:pt idx="3">
                  <c:v>社会保障和就业支出</c:v>
                </c:pt>
                <c:pt idx="4">
                  <c:v>卫生健康支出</c:v>
                </c:pt>
                <c:pt idx="6">
                  <c:v>住房保障支出</c:v>
                </c:pt>
              </c:strCache>
            </c:strRef>
          </c:cat>
          <c:val>
            <c:numRef>
              <c:f>'[附件4：2021年决算公开附图(模板)仅供参考.xlsx]一般公共预算财政拨款支出决算结构图6'!$C$16:$C$22</c:f>
              <c:numCache>
                <c:formatCode>General</c:formatCode>
                <c:ptCount val="7"/>
                <c:pt idx="1" c:formatCode="0.00%">
                  <c:v>0.771118182270173</c:v>
                </c:pt>
                <c:pt idx="3" c:formatCode="0.00%">
                  <c:v>0.138194202754437</c:v>
                </c:pt>
                <c:pt idx="4" c:formatCode="0.00%">
                  <c:v>0.0254437428528812</c:v>
                </c:pt>
                <c:pt idx="6" c:formatCode="0.00%">
                  <c:v>0.0652438721225078</c:v>
                </c:pt>
              </c:numCache>
            </c:numRef>
          </c:val>
        </c:ser>
        <c:dLbls>
          <c:showLegendKey val="0"/>
          <c:showVal val="0"/>
          <c:showCatName val="0"/>
          <c:showSerName val="0"/>
          <c:showPercent val="0"/>
          <c:showBubbleSize val="0"/>
          <c:showLeaderLines val="1"/>
        </c:dLbls>
        <c:firstSliceAng val="15"/>
      </c:pieChart>
      <c:spPr>
        <a:noFill/>
        <a:ln>
          <a:noFill/>
        </a:ln>
        <a:effectLst/>
      </c:spPr>
    </c:plotArea>
    <c:legend>
      <c:legendPos val="r"/>
      <c:legendEntry>
        <c:idx val="0"/>
        <c:delete val="1"/>
      </c:legendEntry>
      <c:legendEntry>
        <c:idx val="2"/>
        <c:delete val="1"/>
      </c:legendEntry>
      <c:legendEntry>
        <c:idx val="5"/>
        <c:delete val="1"/>
      </c:legendEntry>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四川省财政厅</Company>
  <Pages>30</Pages>
  <Words>9933</Words>
  <Characters>10650</Characters>
  <Lines>48</Lines>
  <Paragraphs>13</Paragraphs>
  <TotalTime>9</TotalTime>
  <ScaleCrop>false</ScaleCrop>
  <LinksUpToDate>false</LinksUpToDate>
  <CharactersWithSpaces>10786</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2022-09-13T01:18:00Z</dcterms:created>
  <dc:creator>曹颖</dc:creator>
  <cp:lastModifiedBy>邱静</cp:lastModifiedBy>
  <cp:lastPrinted>2022-08-06T02:23:00Z</cp:lastPrinted>
  <dcterms:modified xsi:type="dcterms:W3CDTF">2022-12-26T10:34:16Z</dcterms:modified>
  <dc:title>四川省***</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8FF2342FA7694F69ACFC8699031959EE</vt:lpwstr>
  </property>
</Properties>
</file>