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600" w:lineRule="exact"/>
        <w:jc w:val="center"/>
        <w:outlineLvl w:val="0"/>
        <w:rPr>
          <w:rFonts w:ascii="方正小标宋简体" w:hAnsi="宋体" w:eastAsia="方正小标宋简体"/>
          <w:sz w:val="72"/>
          <w:szCs w:val="72"/>
        </w:rPr>
      </w:pPr>
      <w:bookmarkStart w:id="0" w:name="_Toc15306267"/>
    </w:p>
    <w:p>
      <w:pPr>
        <w:spacing w:line="600" w:lineRule="exact"/>
        <w:jc w:val="center"/>
        <w:outlineLvl w:val="0"/>
        <w:rPr>
          <w:rFonts w:ascii="方正小标宋简体" w:hAnsi="宋体" w:eastAsia="方正小标宋简体"/>
          <w:sz w:val="72"/>
          <w:szCs w:val="72"/>
        </w:rPr>
      </w:pPr>
    </w:p>
    <w:p>
      <w:pPr>
        <w:spacing w:line="600" w:lineRule="exact"/>
        <w:jc w:val="center"/>
        <w:outlineLvl w:val="0"/>
        <w:rPr>
          <w:rFonts w:ascii="方正小标宋简体" w:hAnsi="宋体" w:eastAsia="方正小标宋简体"/>
          <w:sz w:val="72"/>
          <w:szCs w:val="72"/>
        </w:rPr>
      </w:pPr>
    </w:p>
    <w:p>
      <w:pPr>
        <w:spacing w:line="600" w:lineRule="exact"/>
        <w:jc w:val="center"/>
        <w:outlineLvl w:val="0"/>
        <w:rPr>
          <w:rFonts w:ascii="方正小标宋简体" w:hAnsi="宋体" w:eastAsia="方正小标宋简体"/>
          <w:sz w:val="72"/>
          <w:szCs w:val="72"/>
        </w:rPr>
      </w:pPr>
    </w:p>
    <w:p>
      <w:pPr>
        <w:adjustRightInd w:val="0"/>
        <w:snapToGrid w:val="0"/>
        <w:spacing w:line="360" w:lineRule="auto"/>
        <w:jc w:val="center"/>
        <w:outlineLvl w:val="0"/>
        <w:rPr>
          <w:rFonts w:ascii="方正小标宋简体" w:hAnsi="方正小标宋简体" w:eastAsia="方正小标宋简体" w:cs="方正小标宋简体"/>
          <w:sz w:val="72"/>
          <w:szCs w:val="72"/>
        </w:rPr>
      </w:pPr>
      <w:bookmarkStart w:id="1" w:name="_Toc15377193"/>
      <w:bookmarkStart w:id="2" w:name="_Toc15396597"/>
      <w:bookmarkStart w:id="3" w:name="_Toc15396475"/>
      <w:bookmarkStart w:id="4" w:name="_Toc15377425"/>
      <w:bookmarkStart w:id="5" w:name="_Toc15378441"/>
      <w:r>
        <w:rPr>
          <w:rFonts w:hint="eastAsia" w:ascii="方正小标宋简体" w:hAnsi="方正小标宋简体" w:eastAsia="方正小标宋简体" w:cs="方正小标宋简体"/>
          <w:sz w:val="72"/>
          <w:szCs w:val="72"/>
        </w:rPr>
        <w:t>2021年度</w:t>
      </w:r>
      <w:bookmarkEnd w:id="1"/>
      <w:bookmarkEnd w:id="2"/>
      <w:bookmarkEnd w:id="3"/>
      <w:bookmarkEnd w:id="4"/>
      <w:bookmarkEnd w:id="5"/>
    </w:p>
    <w:p>
      <w:pPr>
        <w:adjustRightInd w:val="0"/>
        <w:snapToGrid w:val="0"/>
        <w:spacing w:line="360" w:lineRule="auto"/>
        <w:jc w:val="center"/>
        <w:outlineLvl w:val="0"/>
        <w:rPr>
          <w:rFonts w:ascii="方正小标宋简体" w:hAnsi="方正小标宋简体" w:eastAsia="方正小标宋简体" w:cs="方正小标宋简体"/>
          <w:sz w:val="72"/>
          <w:szCs w:val="72"/>
        </w:rPr>
      </w:pPr>
      <w:bookmarkStart w:id="6" w:name="_Toc15377426"/>
      <w:bookmarkStart w:id="7" w:name="_Toc15378442"/>
      <w:bookmarkStart w:id="8" w:name="_Toc15377194"/>
      <w:bookmarkStart w:id="9" w:name="_Toc15396598"/>
      <w:bookmarkStart w:id="10" w:name="_Toc15396476"/>
      <w:r>
        <w:rPr>
          <w:rFonts w:hint="eastAsia" w:ascii="方正小标宋简体" w:hAnsi="方正小标宋简体" w:eastAsia="方正小标宋简体" w:cs="方正小标宋简体"/>
          <w:sz w:val="72"/>
          <w:szCs w:val="72"/>
        </w:rPr>
        <w:t>乐山市市中区</w:t>
      </w:r>
      <w:bookmarkEnd w:id="0"/>
      <w:bookmarkStart w:id="11" w:name="_Toc15306268"/>
      <w:r>
        <w:rPr>
          <w:rFonts w:hint="eastAsia" w:ascii="方正小标宋简体" w:hAnsi="方正小标宋简体" w:eastAsia="方正小标宋简体" w:cs="方正小标宋简体"/>
          <w:sz w:val="72"/>
          <w:szCs w:val="72"/>
          <w:lang w:eastAsia="zh-CN"/>
        </w:rPr>
        <w:t>凌云乡中心</w:t>
      </w:r>
      <w:r>
        <w:rPr>
          <w:rFonts w:hint="eastAsia" w:ascii="方正小标宋简体" w:hAnsi="方正小标宋简体" w:eastAsia="方正小标宋简体" w:cs="方正小标宋简体"/>
          <w:sz w:val="72"/>
          <w:szCs w:val="72"/>
        </w:rPr>
        <w:t>幼儿园单位决算</w:t>
      </w:r>
      <w:bookmarkEnd w:id="6"/>
      <w:bookmarkEnd w:id="7"/>
      <w:bookmarkEnd w:id="8"/>
      <w:bookmarkEnd w:id="9"/>
      <w:bookmarkEnd w:id="10"/>
      <w:bookmarkEnd w:id="11"/>
    </w:p>
    <w:p>
      <w:pPr>
        <w:widowControl/>
        <w:jc w:val="center"/>
        <w:rPr>
          <w:rFonts w:ascii="黑体" w:hAnsi="黑体" w:eastAsia="黑体"/>
          <w:sz w:val="48"/>
          <w:szCs w:val="48"/>
        </w:rPr>
      </w:pPr>
      <w:r>
        <w:rPr>
          <w:rFonts w:ascii="方正小标宋简体" w:hAnsi="宋体" w:eastAsia="方正小标宋简体"/>
          <w:sz w:val="36"/>
          <w:szCs w:val="36"/>
        </w:rPr>
        <w:br w:type="page"/>
      </w:r>
      <w:r>
        <w:rPr>
          <w:rFonts w:hint="eastAsia" w:ascii="黑体" w:hAnsi="黑体" w:eastAsia="黑体"/>
          <w:sz w:val="48"/>
          <w:szCs w:val="48"/>
        </w:rPr>
        <w:t>目录</w:t>
      </w:r>
    </w:p>
    <w:p>
      <w:pPr>
        <w:widowControl/>
        <w:jc w:val="center"/>
        <w:rPr>
          <w:rFonts w:ascii="黑体" w:hAnsi="黑体" w:eastAsia="黑体" w:cstheme="minorBidi"/>
          <w:sz w:val="28"/>
          <w:szCs w:val="28"/>
        </w:rPr>
      </w:pPr>
    </w:p>
    <w:p>
      <w:pPr>
        <w:pStyle w:val="10"/>
      </w:pPr>
      <w:r>
        <w:rPr>
          <w:rFonts w:hint="eastAsia"/>
        </w:rPr>
        <w:t>公开时间：2022年10月14 日</w:t>
      </w:r>
    </w:p>
    <w:p/>
    <w:p>
      <w:pPr>
        <w:pStyle w:val="10"/>
        <w:adjustRightInd w:val="0"/>
        <w:snapToGrid w:val="0"/>
        <w:spacing w:before="0" w:line="440" w:lineRule="exact"/>
        <w:jc w:val="left"/>
        <w:rPr>
          <w:rFonts w:cstheme="minorBidi"/>
          <w:sz w:val="24"/>
          <w:szCs w:val="24"/>
        </w:rPr>
      </w:pPr>
      <w:r>
        <w:rPr>
          <w:rFonts w:hint="eastAsia"/>
          <w:sz w:val="24"/>
        </w:rPr>
        <w:t>第一部分单位概况</w:t>
      </w:r>
    </w:p>
    <w:p>
      <w:pPr>
        <w:pStyle w:val="11"/>
        <w:adjustRightInd w:val="0"/>
        <w:snapToGrid w:val="0"/>
        <w:spacing w:line="440" w:lineRule="exact"/>
        <w:jc w:val="left"/>
        <w:rPr>
          <w:sz w:val="24"/>
        </w:rPr>
      </w:pPr>
      <w:r>
        <w:rPr>
          <w:rFonts w:hint="eastAsia"/>
          <w:sz w:val="24"/>
        </w:rPr>
        <w:t xml:space="preserve">一、职能简介 </w:t>
      </w:r>
      <w:r>
        <w:rPr>
          <w:rFonts w:hint="eastAsia" w:ascii="宋体" w:hAnsi="宋体" w:cs="宋体"/>
          <w:sz w:val="24"/>
        </w:rPr>
        <w:t>…………………………………………………………………4</w:t>
      </w:r>
    </w:p>
    <w:p>
      <w:pPr>
        <w:pStyle w:val="11"/>
        <w:adjustRightInd w:val="0"/>
        <w:snapToGrid w:val="0"/>
        <w:spacing w:line="440" w:lineRule="exact"/>
        <w:jc w:val="left"/>
        <w:rPr>
          <w:rFonts w:asciiTheme="minorEastAsia" w:hAnsiTheme="minorEastAsia" w:eastAsiaTheme="minorEastAsia" w:cstheme="minorEastAsia"/>
          <w:sz w:val="24"/>
        </w:rPr>
      </w:pPr>
      <w:r>
        <w:rPr>
          <w:rFonts w:hint="eastAsia" w:asciiTheme="minorEastAsia" w:hAnsiTheme="minorEastAsia" w:eastAsiaTheme="minorEastAsia" w:cstheme="minorEastAsia"/>
          <w:sz w:val="24"/>
        </w:rPr>
        <w:t>二、2021年重点工作完成情况</w:t>
      </w:r>
      <w:r>
        <w:rPr>
          <w:rFonts w:hint="eastAsia" w:ascii="宋体" w:hAnsi="宋体" w:cs="宋体"/>
          <w:sz w:val="24"/>
        </w:rPr>
        <w:t>…………………………………………………4</w:t>
      </w:r>
    </w:p>
    <w:p>
      <w:pPr>
        <w:pStyle w:val="10"/>
        <w:adjustRightInd w:val="0"/>
        <w:snapToGrid w:val="0"/>
        <w:spacing w:before="0" w:line="440" w:lineRule="exact"/>
        <w:jc w:val="left"/>
        <w:rPr>
          <w:sz w:val="24"/>
          <w:szCs w:val="24"/>
        </w:rPr>
      </w:pPr>
      <w:r>
        <w:rPr>
          <w:rFonts w:hint="eastAsia"/>
          <w:sz w:val="24"/>
        </w:rPr>
        <w:t>第二部分 2021年度单位决算情况说明</w:t>
      </w:r>
      <w:r>
        <w:rPr>
          <w:rFonts w:hint="eastAsia" w:ascii="宋体" w:hAnsi="宋体" w:cs="宋体"/>
          <w:sz w:val="24"/>
        </w:rPr>
        <w:t>……………………………………………5</w:t>
      </w:r>
    </w:p>
    <w:p>
      <w:pPr>
        <w:pStyle w:val="11"/>
        <w:adjustRightInd w:val="0"/>
        <w:snapToGrid w:val="0"/>
        <w:spacing w:line="440" w:lineRule="exact"/>
        <w:jc w:val="left"/>
        <w:rPr>
          <w:rFonts w:ascii="仿宋" w:hAnsi="仿宋" w:eastAsia="仿宋" w:cstheme="minorBidi"/>
          <w:sz w:val="24"/>
        </w:rPr>
      </w:pPr>
      <w:r>
        <w:rPr>
          <w:rFonts w:hint="eastAsia"/>
          <w:sz w:val="24"/>
        </w:rPr>
        <w:t>一、收入支出决算总体情况说明</w:t>
      </w:r>
      <w:r>
        <w:rPr>
          <w:rFonts w:hint="eastAsia" w:ascii="宋体" w:hAnsi="宋体" w:cs="宋体"/>
          <w:sz w:val="24"/>
        </w:rPr>
        <w:t>………………………………………………5</w:t>
      </w:r>
    </w:p>
    <w:p>
      <w:pPr>
        <w:pStyle w:val="11"/>
        <w:adjustRightInd w:val="0"/>
        <w:snapToGrid w:val="0"/>
        <w:spacing w:line="440" w:lineRule="exact"/>
        <w:jc w:val="left"/>
        <w:rPr>
          <w:rFonts w:ascii="仿宋" w:hAnsi="仿宋" w:eastAsia="仿宋" w:cstheme="minorBidi"/>
          <w:sz w:val="24"/>
        </w:rPr>
      </w:pPr>
      <w:r>
        <w:rPr>
          <w:rFonts w:hint="eastAsia"/>
          <w:sz w:val="24"/>
        </w:rPr>
        <w:t>二、收入决算情况说明</w:t>
      </w:r>
      <w:r>
        <w:rPr>
          <w:rFonts w:hint="eastAsia" w:ascii="宋体" w:hAnsi="宋体" w:cs="宋体"/>
          <w:sz w:val="24"/>
        </w:rPr>
        <w:t>…………………………………………………………6</w:t>
      </w:r>
    </w:p>
    <w:p>
      <w:pPr>
        <w:pStyle w:val="11"/>
        <w:adjustRightInd w:val="0"/>
        <w:snapToGrid w:val="0"/>
        <w:spacing w:line="440" w:lineRule="exact"/>
        <w:jc w:val="left"/>
        <w:rPr>
          <w:rFonts w:ascii="仿宋" w:hAnsi="仿宋" w:eastAsia="仿宋" w:cstheme="minorBidi"/>
          <w:sz w:val="24"/>
        </w:rPr>
      </w:pPr>
      <w:r>
        <w:rPr>
          <w:rFonts w:hint="eastAsia"/>
          <w:sz w:val="24"/>
        </w:rPr>
        <w:t>三、支出决算情况说明</w:t>
      </w:r>
      <w:r>
        <w:rPr>
          <w:rFonts w:hint="eastAsia" w:ascii="宋体" w:hAnsi="宋体" w:cs="宋体"/>
          <w:sz w:val="24"/>
        </w:rPr>
        <w:t>…………………………………………………………7</w:t>
      </w:r>
    </w:p>
    <w:p>
      <w:pPr>
        <w:pStyle w:val="11"/>
        <w:adjustRightInd w:val="0"/>
        <w:snapToGrid w:val="0"/>
        <w:spacing w:line="440" w:lineRule="exact"/>
        <w:jc w:val="left"/>
        <w:rPr>
          <w:rFonts w:ascii="仿宋" w:hAnsi="仿宋" w:eastAsia="仿宋" w:cstheme="minorBidi"/>
          <w:sz w:val="24"/>
        </w:rPr>
      </w:pPr>
      <w:r>
        <w:rPr>
          <w:rFonts w:hint="eastAsia"/>
          <w:sz w:val="24"/>
        </w:rPr>
        <w:t>四、财政拨款收入支出决算总体情况说明</w:t>
      </w:r>
      <w:r>
        <w:rPr>
          <w:rFonts w:hint="eastAsia" w:ascii="宋体" w:hAnsi="宋体" w:cs="宋体"/>
          <w:sz w:val="24"/>
        </w:rPr>
        <w:t>……………………………………8</w:t>
      </w:r>
    </w:p>
    <w:p>
      <w:pPr>
        <w:pStyle w:val="11"/>
        <w:adjustRightInd w:val="0"/>
        <w:snapToGrid w:val="0"/>
        <w:spacing w:line="440" w:lineRule="exact"/>
        <w:jc w:val="left"/>
        <w:rPr>
          <w:rFonts w:ascii="仿宋" w:hAnsi="仿宋" w:eastAsia="仿宋" w:cstheme="minorBidi"/>
          <w:sz w:val="24"/>
        </w:rPr>
      </w:pPr>
      <w:r>
        <w:rPr>
          <w:rFonts w:hint="eastAsia"/>
          <w:sz w:val="24"/>
        </w:rPr>
        <w:t>五、一般公共预算财政拨款支出决算情况说明</w:t>
      </w:r>
      <w:r>
        <w:rPr>
          <w:rFonts w:hint="eastAsia" w:ascii="宋体" w:hAnsi="宋体" w:cs="宋体"/>
          <w:sz w:val="24"/>
        </w:rPr>
        <w:t>………………………………9</w:t>
      </w:r>
    </w:p>
    <w:p>
      <w:pPr>
        <w:pStyle w:val="11"/>
        <w:adjustRightInd w:val="0"/>
        <w:snapToGrid w:val="0"/>
        <w:spacing w:line="440" w:lineRule="exact"/>
        <w:jc w:val="left"/>
        <w:rPr>
          <w:rFonts w:ascii="仿宋" w:hAnsi="仿宋" w:eastAsia="仿宋" w:cstheme="minorBidi"/>
          <w:sz w:val="24"/>
        </w:rPr>
      </w:pPr>
      <w:r>
        <w:rPr>
          <w:rFonts w:hint="eastAsia"/>
          <w:sz w:val="24"/>
        </w:rPr>
        <w:t>六、一般公共预算财政拨款基本支出决算情况说明</w:t>
      </w:r>
      <w:r>
        <w:rPr>
          <w:rFonts w:hint="eastAsia" w:ascii="宋体" w:hAnsi="宋体" w:cs="宋体"/>
          <w:sz w:val="24"/>
        </w:rPr>
        <w:t>…………………………12</w:t>
      </w:r>
    </w:p>
    <w:p>
      <w:pPr>
        <w:pStyle w:val="11"/>
        <w:adjustRightInd w:val="0"/>
        <w:snapToGrid w:val="0"/>
        <w:spacing w:line="440" w:lineRule="exact"/>
        <w:jc w:val="left"/>
        <w:rPr>
          <w:rFonts w:ascii="仿宋" w:hAnsi="仿宋" w:eastAsia="仿宋" w:cstheme="minorBidi"/>
          <w:sz w:val="24"/>
        </w:rPr>
      </w:pPr>
      <w:r>
        <w:rPr>
          <w:rFonts w:hint="eastAsia"/>
          <w:sz w:val="24"/>
        </w:rPr>
        <w:t xml:space="preserve">七、“三公”经费财政拨款支出决算情况说明 </w:t>
      </w:r>
      <w:r>
        <w:rPr>
          <w:rFonts w:hint="eastAsia" w:ascii="宋体" w:hAnsi="宋体" w:cs="宋体"/>
          <w:sz w:val="24"/>
        </w:rPr>
        <w:t>………………………………13</w:t>
      </w:r>
    </w:p>
    <w:p>
      <w:pPr>
        <w:pStyle w:val="11"/>
        <w:adjustRightInd w:val="0"/>
        <w:snapToGrid w:val="0"/>
        <w:spacing w:line="440" w:lineRule="exact"/>
        <w:jc w:val="left"/>
        <w:rPr>
          <w:rFonts w:hint="eastAsia" w:eastAsia="宋体"/>
          <w:sz w:val="24"/>
          <w:lang w:val="en-US" w:eastAsia="zh-CN"/>
        </w:rPr>
      </w:pPr>
      <w:r>
        <w:rPr>
          <w:rFonts w:hint="eastAsia"/>
          <w:sz w:val="24"/>
        </w:rPr>
        <w:t>八、政府性基金预算支出决算情况说明</w:t>
      </w:r>
      <w:r>
        <w:rPr>
          <w:rFonts w:hint="eastAsia" w:ascii="宋体" w:hAnsi="宋体" w:cs="宋体"/>
          <w:sz w:val="24"/>
        </w:rPr>
        <w:t>………………………………………1</w:t>
      </w:r>
      <w:r>
        <w:rPr>
          <w:rFonts w:hint="eastAsia" w:ascii="宋体" w:hAnsi="宋体" w:cs="宋体"/>
          <w:sz w:val="24"/>
          <w:lang w:val="en-US" w:eastAsia="zh-CN"/>
        </w:rPr>
        <w:t>3</w:t>
      </w:r>
      <w:r>
        <w:rPr>
          <w:rFonts w:hint="eastAsia"/>
          <w:sz w:val="24"/>
        </w:rPr>
        <w:t>九、国有资本经营预算支出决算情况说明</w:t>
      </w:r>
      <w:r>
        <w:rPr>
          <w:rFonts w:hint="eastAsia" w:ascii="宋体" w:hAnsi="宋体" w:cs="宋体"/>
          <w:sz w:val="24"/>
        </w:rPr>
        <w:t>……………………………………1</w:t>
      </w:r>
      <w:r>
        <w:rPr>
          <w:rFonts w:hint="eastAsia" w:ascii="宋体" w:hAnsi="宋体" w:cs="宋体"/>
          <w:sz w:val="24"/>
          <w:lang w:val="en-US" w:eastAsia="zh-CN"/>
        </w:rPr>
        <w:t>3</w:t>
      </w:r>
      <w:bookmarkStart w:id="69" w:name="_GoBack"/>
      <w:bookmarkEnd w:id="69"/>
    </w:p>
    <w:p>
      <w:pPr>
        <w:pStyle w:val="11"/>
        <w:adjustRightInd w:val="0"/>
        <w:snapToGrid w:val="0"/>
        <w:spacing w:line="440" w:lineRule="exact"/>
        <w:jc w:val="left"/>
        <w:rPr>
          <w:sz w:val="24"/>
        </w:rPr>
      </w:pPr>
      <w:r>
        <w:rPr>
          <w:rFonts w:hint="eastAsia"/>
          <w:sz w:val="24"/>
        </w:rPr>
        <w:t>十、其他重要事项的情况说明</w:t>
      </w:r>
      <w:r>
        <w:rPr>
          <w:rFonts w:hint="eastAsia" w:ascii="宋体" w:hAnsi="宋体" w:cs="宋体"/>
          <w:sz w:val="24"/>
        </w:rPr>
        <w:t>…………………………………………………14</w:t>
      </w:r>
    </w:p>
    <w:p>
      <w:pPr>
        <w:pStyle w:val="10"/>
        <w:adjustRightInd w:val="0"/>
        <w:snapToGrid w:val="0"/>
        <w:spacing w:before="0" w:line="440" w:lineRule="exact"/>
        <w:jc w:val="left"/>
        <w:rPr>
          <w:rFonts w:hint="eastAsia" w:eastAsia="仿宋" w:cstheme="minorBidi"/>
          <w:sz w:val="24"/>
          <w:szCs w:val="24"/>
          <w:lang w:val="en-US" w:eastAsia="zh-CN"/>
        </w:rPr>
      </w:pPr>
      <w:r>
        <w:rPr>
          <w:rFonts w:hint="eastAsia"/>
          <w:sz w:val="24"/>
        </w:rPr>
        <w:t xml:space="preserve">第三部分名词解释 </w:t>
      </w:r>
      <w:r>
        <w:rPr>
          <w:rFonts w:hint="eastAsia" w:ascii="宋体" w:hAnsi="宋体" w:cs="宋体"/>
          <w:sz w:val="24"/>
        </w:rPr>
        <w:t>…………………………………………………………………1</w:t>
      </w:r>
      <w:r>
        <w:rPr>
          <w:rFonts w:hint="eastAsia" w:ascii="宋体" w:hAnsi="宋体" w:cs="宋体"/>
          <w:sz w:val="24"/>
          <w:lang w:val="en-US" w:eastAsia="zh-CN"/>
        </w:rPr>
        <w:t>5</w:t>
      </w:r>
    </w:p>
    <w:p>
      <w:pPr>
        <w:pStyle w:val="10"/>
        <w:adjustRightInd w:val="0"/>
        <w:snapToGrid w:val="0"/>
        <w:spacing w:before="0" w:line="440" w:lineRule="exact"/>
        <w:jc w:val="left"/>
        <w:rPr>
          <w:rFonts w:hint="default" w:eastAsia="仿宋" w:cstheme="minorBidi"/>
          <w:sz w:val="24"/>
          <w:szCs w:val="24"/>
          <w:lang w:val="en-US" w:eastAsia="zh-CN"/>
        </w:rPr>
      </w:pPr>
      <w:r>
        <w:rPr>
          <w:rFonts w:hint="eastAsia"/>
          <w:sz w:val="24"/>
        </w:rPr>
        <w:t xml:space="preserve">第四部分附件 </w:t>
      </w:r>
      <w:r>
        <w:rPr>
          <w:rFonts w:hint="eastAsia" w:ascii="宋体" w:hAnsi="宋体" w:cs="宋体"/>
          <w:sz w:val="24"/>
        </w:rPr>
        <w:t>………………………………………………………………………</w:t>
      </w:r>
      <w:r>
        <w:rPr>
          <w:rFonts w:hint="eastAsia" w:ascii="宋体" w:hAnsi="宋体" w:cs="宋体"/>
          <w:sz w:val="24"/>
          <w:lang w:val="en-US" w:eastAsia="zh-CN"/>
        </w:rPr>
        <w:t>20</w:t>
      </w:r>
    </w:p>
    <w:p>
      <w:pPr>
        <w:pStyle w:val="10"/>
        <w:adjustRightInd w:val="0"/>
        <w:snapToGrid w:val="0"/>
        <w:spacing w:before="0" w:line="440" w:lineRule="exact"/>
        <w:jc w:val="left"/>
        <w:rPr>
          <w:rFonts w:cstheme="minorBidi"/>
          <w:sz w:val="24"/>
          <w:szCs w:val="24"/>
        </w:rPr>
      </w:pPr>
      <w:r>
        <w:rPr>
          <w:rFonts w:hint="eastAsia"/>
          <w:sz w:val="24"/>
        </w:rPr>
        <w:t xml:space="preserve">第五部分附表 </w:t>
      </w:r>
      <w:r>
        <w:rPr>
          <w:rFonts w:hint="eastAsia" w:ascii="宋体" w:hAnsi="宋体" w:cs="宋体"/>
          <w:sz w:val="24"/>
        </w:rPr>
        <w:t>………………………………………………………………………21</w:t>
      </w:r>
    </w:p>
    <w:p>
      <w:pPr>
        <w:pStyle w:val="11"/>
        <w:adjustRightInd w:val="0"/>
        <w:snapToGrid w:val="0"/>
        <w:spacing w:line="440" w:lineRule="exact"/>
        <w:jc w:val="left"/>
        <w:rPr>
          <w:sz w:val="24"/>
        </w:rPr>
      </w:pPr>
      <w:r>
        <w:rPr>
          <w:rFonts w:hint="eastAsia"/>
          <w:sz w:val="24"/>
        </w:rPr>
        <w:t>一、收入支出决算总表</w:t>
      </w:r>
      <w:r>
        <w:rPr>
          <w:rFonts w:hint="eastAsia" w:ascii="宋体" w:hAnsi="宋体" w:cs="宋体"/>
          <w:sz w:val="24"/>
        </w:rPr>
        <w:t>…………………………………………………………21</w:t>
      </w:r>
    </w:p>
    <w:p>
      <w:pPr>
        <w:pStyle w:val="11"/>
        <w:adjustRightInd w:val="0"/>
        <w:snapToGrid w:val="0"/>
        <w:spacing w:line="440" w:lineRule="exact"/>
        <w:jc w:val="left"/>
        <w:rPr>
          <w:sz w:val="24"/>
        </w:rPr>
      </w:pPr>
      <w:r>
        <w:rPr>
          <w:rFonts w:hint="eastAsia"/>
          <w:sz w:val="24"/>
        </w:rPr>
        <w:t>二、收入决算表</w:t>
      </w:r>
      <w:r>
        <w:rPr>
          <w:rFonts w:hint="eastAsia" w:ascii="宋体" w:hAnsi="宋体" w:cs="宋体"/>
          <w:sz w:val="24"/>
        </w:rPr>
        <w:t>…………………………………………………………………21</w:t>
      </w:r>
    </w:p>
    <w:p>
      <w:pPr>
        <w:pStyle w:val="11"/>
        <w:adjustRightInd w:val="0"/>
        <w:snapToGrid w:val="0"/>
        <w:spacing w:line="440" w:lineRule="exact"/>
        <w:jc w:val="left"/>
        <w:rPr>
          <w:sz w:val="24"/>
        </w:rPr>
      </w:pPr>
      <w:r>
        <w:rPr>
          <w:rFonts w:hint="eastAsia"/>
          <w:sz w:val="24"/>
        </w:rPr>
        <w:t>三、支出决算表</w:t>
      </w:r>
      <w:r>
        <w:rPr>
          <w:rFonts w:hint="eastAsia" w:ascii="宋体" w:hAnsi="宋体" w:cs="宋体"/>
          <w:sz w:val="24"/>
        </w:rPr>
        <w:t>…………………………………………………………………21</w:t>
      </w:r>
    </w:p>
    <w:p>
      <w:pPr>
        <w:pStyle w:val="11"/>
        <w:adjustRightInd w:val="0"/>
        <w:snapToGrid w:val="0"/>
        <w:spacing w:line="440" w:lineRule="exact"/>
        <w:jc w:val="left"/>
        <w:rPr>
          <w:sz w:val="24"/>
        </w:rPr>
      </w:pPr>
      <w:r>
        <w:rPr>
          <w:rFonts w:hint="eastAsia"/>
          <w:sz w:val="24"/>
        </w:rPr>
        <w:t>四、财政拨款收入支出决算总表</w:t>
      </w:r>
      <w:r>
        <w:rPr>
          <w:rFonts w:hint="eastAsia" w:ascii="宋体" w:hAnsi="宋体" w:cs="宋体"/>
          <w:sz w:val="24"/>
        </w:rPr>
        <w:t>………………………………………………21</w:t>
      </w:r>
    </w:p>
    <w:p>
      <w:pPr>
        <w:pStyle w:val="11"/>
        <w:adjustRightInd w:val="0"/>
        <w:snapToGrid w:val="0"/>
        <w:spacing w:line="440" w:lineRule="exact"/>
        <w:jc w:val="left"/>
        <w:rPr>
          <w:sz w:val="24"/>
        </w:rPr>
      </w:pPr>
      <w:r>
        <w:rPr>
          <w:rFonts w:hint="eastAsia"/>
          <w:sz w:val="24"/>
        </w:rPr>
        <w:t>五、财政拨款支出决算明细表</w:t>
      </w:r>
      <w:r>
        <w:rPr>
          <w:rFonts w:hint="eastAsia" w:ascii="宋体" w:hAnsi="宋体" w:cs="宋体"/>
          <w:sz w:val="24"/>
        </w:rPr>
        <w:t>…………………………………………………21</w:t>
      </w:r>
    </w:p>
    <w:p>
      <w:pPr>
        <w:pStyle w:val="11"/>
        <w:adjustRightInd w:val="0"/>
        <w:snapToGrid w:val="0"/>
        <w:spacing w:line="440" w:lineRule="exact"/>
        <w:jc w:val="left"/>
        <w:rPr>
          <w:sz w:val="24"/>
        </w:rPr>
      </w:pPr>
      <w:r>
        <w:rPr>
          <w:rFonts w:hint="eastAsia"/>
          <w:sz w:val="24"/>
        </w:rPr>
        <w:t>六、一般公共预算财政拨款支出决算表</w:t>
      </w:r>
      <w:r>
        <w:rPr>
          <w:rFonts w:hint="eastAsia" w:ascii="宋体" w:hAnsi="宋体" w:cs="宋体"/>
          <w:sz w:val="24"/>
        </w:rPr>
        <w:t>………………………………………21</w:t>
      </w:r>
    </w:p>
    <w:p>
      <w:pPr>
        <w:pStyle w:val="11"/>
        <w:adjustRightInd w:val="0"/>
        <w:snapToGrid w:val="0"/>
        <w:spacing w:line="440" w:lineRule="exact"/>
        <w:jc w:val="left"/>
        <w:rPr>
          <w:sz w:val="24"/>
        </w:rPr>
      </w:pPr>
      <w:r>
        <w:rPr>
          <w:rFonts w:hint="eastAsia"/>
          <w:sz w:val="24"/>
        </w:rPr>
        <w:t>七、一般公共预算财政拨款支出决算明细表</w:t>
      </w:r>
      <w:r>
        <w:rPr>
          <w:rFonts w:hint="eastAsia" w:ascii="宋体" w:hAnsi="宋体" w:cs="宋体"/>
          <w:sz w:val="24"/>
        </w:rPr>
        <w:t>…………………………………21</w:t>
      </w:r>
    </w:p>
    <w:p>
      <w:pPr>
        <w:pStyle w:val="11"/>
        <w:adjustRightInd w:val="0"/>
        <w:snapToGrid w:val="0"/>
        <w:spacing w:line="440" w:lineRule="exact"/>
        <w:jc w:val="left"/>
        <w:rPr>
          <w:sz w:val="24"/>
        </w:rPr>
      </w:pPr>
      <w:r>
        <w:rPr>
          <w:rFonts w:hint="eastAsia"/>
          <w:sz w:val="24"/>
        </w:rPr>
        <w:t>八、一般公共预算财政拨款基本支出决算表</w:t>
      </w:r>
      <w:r>
        <w:rPr>
          <w:rFonts w:hint="eastAsia" w:ascii="宋体" w:hAnsi="宋体" w:cs="宋体"/>
          <w:sz w:val="24"/>
        </w:rPr>
        <w:t>…………………………………21</w:t>
      </w:r>
    </w:p>
    <w:p>
      <w:pPr>
        <w:pStyle w:val="11"/>
        <w:adjustRightInd w:val="0"/>
        <w:snapToGrid w:val="0"/>
        <w:spacing w:line="440" w:lineRule="exact"/>
        <w:jc w:val="left"/>
        <w:rPr>
          <w:sz w:val="24"/>
        </w:rPr>
      </w:pPr>
      <w:r>
        <w:rPr>
          <w:rFonts w:hint="eastAsia"/>
          <w:sz w:val="24"/>
        </w:rPr>
        <w:t>九、一般公共预算财政拨款项目支出决算表</w:t>
      </w:r>
      <w:r>
        <w:rPr>
          <w:rFonts w:hint="eastAsia" w:ascii="宋体" w:hAnsi="宋体" w:cs="宋体"/>
          <w:sz w:val="24"/>
        </w:rPr>
        <w:t>…………………………………21</w:t>
      </w:r>
    </w:p>
    <w:p>
      <w:pPr>
        <w:pStyle w:val="11"/>
        <w:adjustRightInd w:val="0"/>
        <w:snapToGrid w:val="0"/>
        <w:spacing w:line="440" w:lineRule="exact"/>
        <w:jc w:val="left"/>
        <w:rPr>
          <w:rFonts w:hint="eastAsia" w:eastAsia="宋体"/>
          <w:sz w:val="24"/>
          <w:lang w:val="en-US" w:eastAsia="zh-CN"/>
        </w:rPr>
      </w:pPr>
      <w:r>
        <w:rPr>
          <w:rFonts w:hint="eastAsia"/>
          <w:sz w:val="24"/>
        </w:rPr>
        <w:t>十、一般公共预算财政拨款“三公”经费支出决算表</w:t>
      </w:r>
      <w:r>
        <w:rPr>
          <w:rFonts w:hint="eastAsia" w:ascii="宋体" w:hAnsi="宋体" w:cs="宋体"/>
          <w:sz w:val="24"/>
        </w:rPr>
        <w:t>………………………2</w:t>
      </w:r>
      <w:r>
        <w:rPr>
          <w:rFonts w:hint="eastAsia" w:ascii="宋体" w:hAnsi="宋体" w:cs="宋体"/>
          <w:sz w:val="24"/>
          <w:lang w:val="en-US" w:eastAsia="zh-CN"/>
        </w:rPr>
        <w:t>1</w:t>
      </w:r>
    </w:p>
    <w:p>
      <w:pPr>
        <w:pStyle w:val="11"/>
        <w:adjustRightInd w:val="0"/>
        <w:snapToGrid w:val="0"/>
        <w:spacing w:line="440" w:lineRule="exact"/>
        <w:jc w:val="left"/>
        <w:rPr>
          <w:rFonts w:hint="eastAsia" w:eastAsia="宋体"/>
          <w:sz w:val="24"/>
          <w:lang w:val="en-US" w:eastAsia="zh-CN"/>
        </w:rPr>
      </w:pPr>
      <w:r>
        <w:rPr>
          <w:rFonts w:hint="eastAsia"/>
          <w:sz w:val="24"/>
        </w:rPr>
        <w:t>十一、政府性基金预算财政拨款收入支出决算表</w:t>
      </w:r>
      <w:r>
        <w:rPr>
          <w:rFonts w:hint="eastAsia" w:ascii="宋体" w:hAnsi="宋体" w:cs="宋体"/>
          <w:sz w:val="24"/>
        </w:rPr>
        <w:t>……………………………2</w:t>
      </w:r>
      <w:r>
        <w:rPr>
          <w:rFonts w:hint="eastAsia" w:ascii="宋体" w:hAnsi="宋体" w:cs="宋体"/>
          <w:sz w:val="24"/>
          <w:lang w:val="en-US" w:eastAsia="zh-CN"/>
        </w:rPr>
        <w:t>1</w:t>
      </w:r>
    </w:p>
    <w:p>
      <w:pPr>
        <w:pStyle w:val="11"/>
        <w:adjustRightInd w:val="0"/>
        <w:snapToGrid w:val="0"/>
        <w:spacing w:line="440" w:lineRule="exact"/>
        <w:jc w:val="left"/>
        <w:rPr>
          <w:rFonts w:hint="eastAsia" w:eastAsia="宋体"/>
          <w:sz w:val="24"/>
          <w:lang w:val="en-US" w:eastAsia="zh-CN"/>
        </w:rPr>
      </w:pPr>
      <w:r>
        <w:rPr>
          <w:rFonts w:hint="eastAsia"/>
          <w:sz w:val="24"/>
        </w:rPr>
        <w:t>十二、政府性基金预算财政拨款“三公”经费支出决算表</w:t>
      </w:r>
      <w:r>
        <w:rPr>
          <w:rFonts w:hint="eastAsia" w:ascii="宋体" w:hAnsi="宋体" w:cs="宋体"/>
          <w:sz w:val="24"/>
        </w:rPr>
        <w:t>…………………2</w:t>
      </w:r>
      <w:r>
        <w:rPr>
          <w:rFonts w:hint="eastAsia" w:ascii="宋体" w:hAnsi="宋体" w:cs="宋体"/>
          <w:sz w:val="24"/>
          <w:lang w:val="en-US" w:eastAsia="zh-CN"/>
        </w:rPr>
        <w:t>1</w:t>
      </w:r>
    </w:p>
    <w:p>
      <w:pPr>
        <w:pStyle w:val="11"/>
        <w:adjustRightInd w:val="0"/>
        <w:snapToGrid w:val="0"/>
        <w:spacing w:line="440" w:lineRule="exact"/>
        <w:jc w:val="left"/>
        <w:rPr>
          <w:rFonts w:hint="eastAsia" w:eastAsia="宋体"/>
          <w:sz w:val="24"/>
          <w:lang w:val="en-US" w:eastAsia="zh-CN"/>
        </w:rPr>
      </w:pPr>
      <w:r>
        <w:rPr>
          <w:rFonts w:hint="eastAsia"/>
          <w:sz w:val="24"/>
        </w:rPr>
        <w:t>十三、国有资本经营预算财政拨款收入支出决算表</w:t>
      </w:r>
      <w:r>
        <w:rPr>
          <w:rFonts w:hint="eastAsia" w:ascii="宋体" w:hAnsi="宋体" w:cs="宋体"/>
          <w:sz w:val="24"/>
        </w:rPr>
        <w:t>…………………………2</w:t>
      </w:r>
      <w:r>
        <w:rPr>
          <w:rFonts w:hint="eastAsia" w:ascii="宋体" w:hAnsi="宋体" w:cs="宋体"/>
          <w:sz w:val="24"/>
          <w:lang w:val="en-US" w:eastAsia="zh-CN"/>
        </w:rPr>
        <w:t>1</w:t>
      </w:r>
    </w:p>
    <w:p>
      <w:pPr>
        <w:pStyle w:val="11"/>
        <w:adjustRightInd w:val="0"/>
        <w:snapToGrid w:val="0"/>
        <w:spacing w:line="440" w:lineRule="exact"/>
        <w:jc w:val="left"/>
        <w:rPr>
          <w:rFonts w:hint="eastAsia" w:eastAsia="宋体"/>
          <w:sz w:val="24"/>
          <w:lang w:val="en-US" w:eastAsia="zh-CN"/>
        </w:rPr>
      </w:pPr>
      <w:r>
        <w:rPr>
          <w:rFonts w:hint="eastAsia"/>
          <w:sz w:val="24"/>
        </w:rPr>
        <w:t>十四、国有资本经营预算财政拨款支出决算表</w:t>
      </w:r>
      <w:r>
        <w:rPr>
          <w:rFonts w:hint="eastAsia" w:ascii="宋体" w:hAnsi="宋体" w:cs="宋体"/>
          <w:sz w:val="24"/>
        </w:rPr>
        <w:t>………………………………2</w:t>
      </w:r>
      <w:r>
        <w:rPr>
          <w:rFonts w:hint="eastAsia" w:ascii="宋体" w:hAnsi="宋体" w:cs="宋体"/>
          <w:sz w:val="24"/>
          <w:lang w:val="en-US" w:eastAsia="zh-CN"/>
        </w:rPr>
        <w:t>1</w:t>
      </w:r>
    </w:p>
    <w:p>
      <w:pPr>
        <w:widowControl/>
        <w:spacing w:line="440" w:lineRule="exact"/>
        <w:jc w:val="left"/>
        <w:rPr>
          <w:rFonts w:ascii="仿宋" w:hAnsi="仿宋" w:eastAsia="仿宋"/>
          <w:bCs/>
          <w:kern w:val="44"/>
          <w:sz w:val="24"/>
        </w:rPr>
      </w:pPr>
      <w:bookmarkStart w:id="12" w:name="_Toc15377196"/>
      <w:bookmarkStart w:id="13" w:name="_Toc15396599"/>
      <w:r>
        <w:rPr>
          <w:rFonts w:ascii="仿宋" w:hAnsi="仿宋" w:eastAsia="仿宋"/>
          <w:b/>
          <w:sz w:val="24"/>
        </w:rPr>
        <w:br w:type="page"/>
      </w:r>
    </w:p>
    <w:p>
      <w:pPr>
        <w:pStyle w:val="3"/>
        <w:jc w:val="center"/>
        <w:rPr>
          <w:rFonts w:ascii="黑体" w:eastAsia="黑体"/>
          <w:sz w:val="32"/>
          <w:szCs w:val="32"/>
        </w:rPr>
      </w:pPr>
      <w:r>
        <w:rPr>
          <w:rFonts w:hint="eastAsia" w:ascii="黑体" w:hAnsi="黑体" w:eastAsia="黑体"/>
          <w:b w:val="0"/>
        </w:rPr>
        <w:t>第一部分 单位</w:t>
      </w:r>
      <w:r>
        <w:rPr>
          <w:rStyle w:val="24"/>
          <w:rFonts w:hint="eastAsia" w:ascii="黑体" w:hAnsi="黑体" w:eastAsia="黑体"/>
          <w:b w:val="0"/>
          <w:bCs w:val="0"/>
        </w:rPr>
        <w:t>概况</w:t>
      </w:r>
      <w:bookmarkEnd w:id="12"/>
      <w:bookmarkEnd w:id="13"/>
    </w:p>
    <w:p>
      <w:pPr>
        <w:pStyle w:val="4"/>
        <w:numPr>
          <w:ilvl w:val="0"/>
          <w:numId w:val="1"/>
        </w:numPr>
        <w:rPr>
          <w:rStyle w:val="25"/>
          <w:rFonts w:ascii="黑体" w:hAnsi="黑体" w:eastAsia="黑体"/>
          <w:b w:val="0"/>
          <w:bCs w:val="0"/>
        </w:rPr>
      </w:pPr>
      <w:bookmarkStart w:id="14" w:name="_Toc15396600"/>
      <w:bookmarkStart w:id="15" w:name="_Toc15377197"/>
      <w:r>
        <w:rPr>
          <w:rStyle w:val="25"/>
          <w:rFonts w:hint="eastAsia" w:ascii="黑体" w:hAnsi="黑体" w:eastAsia="黑体"/>
          <w:b w:val="0"/>
          <w:bCs w:val="0"/>
        </w:rPr>
        <w:t>职能简介</w:t>
      </w:r>
    </w:p>
    <w:p>
      <w:pPr>
        <w:ind w:firstLine="600" w:firstLineChars="200"/>
        <w:rPr>
          <w:rFonts w:ascii="仿宋" w:hAnsi="仿宋" w:eastAsia="仿宋"/>
          <w:bCs/>
          <w:color w:val="000000"/>
          <w:sz w:val="32"/>
          <w:szCs w:val="32"/>
        </w:rPr>
      </w:pPr>
      <w:bookmarkStart w:id="16" w:name="_Toc15377199"/>
      <w:bookmarkStart w:id="17" w:name="_Toc15378446"/>
      <w:r>
        <w:rPr>
          <w:rFonts w:hint="eastAsia" w:ascii="仿宋_GB2312" w:hAnsi="Calibri" w:eastAsia="仿宋_GB2312"/>
          <w:sz w:val="30"/>
          <w:szCs w:val="30"/>
        </w:rPr>
        <w:t>我园严格遵守国家法律，法规，全面执行党的教育方针，坚持公办教育事业的公益性原则：坚持严格管 理信守职业道德，坚持以严谨的教学管理取信于社会，以较高的教育质量回报社会。</w:t>
      </w:r>
    </w:p>
    <w:bookmarkEnd w:id="16"/>
    <w:bookmarkEnd w:id="17"/>
    <w:p>
      <w:pPr>
        <w:pStyle w:val="4"/>
        <w:rPr>
          <w:rFonts w:ascii="黑体" w:hAnsi="黑体" w:eastAsia="黑体"/>
          <w:b w:val="0"/>
        </w:rPr>
      </w:pPr>
      <w:r>
        <w:rPr>
          <w:rFonts w:hint="eastAsia" w:ascii="黑体" w:hAnsi="黑体" w:eastAsia="黑体"/>
          <w:b w:val="0"/>
        </w:rPr>
        <w:t>二、2021年重点工作</w:t>
      </w:r>
      <w:bookmarkEnd w:id="14"/>
      <w:bookmarkEnd w:id="15"/>
      <w:r>
        <w:rPr>
          <w:rFonts w:hint="eastAsia" w:ascii="黑体" w:hAnsi="黑体" w:eastAsia="黑体"/>
          <w:b w:val="0"/>
        </w:rPr>
        <w:t>完成情况</w:t>
      </w:r>
    </w:p>
    <w:p>
      <w:pPr>
        <w:spacing w:line="560" w:lineRule="exact"/>
        <w:ind w:firstLine="640" w:firstLineChars="200"/>
      </w:pPr>
      <w:r>
        <w:rPr>
          <w:rFonts w:hint="eastAsia" w:ascii="仿宋" w:hAnsi="仿宋" w:eastAsia="仿宋"/>
          <w:bCs/>
          <w:color w:val="000000"/>
          <w:sz w:val="32"/>
          <w:szCs w:val="32"/>
        </w:rPr>
        <w:t>我园</w:t>
      </w:r>
      <w:r>
        <w:rPr>
          <w:rFonts w:hint="eastAsia" w:ascii="仿宋_GB2312" w:eastAsia="仿宋_GB2312"/>
          <w:sz w:val="30"/>
          <w:szCs w:val="30"/>
        </w:rPr>
        <w:t>执行力强，上级下发任务及目标能按时较好的完成。能</w:t>
      </w:r>
      <w:r>
        <w:rPr>
          <w:rFonts w:hint="eastAsia" w:ascii="仿宋" w:hAnsi="仿宋" w:eastAsia="仿宋"/>
          <w:bCs/>
          <w:color w:val="000000"/>
          <w:sz w:val="32"/>
          <w:szCs w:val="32"/>
        </w:rPr>
        <w:t>按时完成2021年预算，决算等事项。</w:t>
      </w:r>
      <w:r>
        <w:rPr>
          <w:rFonts w:hint="eastAsia" w:ascii="仿宋_GB2312" w:eastAsia="仿宋_GB2312"/>
          <w:sz w:val="30"/>
          <w:szCs w:val="30"/>
        </w:rPr>
        <w:t xml:space="preserve">绩效目标按照上级要求及时告知单位人员，按时按要求进行绩效考核，按时上报绩效考核的结论。 </w:t>
      </w:r>
    </w:p>
    <w:p/>
    <w:p>
      <w:pPr>
        <w:widowControl/>
        <w:jc w:val="left"/>
        <w:rPr>
          <w:rFonts w:ascii="仿宋" w:hAnsi="仿宋" w:eastAsia="仿宋"/>
          <w:kern w:val="0"/>
          <w:sz w:val="32"/>
          <w:szCs w:val="32"/>
        </w:rPr>
      </w:pPr>
      <w:r>
        <w:rPr>
          <w:rFonts w:ascii="仿宋" w:hAnsi="仿宋" w:eastAsia="仿宋"/>
          <w:sz w:val="32"/>
          <w:szCs w:val="32"/>
        </w:rPr>
        <w:br w:type="page"/>
      </w:r>
    </w:p>
    <w:p>
      <w:pPr>
        <w:pStyle w:val="3"/>
        <w:ind w:right="440"/>
        <w:jc w:val="center"/>
        <w:rPr>
          <w:rStyle w:val="24"/>
          <w:rFonts w:ascii="黑体" w:hAnsi="黑体" w:eastAsia="黑体"/>
          <w:b w:val="0"/>
          <w:bCs/>
        </w:rPr>
      </w:pPr>
      <w:bookmarkStart w:id="18" w:name="_Toc15396602"/>
      <w:bookmarkStart w:id="19" w:name="_Toc15377204"/>
      <w:r>
        <w:rPr>
          <w:rFonts w:hint="eastAsia" w:ascii="黑体" w:hAnsi="黑体" w:eastAsia="黑体"/>
          <w:b w:val="0"/>
        </w:rPr>
        <w:t>第二部分 2021年度</w:t>
      </w:r>
      <w:r>
        <w:rPr>
          <w:rStyle w:val="24"/>
          <w:rFonts w:hint="eastAsia" w:ascii="黑体" w:hAnsi="黑体" w:eastAsia="黑体"/>
          <w:b w:val="0"/>
          <w:bCs/>
        </w:rPr>
        <w:t>单位决算情况说明</w:t>
      </w:r>
      <w:bookmarkEnd w:id="18"/>
      <w:bookmarkEnd w:id="19"/>
    </w:p>
    <w:p/>
    <w:p>
      <w:pPr>
        <w:pStyle w:val="23"/>
        <w:numPr>
          <w:ilvl w:val="0"/>
          <w:numId w:val="2"/>
        </w:numPr>
        <w:spacing w:line="600" w:lineRule="exact"/>
        <w:ind w:firstLineChars="0"/>
        <w:outlineLvl w:val="1"/>
        <w:rPr>
          <w:rStyle w:val="25"/>
          <w:rFonts w:ascii="黑体" w:hAnsi="黑体" w:eastAsia="黑体"/>
          <w:b w:val="0"/>
        </w:rPr>
      </w:pPr>
      <w:bookmarkStart w:id="20" w:name="_Toc15377205"/>
      <w:bookmarkStart w:id="21" w:name="_Toc15396603"/>
      <w:r>
        <w:rPr>
          <w:rFonts w:hint="eastAsia" w:ascii="黑体" w:hAnsi="黑体" w:eastAsia="黑体"/>
          <w:sz w:val="32"/>
          <w:szCs w:val="32"/>
        </w:rPr>
        <w:t>收</w:t>
      </w:r>
      <w:r>
        <w:rPr>
          <w:rStyle w:val="25"/>
          <w:rFonts w:hint="eastAsia" w:ascii="黑体" w:hAnsi="黑体" w:eastAsia="黑体"/>
          <w:b w:val="0"/>
        </w:rPr>
        <w:t>入支出决算总体情况明</w:t>
      </w:r>
      <w:bookmarkEnd w:id="20"/>
      <w:bookmarkEnd w:id="21"/>
    </w:p>
    <w:p>
      <w:pPr>
        <w:spacing w:line="600" w:lineRule="exact"/>
        <w:ind w:firstLine="640" w:firstLineChars="200"/>
      </w:pPr>
      <w:r>
        <w:rPr>
          <w:rFonts w:hint="eastAsia" w:ascii="仿宋" w:hAnsi="仿宋" w:eastAsia="仿宋"/>
          <w:sz w:val="32"/>
          <w:szCs w:val="32"/>
        </w:rPr>
        <w:t>2021年度收入总计：</w:t>
      </w:r>
      <w:r>
        <w:rPr>
          <w:rFonts w:hint="eastAsia" w:ascii="仿宋" w:hAnsi="仿宋" w:eastAsia="仿宋"/>
          <w:sz w:val="32"/>
          <w:szCs w:val="32"/>
          <w:lang w:val="en-US" w:eastAsia="zh-CN"/>
        </w:rPr>
        <w:t>284.9</w:t>
      </w:r>
      <w:r>
        <w:rPr>
          <w:rFonts w:hint="eastAsia" w:ascii="仿宋" w:hAnsi="仿宋" w:eastAsia="仿宋"/>
          <w:sz w:val="32"/>
          <w:szCs w:val="32"/>
        </w:rPr>
        <w:t>万元、支出总计</w:t>
      </w:r>
      <w:r>
        <w:rPr>
          <w:rFonts w:hint="eastAsia" w:ascii="仿宋" w:hAnsi="仿宋" w:eastAsia="仿宋"/>
          <w:sz w:val="32"/>
          <w:szCs w:val="32"/>
          <w:lang w:val="en-US" w:eastAsia="zh-CN"/>
        </w:rPr>
        <w:t>298.78</w:t>
      </w:r>
      <w:r>
        <w:rPr>
          <w:rFonts w:hint="eastAsia" w:ascii="仿宋" w:hAnsi="仿宋" w:eastAsia="仿宋"/>
          <w:sz w:val="32"/>
          <w:szCs w:val="32"/>
        </w:rPr>
        <w:t>万元。与2020年相比，收入总计增加：</w:t>
      </w:r>
      <w:r>
        <w:rPr>
          <w:rFonts w:hint="eastAsia" w:ascii="仿宋" w:hAnsi="仿宋" w:eastAsia="仿宋"/>
          <w:sz w:val="32"/>
          <w:szCs w:val="32"/>
          <w:lang w:val="en-US" w:eastAsia="zh-CN"/>
        </w:rPr>
        <w:t>73.7万元</w:t>
      </w:r>
      <w:r>
        <w:rPr>
          <w:rFonts w:hint="eastAsia" w:ascii="仿宋" w:hAnsi="仿宋" w:eastAsia="仿宋"/>
          <w:sz w:val="32"/>
          <w:szCs w:val="32"/>
        </w:rPr>
        <w:t>、增长35</w:t>
      </w:r>
      <w:r>
        <w:rPr>
          <w:rFonts w:ascii="仿宋" w:hAnsi="仿宋" w:eastAsia="仿宋"/>
          <w:sz w:val="32"/>
          <w:szCs w:val="32"/>
        </w:rPr>
        <w:t>%</w:t>
      </w:r>
      <w:r>
        <w:rPr>
          <w:rFonts w:hint="eastAsia" w:ascii="仿宋" w:hAnsi="仿宋" w:eastAsia="仿宋"/>
          <w:sz w:val="32"/>
          <w:szCs w:val="32"/>
        </w:rPr>
        <w:t>。支出总计增加</w:t>
      </w:r>
      <w:r>
        <w:rPr>
          <w:rFonts w:hint="eastAsia" w:ascii="仿宋" w:hAnsi="仿宋" w:eastAsia="仿宋"/>
          <w:sz w:val="32"/>
          <w:szCs w:val="32"/>
          <w:lang w:val="en-US" w:eastAsia="zh-CN"/>
        </w:rPr>
        <w:t>73.7</w:t>
      </w:r>
      <w:r>
        <w:rPr>
          <w:rFonts w:hint="eastAsia" w:ascii="仿宋" w:hAnsi="仿宋" w:eastAsia="仿宋"/>
          <w:sz w:val="32"/>
          <w:szCs w:val="32"/>
        </w:rPr>
        <w:t>万元，增长</w:t>
      </w:r>
      <w:r>
        <w:rPr>
          <w:rFonts w:hint="eastAsia" w:ascii="仿宋" w:hAnsi="仿宋" w:eastAsia="仿宋"/>
          <w:sz w:val="32"/>
          <w:szCs w:val="32"/>
          <w:lang w:val="en-US" w:eastAsia="zh-CN"/>
        </w:rPr>
        <w:t>24</w:t>
      </w:r>
      <w:r>
        <w:rPr>
          <w:rFonts w:ascii="仿宋" w:hAnsi="仿宋" w:eastAsia="仿宋"/>
          <w:sz w:val="32"/>
          <w:szCs w:val="32"/>
        </w:rPr>
        <w:t>%</w:t>
      </w:r>
      <w:r>
        <w:rPr>
          <w:rFonts w:hint="eastAsia" w:ascii="仿宋" w:hAnsi="仿宋" w:eastAsia="仿宋"/>
          <w:sz w:val="32"/>
          <w:szCs w:val="32"/>
        </w:rPr>
        <w:t>。主要变动原因是</w:t>
      </w:r>
      <w:r>
        <w:rPr>
          <w:rFonts w:hint="eastAsia" w:ascii="仿宋" w:hAnsi="仿宋" w:eastAsia="仿宋"/>
          <w:sz w:val="32"/>
          <w:szCs w:val="32"/>
          <w:lang w:eastAsia="zh-CN"/>
        </w:rPr>
        <w:t>城南</w:t>
      </w:r>
      <w:r>
        <w:rPr>
          <w:rFonts w:hint="eastAsia" w:ascii="仿宋" w:hAnsi="仿宋" w:eastAsia="仿宋"/>
          <w:sz w:val="32"/>
          <w:szCs w:val="32"/>
        </w:rPr>
        <w:t>分园聘用教师，保安经费2020年只有半学期归总园管理，2021年全年归总园管理财政拨款增加，支出增加，合作办园经费收入：</w:t>
      </w:r>
      <w:r>
        <w:rPr>
          <w:rFonts w:hint="eastAsia" w:ascii="仿宋" w:hAnsi="仿宋" w:eastAsia="仿宋"/>
          <w:sz w:val="32"/>
          <w:szCs w:val="32"/>
          <w:lang w:val="en-US" w:eastAsia="zh-CN"/>
        </w:rPr>
        <w:t>31.85万</w:t>
      </w:r>
      <w:r>
        <w:rPr>
          <w:rFonts w:hint="eastAsia" w:ascii="仿宋" w:hAnsi="仿宋" w:eastAsia="仿宋"/>
          <w:sz w:val="32"/>
          <w:szCs w:val="32"/>
        </w:rPr>
        <w:t>元，支出：</w:t>
      </w:r>
      <w:r>
        <w:rPr>
          <w:rFonts w:hint="eastAsia" w:ascii="仿宋" w:hAnsi="仿宋" w:eastAsia="仿宋"/>
          <w:sz w:val="32"/>
          <w:szCs w:val="32"/>
          <w:lang w:val="en-US" w:eastAsia="zh-CN"/>
        </w:rPr>
        <w:t>31.85万</w:t>
      </w:r>
      <w:r>
        <w:rPr>
          <w:rFonts w:hint="eastAsia" w:ascii="仿宋" w:hAnsi="仿宋" w:eastAsia="仿宋"/>
          <w:sz w:val="32"/>
          <w:szCs w:val="32"/>
        </w:rPr>
        <w:t>元，所以，收入，支出增长较大。</w:t>
      </w:r>
    </w:p>
    <w:p>
      <w:pPr>
        <w:pStyle w:val="2"/>
        <w:spacing w:before="93"/>
      </w:pPr>
      <w:r>
        <w:drawing>
          <wp:inline distT="0" distB="0" distL="114300" distR="114300">
            <wp:extent cx="5271135" cy="3213100"/>
            <wp:effectExtent l="38735" t="18415" r="43180" b="64135"/>
            <wp:docPr id="10"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6"/>
              </a:graphicData>
            </a:graphic>
          </wp:inline>
        </w:drawing>
      </w:r>
      <w:r>
        <w:drawing>
          <wp:inline distT="0" distB="0" distL="114300" distR="114300">
            <wp:extent cx="5271135" cy="3213100"/>
            <wp:effectExtent l="38735" t="18415" r="43180" b="64135"/>
            <wp:docPr id="11"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7"/>
              </a:graphicData>
            </a:graphic>
          </wp:inline>
        </w:drawing>
      </w:r>
    </w:p>
    <w:p>
      <w:pPr>
        <w:spacing w:line="600" w:lineRule="exact"/>
        <w:ind w:firstLine="640" w:firstLineChars="200"/>
        <w:jc w:val="left"/>
        <w:rPr>
          <w:rFonts w:ascii="仿宋_GB2312" w:eastAsia="仿宋_GB2312"/>
          <w:sz w:val="32"/>
          <w:szCs w:val="32"/>
        </w:rPr>
      </w:pPr>
    </w:p>
    <w:p>
      <w:pPr>
        <w:pStyle w:val="23"/>
        <w:numPr>
          <w:ilvl w:val="0"/>
          <w:numId w:val="2"/>
        </w:numPr>
        <w:spacing w:line="600" w:lineRule="exact"/>
        <w:ind w:firstLineChars="0"/>
        <w:outlineLvl w:val="1"/>
        <w:rPr>
          <w:rStyle w:val="25"/>
          <w:rFonts w:ascii="黑体" w:hAnsi="黑体" w:eastAsia="黑体"/>
          <w:b w:val="0"/>
        </w:rPr>
      </w:pPr>
      <w:bookmarkStart w:id="22" w:name="_Toc15377206"/>
      <w:bookmarkStart w:id="23" w:name="_Toc15396604"/>
      <w:r>
        <w:rPr>
          <w:rFonts w:hint="eastAsia" w:ascii="黑体" w:hAnsi="黑体" w:eastAsia="黑体"/>
          <w:sz w:val="32"/>
          <w:szCs w:val="32"/>
        </w:rPr>
        <w:t>收</w:t>
      </w:r>
      <w:r>
        <w:rPr>
          <w:rStyle w:val="25"/>
          <w:rFonts w:hint="eastAsia" w:ascii="黑体" w:hAnsi="黑体" w:eastAsia="黑体"/>
          <w:b w:val="0"/>
        </w:rPr>
        <w:t>入决算情况说明</w:t>
      </w:r>
      <w:bookmarkEnd w:id="22"/>
      <w:bookmarkEnd w:id="23"/>
    </w:p>
    <w:p>
      <w:pPr>
        <w:spacing w:line="600" w:lineRule="exact"/>
        <w:ind w:firstLine="640" w:firstLineChars="200"/>
        <w:outlineLvl w:val="1"/>
        <w:rPr>
          <w:rFonts w:ascii="仿宋" w:hAnsi="仿宋" w:eastAsia="仿宋"/>
          <w:sz w:val="32"/>
          <w:szCs w:val="32"/>
        </w:rPr>
      </w:pPr>
      <w:r>
        <w:rPr>
          <w:rFonts w:ascii="仿宋" w:hAnsi="仿宋" w:eastAsia="仿宋"/>
          <w:sz w:val="32"/>
          <w:szCs w:val="32"/>
        </w:rPr>
        <w:t>20</w:t>
      </w:r>
      <w:r>
        <w:rPr>
          <w:rFonts w:hint="eastAsia" w:ascii="仿宋" w:hAnsi="仿宋" w:eastAsia="仿宋"/>
          <w:sz w:val="32"/>
          <w:szCs w:val="32"/>
        </w:rPr>
        <w:t>21年本年收入合计</w:t>
      </w:r>
      <w:r>
        <w:rPr>
          <w:rFonts w:hint="eastAsia" w:ascii="仿宋" w:hAnsi="仿宋" w:eastAsia="仿宋"/>
          <w:sz w:val="32"/>
          <w:szCs w:val="32"/>
          <w:lang w:val="en-US" w:eastAsia="zh-CN"/>
        </w:rPr>
        <w:t>298.78</w:t>
      </w:r>
      <w:r>
        <w:rPr>
          <w:rFonts w:hint="eastAsia" w:ascii="仿宋" w:hAnsi="仿宋" w:eastAsia="仿宋"/>
          <w:sz w:val="32"/>
          <w:szCs w:val="32"/>
        </w:rPr>
        <w:t>万元，其中：一般公共预算财政拨款收入</w:t>
      </w:r>
      <w:r>
        <w:rPr>
          <w:rFonts w:hint="eastAsia" w:ascii="仿宋" w:hAnsi="仿宋" w:eastAsia="仿宋"/>
          <w:sz w:val="32"/>
          <w:szCs w:val="32"/>
          <w:lang w:val="en-US" w:eastAsia="zh-CN"/>
        </w:rPr>
        <w:t>298.78</w:t>
      </w:r>
      <w:r>
        <w:rPr>
          <w:rFonts w:hint="eastAsia" w:ascii="仿宋" w:hAnsi="仿宋" w:eastAsia="仿宋"/>
          <w:sz w:val="32"/>
          <w:szCs w:val="32"/>
        </w:rPr>
        <w:t>万元，占100</w:t>
      </w:r>
      <w:r>
        <w:rPr>
          <w:rFonts w:ascii="仿宋" w:hAnsi="仿宋" w:eastAsia="仿宋"/>
          <w:sz w:val="32"/>
          <w:szCs w:val="32"/>
        </w:rPr>
        <w:t>%</w:t>
      </w:r>
      <w:r>
        <w:rPr>
          <w:rFonts w:hint="eastAsia" w:ascii="仿宋" w:hAnsi="仿宋" w:eastAsia="仿宋"/>
          <w:sz w:val="32"/>
          <w:szCs w:val="32"/>
        </w:rPr>
        <w:t>；政府性基金预算财政拨款收入0万元，占0</w:t>
      </w:r>
      <w:r>
        <w:rPr>
          <w:rFonts w:ascii="仿宋" w:hAnsi="仿宋" w:eastAsia="仿宋"/>
          <w:sz w:val="32"/>
          <w:szCs w:val="32"/>
        </w:rPr>
        <w:t>%</w:t>
      </w:r>
      <w:r>
        <w:rPr>
          <w:rFonts w:hint="eastAsia" w:ascii="仿宋" w:hAnsi="仿宋" w:eastAsia="仿宋"/>
          <w:sz w:val="32"/>
          <w:szCs w:val="32"/>
        </w:rPr>
        <w:t>；国有资本经营预算财政拨款收入0万元，占0</w:t>
      </w:r>
      <w:r>
        <w:rPr>
          <w:rFonts w:ascii="仿宋" w:hAnsi="仿宋" w:eastAsia="仿宋"/>
          <w:sz w:val="32"/>
          <w:szCs w:val="32"/>
        </w:rPr>
        <w:t>%</w:t>
      </w:r>
      <w:r>
        <w:rPr>
          <w:rFonts w:hint="eastAsia" w:ascii="仿宋" w:hAnsi="仿宋" w:eastAsia="仿宋"/>
          <w:sz w:val="32"/>
          <w:szCs w:val="32"/>
        </w:rPr>
        <w:t>；上级补助收入0万元，占0</w:t>
      </w:r>
      <w:r>
        <w:rPr>
          <w:rFonts w:ascii="仿宋" w:hAnsi="仿宋" w:eastAsia="仿宋"/>
          <w:sz w:val="32"/>
          <w:szCs w:val="32"/>
        </w:rPr>
        <w:t>%</w:t>
      </w:r>
      <w:r>
        <w:rPr>
          <w:rFonts w:hint="eastAsia" w:ascii="仿宋" w:hAnsi="仿宋" w:eastAsia="仿宋"/>
          <w:sz w:val="32"/>
          <w:szCs w:val="32"/>
        </w:rPr>
        <w:t>；事业收入0万元，占0</w:t>
      </w:r>
      <w:r>
        <w:rPr>
          <w:rFonts w:ascii="仿宋" w:hAnsi="仿宋" w:eastAsia="仿宋"/>
          <w:sz w:val="32"/>
          <w:szCs w:val="32"/>
        </w:rPr>
        <w:t>%</w:t>
      </w:r>
      <w:r>
        <w:rPr>
          <w:rFonts w:hint="eastAsia" w:ascii="仿宋" w:hAnsi="仿宋" w:eastAsia="仿宋"/>
          <w:sz w:val="32"/>
          <w:szCs w:val="32"/>
        </w:rPr>
        <w:t>；经营收入0万元，占0</w:t>
      </w:r>
      <w:r>
        <w:rPr>
          <w:rFonts w:ascii="仿宋" w:hAnsi="仿宋" w:eastAsia="仿宋"/>
          <w:sz w:val="32"/>
          <w:szCs w:val="32"/>
        </w:rPr>
        <w:t>%</w:t>
      </w:r>
      <w:r>
        <w:rPr>
          <w:rFonts w:hint="eastAsia" w:ascii="仿宋" w:hAnsi="仿宋" w:eastAsia="仿宋"/>
          <w:sz w:val="32"/>
          <w:szCs w:val="32"/>
        </w:rPr>
        <w:t>；附属单位上缴收入0万元，占0</w:t>
      </w:r>
      <w:r>
        <w:rPr>
          <w:rFonts w:ascii="仿宋" w:hAnsi="仿宋" w:eastAsia="仿宋"/>
          <w:sz w:val="32"/>
          <w:szCs w:val="32"/>
        </w:rPr>
        <w:t>%</w:t>
      </w:r>
      <w:r>
        <w:rPr>
          <w:rFonts w:hint="eastAsia" w:ascii="仿宋" w:hAnsi="仿宋" w:eastAsia="仿宋"/>
          <w:sz w:val="32"/>
          <w:szCs w:val="32"/>
        </w:rPr>
        <w:t>；其他收入0万元，占0</w:t>
      </w:r>
      <w:r>
        <w:rPr>
          <w:rFonts w:ascii="仿宋" w:hAnsi="仿宋" w:eastAsia="仿宋"/>
          <w:sz w:val="32"/>
          <w:szCs w:val="32"/>
        </w:rPr>
        <w:t>%</w:t>
      </w:r>
      <w:r>
        <w:rPr>
          <w:rFonts w:hint="eastAsia" w:ascii="仿宋" w:hAnsi="仿宋" w:eastAsia="仿宋"/>
          <w:sz w:val="32"/>
          <w:szCs w:val="32"/>
        </w:rPr>
        <w:t>。</w:t>
      </w:r>
    </w:p>
    <w:p>
      <w:pPr>
        <w:pStyle w:val="2"/>
        <w:spacing w:before="93"/>
        <w:rPr>
          <w:rFonts w:ascii="仿宋" w:hAnsi="仿宋" w:eastAsia="仿宋"/>
          <w:sz w:val="32"/>
          <w:szCs w:val="32"/>
        </w:rPr>
      </w:pPr>
      <w:r>
        <w:drawing>
          <wp:inline distT="0" distB="0" distL="114300" distR="114300">
            <wp:extent cx="5272405" cy="3302635"/>
            <wp:effectExtent l="38735" t="18415" r="41910" b="69850"/>
            <wp:docPr id="3"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pPr>
        <w:spacing w:line="600" w:lineRule="exact"/>
        <w:ind w:firstLine="640" w:firstLineChars="200"/>
        <w:rPr>
          <w:rFonts w:ascii="仿宋" w:hAnsi="仿宋" w:eastAsia="仿宋"/>
          <w:sz w:val="32"/>
          <w:szCs w:val="32"/>
        </w:rPr>
      </w:pPr>
      <w:r>
        <w:rPr>
          <w:rFonts w:hint="eastAsia" w:ascii="仿宋" w:hAnsi="仿宋" w:eastAsia="仿宋"/>
          <w:sz w:val="32"/>
          <w:szCs w:val="32"/>
        </w:rPr>
        <w:t>（图2：收入决算结构图）（饼状图）</w:t>
      </w:r>
    </w:p>
    <w:p>
      <w:pPr>
        <w:spacing w:line="600" w:lineRule="exact"/>
        <w:ind w:firstLine="640" w:firstLineChars="200"/>
        <w:rPr>
          <w:rFonts w:ascii="仿宋_GB2312" w:eastAsia="仿宋_GB2312"/>
          <w:sz w:val="32"/>
          <w:szCs w:val="32"/>
        </w:rPr>
      </w:pPr>
    </w:p>
    <w:p>
      <w:pPr>
        <w:pStyle w:val="23"/>
        <w:numPr>
          <w:ilvl w:val="0"/>
          <w:numId w:val="2"/>
        </w:numPr>
        <w:spacing w:line="600" w:lineRule="exact"/>
        <w:ind w:firstLineChars="0"/>
        <w:outlineLvl w:val="1"/>
        <w:rPr>
          <w:rStyle w:val="25"/>
          <w:rFonts w:ascii="黑体" w:hAnsi="黑体" w:eastAsia="黑体"/>
          <w:b w:val="0"/>
        </w:rPr>
      </w:pPr>
      <w:bookmarkStart w:id="24" w:name="_Toc15377207"/>
      <w:bookmarkStart w:id="25" w:name="_Toc15396605"/>
      <w:r>
        <w:rPr>
          <w:rFonts w:hint="eastAsia" w:ascii="黑体" w:hAnsi="黑体" w:eastAsia="黑体"/>
          <w:sz w:val="32"/>
          <w:szCs w:val="32"/>
        </w:rPr>
        <w:t>支</w:t>
      </w:r>
      <w:r>
        <w:rPr>
          <w:rStyle w:val="25"/>
          <w:rFonts w:hint="eastAsia" w:ascii="黑体" w:hAnsi="黑体" w:eastAsia="黑体"/>
          <w:b w:val="0"/>
        </w:rPr>
        <w:t>出决算情况说明</w:t>
      </w:r>
      <w:bookmarkEnd w:id="24"/>
      <w:bookmarkEnd w:id="25"/>
    </w:p>
    <w:p>
      <w:pPr>
        <w:spacing w:line="600" w:lineRule="exact"/>
        <w:ind w:firstLine="640" w:firstLineChars="200"/>
        <w:outlineLvl w:val="1"/>
        <w:rPr>
          <w:rFonts w:ascii="仿宋" w:hAnsi="仿宋" w:eastAsia="仿宋"/>
          <w:sz w:val="32"/>
          <w:szCs w:val="32"/>
        </w:rPr>
      </w:pPr>
      <w:r>
        <w:rPr>
          <w:rFonts w:ascii="仿宋" w:hAnsi="仿宋" w:eastAsia="仿宋"/>
          <w:sz w:val="32"/>
          <w:szCs w:val="32"/>
        </w:rPr>
        <w:t>20</w:t>
      </w:r>
      <w:r>
        <w:rPr>
          <w:rFonts w:hint="eastAsia" w:ascii="仿宋" w:hAnsi="仿宋" w:eastAsia="仿宋"/>
          <w:sz w:val="32"/>
          <w:szCs w:val="32"/>
        </w:rPr>
        <w:t>21年本年支出合计</w:t>
      </w:r>
      <w:r>
        <w:rPr>
          <w:rFonts w:hint="eastAsia" w:ascii="仿宋" w:hAnsi="仿宋" w:eastAsia="仿宋"/>
          <w:sz w:val="32"/>
          <w:szCs w:val="32"/>
          <w:lang w:val="en-US" w:eastAsia="zh-CN"/>
        </w:rPr>
        <w:t>298.78</w:t>
      </w:r>
      <w:r>
        <w:rPr>
          <w:rFonts w:hint="eastAsia" w:ascii="仿宋" w:hAnsi="仿宋" w:eastAsia="仿宋"/>
          <w:sz w:val="32"/>
          <w:szCs w:val="32"/>
        </w:rPr>
        <w:t>万元，其中：基本支出</w:t>
      </w:r>
      <w:r>
        <w:rPr>
          <w:rFonts w:hint="eastAsia" w:ascii="仿宋" w:hAnsi="仿宋" w:eastAsia="仿宋"/>
          <w:sz w:val="32"/>
          <w:szCs w:val="32"/>
          <w:lang w:val="en-US" w:eastAsia="zh-CN"/>
        </w:rPr>
        <w:t>117.98</w:t>
      </w:r>
      <w:r>
        <w:rPr>
          <w:rFonts w:hint="eastAsia" w:ascii="仿宋" w:hAnsi="仿宋" w:eastAsia="仿宋"/>
          <w:sz w:val="32"/>
          <w:szCs w:val="32"/>
        </w:rPr>
        <w:t>万元，占</w:t>
      </w:r>
      <w:r>
        <w:rPr>
          <w:rFonts w:hint="eastAsia" w:ascii="仿宋" w:hAnsi="仿宋" w:eastAsia="仿宋"/>
          <w:sz w:val="32"/>
          <w:szCs w:val="32"/>
          <w:lang w:val="en-US" w:eastAsia="zh-CN"/>
        </w:rPr>
        <w:t>39.5</w:t>
      </w:r>
      <w:r>
        <w:rPr>
          <w:rFonts w:ascii="仿宋" w:hAnsi="仿宋" w:eastAsia="仿宋"/>
          <w:sz w:val="32"/>
          <w:szCs w:val="32"/>
        </w:rPr>
        <w:t>%</w:t>
      </w:r>
      <w:r>
        <w:rPr>
          <w:rFonts w:hint="eastAsia" w:ascii="仿宋" w:hAnsi="仿宋" w:eastAsia="仿宋"/>
          <w:sz w:val="32"/>
          <w:szCs w:val="32"/>
        </w:rPr>
        <w:t>；项目支出</w:t>
      </w:r>
      <w:r>
        <w:rPr>
          <w:rFonts w:hint="eastAsia" w:ascii="仿宋" w:hAnsi="仿宋" w:eastAsia="仿宋"/>
          <w:sz w:val="32"/>
          <w:szCs w:val="32"/>
          <w:lang w:val="en-US" w:eastAsia="zh-CN"/>
        </w:rPr>
        <w:t>180.8</w:t>
      </w:r>
      <w:r>
        <w:rPr>
          <w:rFonts w:hint="eastAsia" w:ascii="仿宋" w:hAnsi="仿宋" w:eastAsia="仿宋"/>
          <w:sz w:val="32"/>
          <w:szCs w:val="32"/>
        </w:rPr>
        <w:t>万元，占</w:t>
      </w:r>
      <w:r>
        <w:rPr>
          <w:rFonts w:hint="eastAsia" w:ascii="仿宋" w:hAnsi="仿宋" w:eastAsia="仿宋"/>
          <w:sz w:val="32"/>
          <w:szCs w:val="32"/>
          <w:lang w:val="en-US" w:eastAsia="zh-CN"/>
        </w:rPr>
        <w:t>60.5</w:t>
      </w:r>
      <w:r>
        <w:rPr>
          <w:rFonts w:ascii="仿宋" w:hAnsi="仿宋" w:eastAsia="仿宋"/>
          <w:sz w:val="32"/>
          <w:szCs w:val="32"/>
        </w:rPr>
        <w:t>%</w:t>
      </w:r>
      <w:r>
        <w:rPr>
          <w:rFonts w:hint="eastAsia" w:ascii="仿宋" w:hAnsi="仿宋" w:eastAsia="仿宋"/>
          <w:sz w:val="32"/>
          <w:szCs w:val="32"/>
        </w:rPr>
        <w:t>；上缴上级支出0万元，占0</w:t>
      </w:r>
      <w:r>
        <w:rPr>
          <w:rFonts w:ascii="仿宋" w:hAnsi="仿宋" w:eastAsia="仿宋"/>
          <w:sz w:val="32"/>
          <w:szCs w:val="32"/>
        </w:rPr>
        <w:t>%</w:t>
      </w:r>
      <w:r>
        <w:rPr>
          <w:rFonts w:hint="eastAsia" w:ascii="仿宋" w:hAnsi="仿宋" w:eastAsia="仿宋"/>
          <w:sz w:val="32"/>
          <w:szCs w:val="32"/>
        </w:rPr>
        <w:t>；经营支出0万元，占0</w:t>
      </w:r>
      <w:r>
        <w:rPr>
          <w:rFonts w:ascii="仿宋" w:hAnsi="仿宋" w:eastAsia="仿宋"/>
          <w:sz w:val="32"/>
          <w:szCs w:val="32"/>
        </w:rPr>
        <w:t>%</w:t>
      </w:r>
      <w:r>
        <w:rPr>
          <w:rFonts w:hint="eastAsia" w:ascii="仿宋" w:hAnsi="仿宋" w:eastAsia="仿宋"/>
          <w:sz w:val="32"/>
          <w:szCs w:val="32"/>
        </w:rPr>
        <w:t>；对附属单位补助支出0万元，占0</w:t>
      </w:r>
      <w:r>
        <w:rPr>
          <w:rFonts w:ascii="仿宋" w:hAnsi="仿宋" w:eastAsia="仿宋"/>
          <w:sz w:val="32"/>
          <w:szCs w:val="32"/>
        </w:rPr>
        <w:t>%</w:t>
      </w:r>
      <w:r>
        <w:rPr>
          <w:rFonts w:hint="eastAsia" w:ascii="仿宋" w:hAnsi="仿宋" w:eastAsia="仿宋"/>
          <w:sz w:val="32"/>
          <w:szCs w:val="32"/>
        </w:rPr>
        <w:t>。</w:t>
      </w:r>
    </w:p>
    <w:p>
      <w:pPr>
        <w:pStyle w:val="2"/>
        <w:spacing w:before="93"/>
      </w:pPr>
      <w:r>
        <w:drawing>
          <wp:inline distT="0" distB="0" distL="114300" distR="114300">
            <wp:extent cx="5272405" cy="3176270"/>
            <wp:effectExtent l="38735" t="18415" r="41910" b="62865"/>
            <wp:docPr id="12"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pPr>
        <w:spacing w:line="600" w:lineRule="exact"/>
        <w:ind w:firstLine="640" w:firstLineChars="200"/>
        <w:rPr>
          <w:rFonts w:ascii="仿宋" w:hAnsi="仿宋" w:eastAsia="仿宋"/>
          <w:sz w:val="32"/>
          <w:szCs w:val="32"/>
        </w:rPr>
      </w:pPr>
      <w:r>
        <w:rPr>
          <w:rFonts w:hint="eastAsia" w:ascii="仿宋" w:hAnsi="仿宋" w:eastAsia="仿宋"/>
          <w:sz w:val="32"/>
          <w:szCs w:val="32"/>
        </w:rPr>
        <w:t>（图3：支出决算结构图）（饼状图）</w:t>
      </w:r>
    </w:p>
    <w:p>
      <w:pPr>
        <w:spacing w:line="600" w:lineRule="exact"/>
        <w:ind w:firstLine="640" w:firstLineChars="200"/>
        <w:rPr>
          <w:rFonts w:ascii="仿宋_GB2312" w:eastAsia="仿宋_GB2312"/>
          <w:sz w:val="32"/>
          <w:szCs w:val="32"/>
        </w:rPr>
      </w:pPr>
    </w:p>
    <w:p>
      <w:pPr>
        <w:spacing w:line="600" w:lineRule="exact"/>
        <w:ind w:firstLine="640" w:firstLineChars="200"/>
        <w:outlineLvl w:val="1"/>
        <w:rPr>
          <w:rStyle w:val="25"/>
          <w:rFonts w:ascii="黑体" w:hAnsi="黑体" w:eastAsia="黑体"/>
          <w:b w:val="0"/>
        </w:rPr>
      </w:pPr>
      <w:bookmarkStart w:id="26" w:name="_Toc15377208"/>
      <w:bookmarkStart w:id="27" w:name="_Toc15396606"/>
      <w:r>
        <w:rPr>
          <w:rFonts w:hint="eastAsia" w:ascii="黑体" w:hAnsi="黑体" w:eastAsia="黑体"/>
          <w:sz w:val="32"/>
          <w:szCs w:val="32"/>
        </w:rPr>
        <w:t>四、财</w:t>
      </w:r>
      <w:r>
        <w:rPr>
          <w:rStyle w:val="25"/>
          <w:rFonts w:hint="eastAsia" w:ascii="黑体" w:hAnsi="黑体" w:eastAsia="黑体"/>
          <w:b w:val="0"/>
        </w:rPr>
        <w:t>政拨款收入支出决算总体情况说明</w:t>
      </w:r>
      <w:bookmarkEnd w:id="26"/>
      <w:bookmarkEnd w:id="27"/>
    </w:p>
    <w:p>
      <w:pPr>
        <w:spacing w:line="600" w:lineRule="exact"/>
        <w:ind w:firstLine="640" w:firstLineChars="200"/>
        <w:rPr>
          <w:rFonts w:ascii="仿宋" w:hAnsi="仿宋" w:eastAsia="仿宋"/>
          <w:sz w:val="32"/>
          <w:szCs w:val="32"/>
        </w:rPr>
      </w:pPr>
      <w:r>
        <w:rPr>
          <w:rFonts w:ascii="仿宋" w:hAnsi="仿宋" w:eastAsia="仿宋"/>
          <w:sz w:val="32"/>
          <w:szCs w:val="32"/>
        </w:rPr>
        <w:t>20</w:t>
      </w:r>
      <w:r>
        <w:rPr>
          <w:rFonts w:hint="eastAsia" w:ascii="仿宋" w:hAnsi="仿宋" w:eastAsia="仿宋"/>
          <w:sz w:val="32"/>
          <w:szCs w:val="32"/>
        </w:rPr>
        <w:t>21年财政拨款收入总计：</w:t>
      </w:r>
      <w:r>
        <w:rPr>
          <w:rFonts w:hint="eastAsia" w:ascii="仿宋" w:hAnsi="仿宋" w:eastAsia="仿宋"/>
          <w:sz w:val="32"/>
          <w:szCs w:val="32"/>
          <w:lang w:val="en-US" w:eastAsia="zh-CN"/>
        </w:rPr>
        <w:t>284.9</w:t>
      </w:r>
      <w:r>
        <w:rPr>
          <w:rFonts w:hint="eastAsia" w:ascii="仿宋" w:hAnsi="仿宋" w:eastAsia="仿宋"/>
          <w:sz w:val="32"/>
          <w:szCs w:val="32"/>
        </w:rPr>
        <w:t>万元、支出总计</w:t>
      </w:r>
      <w:r>
        <w:rPr>
          <w:rFonts w:hint="eastAsia" w:ascii="仿宋" w:hAnsi="仿宋" w:eastAsia="仿宋"/>
          <w:sz w:val="32"/>
          <w:szCs w:val="32"/>
          <w:lang w:val="en-US" w:eastAsia="zh-CN"/>
        </w:rPr>
        <w:t>298.78</w:t>
      </w:r>
      <w:r>
        <w:rPr>
          <w:rFonts w:hint="eastAsia" w:ascii="仿宋" w:hAnsi="仿宋" w:eastAsia="仿宋"/>
          <w:sz w:val="32"/>
          <w:szCs w:val="32"/>
        </w:rPr>
        <w:t>万元。与</w:t>
      </w:r>
      <w:r>
        <w:rPr>
          <w:rFonts w:ascii="仿宋" w:hAnsi="仿宋" w:eastAsia="仿宋"/>
          <w:sz w:val="32"/>
          <w:szCs w:val="32"/>
        </w:rPr>
        <w:t>20</w:t>
      </w:r>
      <w:r>
        <w:rPr>
          <w:rFonts w:hint="eastAsia" w:ascii="仿宋" w:hAnsi="仿宋" w:eastAsia="仿宋"/>
          <w:sz w:val="32"/>
          <w:szCs w:val="32"/>
        </w:rPr>
        <w:t>20年相比，财政拨款收入总计增加：</w:t>
      </w:r>
      <w:r>
        <w:rPr>
          <w:rFonts w:hint="eastAsia" w:ascii="仿宋" w:hAnsi="仿宋" w:eastAsia="仿宋"/>
          <w:sz w:val="32"/>
          <w:szCs w:val="32"/>
          <w:lang w:val="en-US" w:eastAsia="zh-CN"/>
        </w:rPr>
        <w:t>96.6</w:t>
      </w:r>
      <w:r>
        <w:rPr>
          <w:rFonts w:hint="eastAsia" w:ascii="仿宋" w:hAnsi="仿宋" w:eastAsia="仿宋"/>
          <w:sz w:val="32"/>
          <w:szCs w:val="32"/>
        </w:rPr>
        <w:t>万元，增长5</w:t>
      </w:r>
      <w:r>
        <w:rPr>
          <w:rFonts w:hint="eastAsia" w:ascii="仿宋" w:hAnsi="仿宋" w:eastAsia="仿宋"/>
          <w:sz w:val="32"/>
          <w:szCs w:val="32"/>
          <w:lang w:val="en-US" w:eastAsia="zh-CN"/>
        </w:rPr>
        <w:t>1.3</w:t>
      </w:r>
      <w:r>
        <w:rPr>
          <w:rFonts w:ascii="仿宋" w:hAnsi="仿宋" w:eastAsia="仿宋"/>
          <w:sz w:val="32"/>
          <w:szCs w:val="32"/>
        </w:rPr>
        <w:t>%</w:t>
      </w:r>
      <w:r>
        <w:rPr>
          <w:rFonts w:hint="eastAsia" w:ascii="仿宋" w:hAnsi="仿宋" w:eastAsia="仿宋"/>
          <w:sz w:val="32"/>
          <w:szCs w:val="32"/>
        </w:rPr>
        <w:t>、支出总计增加</w:t>
      </w:r>
      <w:r>
        <w:rPr>
          <w:rFonts w:hint="eastAsia" w:ascii="仿宋" w:hAnsi="仿宋" w:eastAsia="仿宋"/>
          <w:sz w:val="32"/>
          <w:szCs w:val="32"/>
          <w:lang w:val="en-US" w:eastAsia="zh-CN"/>
        </w:rPr>
        <w:t>95.38</w:t>
      </w:r>
      <w:r>
        <w:rPr>
          <w:rFonts w:hint="eastAsia" w:ascii="仿宋" w:hAnsi="仿宋" w:eastAsia="仿宋"/>
          <w:sz w:val="32"/>
          <w:szCs w:val="32"/>
        </w:rPr>
        <w:t>万元，增长</w:t>
      </w:r>
      <w:r>
        <w:rPr>
          <w:rFonts w:hint="eastAsia" w:ascii="仿宋" w:hAnsi="仿宋" w:eastAsia="仿宋"/>
          <w:sz w:val="32"/>
          <w:szCs w:val="32"/>
          <w:lang w:val="en-US" w:eastAsia="zh-CN"/>
        </w:rPr>
        <w:t>46.8</w:t>
      </w:r>
      <w:r>
        <w:rPr>
          <w:rFonts w:ascii="仿宋" w:hAnsi="仿宋" w:eastAsia="仿宋"/>
          <w:sz w:val="32"/>
          <w:szCs w:val="32"/>
        </w:rPr>
        <w:t>%</w:t>
      </w:r>
      <w:r>
        <w:rPr>
          <w:rFonts w:hint="eastAsia" w:ascii="仿宋" w:hAnsi="仿宋" w:eastAsia="仿宋"/>
          <w:sz w:val="32"/>
          <w:szCs w:val="32"/>
        </w:rPr>
        <w:t>。主要变动原因是</w:t>
      </w:r>
      <w:r>
        <w:rPr>
          <w:rFonts w:hint="eastAsia" w:ascii="仿宋" w:hAnsi="仿宋" w:eastAsia="仿宋"/>
          <w:sz w:val="32"/>
          <w:szCs w:val="32"/>
          <w:lang w:eastAsia="zh-CN"/>
        </w:rPr>
        <w:t>城南</w:t>
      </w:r>
      <w:r>
        <w:rPr>
          <w:rFonts w:hint="eastAsia" w:ascii="仿宋" w:hAnsi="仿宋" w:eastAsia="仿宋"/>
          <w:sz w:val="32"/>
          <w:szCs w:val="32"/>
        </w:rPr>
        <w:t>分园聘用教师，保安经费2020年只有半学期归总园管理，2021年全年归总园管理财政拨款增加，支出增加，合作办园经费收入：</w:t>
      </w:r>
      <w:r>
        <w:rPr>
          <w:rFonts w:hint="eastAsia" w:ascii="仿宋" w:hAnsi="仿宋" w:eastAsia="仿宋"/>
          <w:sz w:val="32"/>
          <w:szCs w:val="32"/>
          <w:lang w:val="en-US" w:eastAsia="zh-CN"/>
        </w:rPr>
        <w:t>31.85万</w:t>
      </w:r>
      <w:r>
        <w:rPr>
          <w:rFonts w:hint="eastAsia" w:ascii="仿宋" w:hAnsi="仿宋" w:eastAsia="仿宋"/>
          <w:sz w:val="32"/>
          <w:szCs w:val="32"/>
        </w:rPr>
        <w:t>元，支出：</w:t>
      </w:r>
      <w:r>
        <w:rPr>
          <w:rFonts w:hint="eastAsia" w:ascii="仿宋" w:hAnsi="仿宋" w:eastAsia="仿宋"/>
          <w:sz w:val="32"/>
          <w:szCs w:val="32"/>
          <w:lang w:val="en-US" w:eastAsia="zh-CN"/>
        </w:rPr>
        <w:t>31.85</w:t>
      </w:r>
      <w:r>
        <w:rPr>
          <w:rFonts w:hint="eastAsia" w:ascii="仿宋" w:hAnsi="仿宋" w:eastAsia="仿宋"/>
          <w:sz w:val="32"/>
          <w:szCs w:val="32"/>
        </w:rPr>
        <w:t>元，所以，收入，支出增长较大。</w:t>
      </w:r>
    </w:p>
    <w:p>
      <w:pPr>
        <w:pStyle w:val="2"/>
        <w:spacing w:before="93"/>
      </w:pPr>
      <w:r>
        <w:drawing>
          <wp:inline distT="0" distB="0" distL="114300" distR="114300">
            <wp:extent cx="5270500" cy="3061970"/>
            <wp:effectExtent l="38735" t="18415" r="43815" b="62865"/>
            <wp:docPr id="17"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pPr>
        <w:pStyle w:val="2"/>
        <w:spacing w:before="93"/>
      </w:pPr>
      <w:r>
        <w:drawing>
          <wp:inline distT="0" distB="0" distL="114300" distR="114300">
            <wp:extent cx="5270500" cy="3061970"/>
            <wp:effectExtent l="38735" t="18415" r="43815" b="62865"/>
            <wp:docPr id="18"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pPr>
        <w:spacing w:line="600" w:lineRule="exact"/>
        <w:rPr>
          <w:rFonts w:ascii="仿宋" w:hAnsi="仿宋" w:eastAsia="仿宋"/>
          <w:sz w:val="32"/>
          <w:szCs w:val="32"/>
        </w:rPr>
      </w:pPr>
    </w:p>
    <w:p>
      <w:pPr>
        <w:spacing w:line="600" w:lineRule="exact"/>
        <w:ind w:firstLine="640" w:firstLineChars="200"/>
        <w:rPr>
          <w:rFonts w:ascii="仿宋" w:hAnsi="仿宋" w:eastAsia="仿宋"/>
          <w:sz w:val="32"/>
          <w:szCs w:val="32"/>
        </w:rPr>
      </w:pPr>
      <w:r>
        <w:rPr>
          <w:rFonts w:hint="eastAsia" w:ascii="仿宋" w:hAnsi="仿宋" w:eastAsia="仿宋"/>
          <w:sz w:val="32"/>
          <w:szCs w:val="32"/>
        </w:rPr>
        <w:t>（图4：财政拨款收、支决算总计变动情况）（柱状图）</w:t>
      </w:r>
    </w:p>
    <w:p>
      <w:pPr>
        <w:spacing w:line="600" w:lineRule="exact"/>
        <w:ind w:firstLine="640"/>
        <w:rPr>
          <w:rFonts w:ascii="仿宋" w:hAnsi="仿宋" w:eastAsia="仿宋"/>
          <w:b/>
          <w:sz w:val="32"/>
          <w:szCs w:val="32"/>
        </w:rPr>
      </w:pPr>
    </w:p>
    <w:p>
      <w:pPr>
        <w:spacing w:line="600" w:lineRule="exact"/>
        <w:ind w:firstLine="640" w:firstLineChars="200"/>
        <w:outlineLvl w:val="1"/>
        <w:rPr>
          <w:rStyle w:val="25"/>
          <w:rFonts w:ascii="黑体" w:hAnsi="黑体" w:eastAsia="黑体"/>
          <w:b w:val="0"/>
        </w:rPr>
      </w:pPr>
      <w:bookmarkStart w:id="28" w:name="_Toc15377209"/>
      <w:bookmarkStart w:id="29" w:name="_Toc15396607"/>
      <w:r>
        <w:rPr>
          <w:rFonts w:hint="eastAsia" w:ascii="黑体" w:hAnsi="黑体" w:eastAsia="黑体"/>
          <w:sz w:val="32"/>
          <w:szCs w:val="32"/>
        </w:rPr>
        <w:t>五、</w:t>
      </w:r>
      <w:r>
        <w:rPr>
          <w:rFonts w:hint="eastAsia" w:ascii="黑体" w:hAnsi="黑体" w:eastAsia="黑体"/>
          <w:b/>
          <w:sz w:val="32"/>
          <w:szCs w:val="32"/>
        </w:rPr>
        <w:t>一</w:t>
      </w:r>
      <w:r>
        <w:rPr>
          <w:rStyle w:val="25"/>
          <w:rFonts w:hint="eastAsia" w:ascii="黑体" w:hAnsi="黑体" w:eastAsia="黑体"/>
          <w:b w:val="0"/>
        </w:rPr>
        <w:t>般公共预算财政拨款支出决算情况说明</w:t>
      </w:r>
      <w:bookmarkEnd w:id="28"/>
      <w:bookmarkEnd w:id="29"/>
    </w:p>
    <w:p>
      <w:pPr>
        <w:spacing w:line="600" w:lineRule="exact"/>
        <w:ind w:firstLine="643" w:firstLineChars="200"/>
        <w:outlineLvl w:val="2"/>
        <w:rPr>
          <w:rFonts w:ascii="仿宋" w:hAnsi="仿宋" w:eastAsia="仿宋"/>
          <w:b/>
          <w:sz w:val="32"/>
          <w:szCs w:val="32"/>
        </w:rPr>
      </w:pPr>
      <w:bookmarkStart w:id="30" w:name="_Toc15377210"/>
      <w:r>
        <w:rPr>
          <w:rFonts w:hint="eastAsia" w:ascii="仿宋" w:hAnsi="仿宋" w:eastAsia="仿宋"/>
          <w:b/>
          <w:sz w:val="32"/>
          <w:szCs w:val="32"/>
        </w:rPr>
        <w:t>（一）一般公共预算财政拨款支出决算总体情况</w:t>
      </w:r>
      <w:bookmarkEnd w:id="30"/>
    </w:p>
    <w:p>
      <w:pPr>
        <w:spacing w:line="600" w:lineRule="exact"/>
        <w:ind w:firstLine="640" w:firstLineChars="200"/>
        <w:rPr>
          <w:rFonts w:ascii="仿宋" w:hAnsi="仿宋" w:eastAsia="仿宋"/>
          <w:sz w:val="32"/>
          <w:szCs w:val="32"/>
        </w:rPr>
      </w:pPr>
      <w:r>
        <w:rPr>
          <w:rFonts w:ascii="仿宋" w:hAnsi="仿宋" w:eastAsia="仿宋"/>
          <w:sz w:val="32"/>
          <w:szCs w:val="32"/>
        </w:rPr>
        <w:t>20</w:t>
      </w:r>
      <w:r>
        <w:rPr>
          <w:rFonts w:hint="eastAsia" w:ascii="仿宋" w:hAnsi="仿宋" w:eastAsia="仿宋"/>
          <w:sz w:val="32"/>
          <w:szCs w:val="32"/>
        </w:rPr>
        <w:t>21年一般公共预算财政拨款支</w:t>
      </w:r>
      <w:r>
        <w:rPr>
          <w:rFonts w:hint="eastAsia" w:ascii="仿宋" w:hAnsi="仿宋" w:eastAsia="仿宋"/>
          <w:sz w:val="32"/>
          <w:szCs w:val="32"/>
          <w:lang w:val="en-US" w:eastAsia="zh-CN"/>
        </w:rPr>
        <w:t>298.78</w:t>
      </w:r>
      <w:r>
        <w:rPr>
          <w:rFonts w:hint="eastAsia" w:ascii="仿宋" w:hAnsi="仿宋" w:eastAsia="仿宋"/>
          <w:sz w:val="32"/>
          <w:szCs w:val="32"/>
        </w:rPr>
        <w:t>万元，与</w:t>
      </w:r>
      <w:r>
        <w:rPr>
          <w:rFonts w:ascii="仿宋" w:hAnsi="仿宋" w:eastAsia="仿宋"/>
          <w:sz w:val="32"/>
          <w:szCs w:val="32"/>
        </w:rPr>
        <w:t>20</w:t>
      </w:r>
      <w:r>
        <w:rPr>
          <w:rFonts w:hint="eastAsia" w:ascii="仿宋" w:hAnsi="仿宋" w:eastAsia="仿宋"/>
          <w:sz w:val="32"/>
          <w:szCs w:val="32"/>
        </w:rPr>
        <w:t>20年相比，一般公共预算财政拨款支出</w:t>
      </w:r>
      <w:r>
        <w:rPr>
          <w:rFonts w:hint="eastAsia" w:ascii="仿宋" w:hAnsi="仿宋" w:eastAsia="仿宋"/>
          <w:sz w:val="32"/>
          <w:szCs w:val="32"/>
          <w:lang w:eastAsia="zh-CN"/>
        </w:rPr>
        <w:t>增加</w:t>
      </w:r>
      <w:r>
        <w:rPr>
          <w:rFonts w:hint="eastAsia" w:ascii="仿宋" w:hAnsi="仿宋" w:eastAsia="仿宋"/>
          <w:sz w:val="32"/>
          <w:szCs w:val="32"/>
          <w:lang w:val="en-US" w:eastAsia="zh-CN"/>
        </w:rPr>
        <w:t>95.38</w:t>
      </w:r>
      <w:r>
        <w:rPr>
          <w:rFonts w:hint="eastAsia" w:ascii="仿宋" w:hAnsi="仿宋" w:eastAsia="仿宋"/>
          <w:sz w:val="32"/>
          <w:szCs w:val="32"/>
        </w:rPr>
        <w:t>万元，</w:t>
      </w:r>
      <w:r>
        <w:rPr>
          <w:rFonts w:hint="eastAsia" w:ascii="仿宋" w:hAnsi="仿宋" w:eastAsia="仿宋"/>
          <w:sz w:val="32"/>
          <w:szCs w:val="32"/>
          <w:lang w:eastAsia="zh-CN"/>
        </w:rPr>
        <w:t>增加</w:t>
      </w:r>
      <w:r>
        <w:rPr>
          <w:rFonts w:hint="eastAsia" w:ascii="仿宋" w:hAnsi="仿宋" w:eastAsia="仿宋"/>
          <w:sz w:val="32"/>
          <w:szCs w:val="32"/>
          <w:lang w:val="en-US" w:eastAsia="zh-CN"/>
        </w:rPr>
        <w:t>46.8</w:t>
      </w:r>
      <w:r>
        <w:rPr>
          <w:rFonts w:ascii="仿宋" w:hAnsi="仿宋" w:eastAsia="仿宋"/>
          <w:sz w:val="32"/>
          <w:szCs w:val="32"/>
        </w:rPr>
        <w:t>%</w:t>
      </w:r>
      <w:r>
        <w:rPr>
          <w:rFonts w:hint="eastAsia" w:ascii="仿宋" w:hAnsi="仿宋" w:eastAsia="仿宋"/>
          <w:sz w:val="32"/>
          <w:szCs w:val="32"/>
        </w:rPr>
        <w:t>。主要变动原因是主要变动原因是</w:t>
      </w:r>
      <w:r>
        <w:rPr>
          <w:rFonts w:hint="eastAsia" w:ascii="仿宋" w:hAnsi="仿宋" w:eastAsia="仿宋"/>
          <w:sz w:val="32"/>
          <w:szCs w:val="32"/>
          <w:lang w:eastAsia="zh-CN"/>
        </w:rPr>
        <w:t>城南</w:t>
      </w:r>
      <w:r>
        <w:rPr>
          <w:rFonts w:hint="eastAsia" w:ascii="仿宋" w:hAnsi="仿宋" w:eastAsia="仿宋"/>
          <w:sz w:val="32"/>
          <w:szCs w:val="32"/>
        </w:rPr>
        <w:t>分园聘用教师，保安经费2020年只有半学期归总园管理，2021年全年归总园管理财政拨款增加，支出增加，合作办园经费收入：</w:t>
      </w:r>
      <w:r>
        <w:rPr>
          <w:rFonts w:hint="eastAsia" w:ascii="仿宋" w:hAnsi="仿宋" w:eastAsia="仿宋"/>
          <w:sz w:val="32"/>
          <w:szCs w:val="32"/>
          <w:lang w:val="en-US" w:eastAsia="zh-CN"/>
        </w:rPr>
        <w:t>31.85万</w:t>
      </w:r>
      <w:r>
        <w:rPr>
          <w:rFonts w:hint="eastAsia" w:ascii="仿宋" w:hAnsi="仿宋" w:eastAsia="仿宋"/>
          <w:sz w:val="32"/>
          <w:szCs w:val="32"/>
        </w:rPr>
        <w:t>元，支出：</w:t>
      </w:r>
      <w:r>
        <w:rPr>
          <w:rFonts w:hint="eastAsia" w:ascii="仿宋" w:hAnsi="仿宋" w:eastAsia="仿宋"/>
          <w:sz w:val="32"/>
          <w:szCs w:val="32"/>
          <w:lang w:val="en-US" w:eastAsia="zh-CN"/>
        </w:rPr>
        <w:t>31.85</w:t>
      </w:r>
      <w:r>
        <w:rPr>
          <w:rFonts w:hint="eastAsia" w:ascii="仿宋" w:hAnsi="仿宋" w:eastAsia="仿宋"/>
          <w:sz w:val="32"/>
          <w:szCs w:val="32"/>
        </w:rPr>
        <w:t>元，所以，收入，支出增长较大。</w:t>
      </w:r>
    </w:p>
    <w:p>
      <w:pPr>
        <w:pStyle w:val="2"/>
        <w:spacing w:before="93"/>
      </w:pPr>
      <w:r>
        <w:drawing>
          <wp:inline distT="0" distB="0" distL="114300" distR="114300">
            <wp:extent cx="5270500" cy="3080385"/>
            <wp:effectExtent l="38735" t="18415" r="43815" b="63500"/>
            <wp:docPr id="19"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pPr>
        <w:spacing w:line="600" w:lineRule="exact"/>
        <w:ind w:firstLine="640" w:firstLineChars="200"/>
        <w:rPr>
          <w:rFonts w:ascii="仿宋" w:hAnsi="仿宋" w:eastAsia="仿宋"/>
          <w:sz w:val="32"/>
          <w:szCs w:val="32"/>
        </w:rPr>
      </w:pPr>
    </w:p>
    <w:p>
      <w:pPr>
        <w:spacing w:line="600" w:lineRule="exact"/>
        <w:ind w:firstLine="640" w:firstLineChars="200"/>
        <w:rPr>
          <w:rFonts w:ascii="仿宋" w:hAnsi="仿宋" w:eastAsia="仿宋"/>
          <w:sz w:val="32"/>
          <w:szCs w:val="32"/>
        </w:rPr>
      </w:pPr>
      <w:r>
        <w:rPr>
          <w:rFonts w:hint="eastAsia" w:ascii="仿宋" w:hAnsi="仿宋" w:eastAsia="仿宋"/>
          <w:sz w:val="32"/>
          <w:szCs w:val="32"/>
        </w:rPr>
        <w:t>（图5：一般公共预算财政拨款支出决算变动情况）（柱状图）</w:t>
      </w:r>
    </w:p>
    <w:p>
      <w:pPr>
        <w:spacing w:line="600" w:lineRule="exact"/>
        <w:ind w:firstLine="640" w:firstLineChars="200"/>
        <w:rPr>
          <w:rFonts w:ascii="仿宋" w:hAnsi="仿宋" w:eastAsia="仿宋"/>
          <w:sz w:val="32"/>
          <w:szCs w:val="32"/>
        </w:rPr>
      </w:pPr>
    </w:p>
    <w:p>
      <w:pPr>
        <w:spacing w:line="600" w:lineRule="exact"/>
        <w:ind w:firstLine="643" w:firstLineChars="200"/>
        <w:outlineLvl w:val="2"/>
        <w:rPr>
          <w:rFonts w:ascii="仿宋" w:hAnsi="仿宋" w:eastAsia="仿宋"/>
          <w:b/>
          <w:sz w:val="32"/>
          <w:szCs w:val="32"/>
        </w:rPr>
      </w:pPr>
      <w:bookmarkStart w:id="31" w:name="_Toc15377211"/>
      <w:r>
        <w:rPr>
          <w:rFonts w:hint="eastAsia" w:ascii="仿宋" w:hAnsi="仿宋" w:eastAsia="仿宋"/>
          <w:b/>
          <w:sz w:val="32"/>
          <w:szCs w:val="32"/>
        </w:rPr>
        <w:t>（二）一般公共预算财政拨款支出决算结构情况</w:t>
      </w:r>
      <w:bookmarkEnd w:id="31"/>
    </w:p>
    <w:p>
      <w:pPr>
        <w:spacing w:line="600" w:lineRule="exact"/>
        <w:ind w:firstLine="640"/>
        <w:rPr>
          <w:rFonts w:ascii="仿宋" w:hAnsi="仿宋" w:eastAsia="仿宋"/>
          <w:sz w:val="32"/>
          <w:szCs w:val="32"/>
        </w:rPr>
      </w:pPr>
      <w:r>
        <w:rPr>
          <w:rFonts w:ascii="仿宋" w:hAnsi="仿宋" w:eastAsia="仿宋"/>
          <w:sz w:val="32"/>
          <w:szCs w:val="32"/>
        </w:rPr>
        <w:t>20</w:t>
      </w:r>
      <w:r>
        <w:rPr>
          <w:rFonts w:hint="eastAsia" w:ascii="仿宋" w:hAnsi="仿宋" w:eastAsia="仿宋"/>
          <w:sz w:val="32"/>
          <w:szCs w:val="32"/>
        </w:rPr>
        <w:t>21年一般公共预算财政拨款支出</w:t>
      </w:r>
      <w:r>
        <w:rPr>
          <w:rFonts w:hint="eastAsia" w:ascii="仿宋" w:hAnsi="仿宋" w:eastAsia="仿宋"/>
          <w:sz w:val="32"/>
          <w:szCs w:val="32"/>
          <w:lang w:val="en-US" w:eastAsia="zh-CN"/>
        </w:rPr>
        <w:t>298.78</w:t>
      </w:r>
      <w:r>
        <w:rPr>
          <w:rFonts w:hint="eastAsia" w:ascii="仿宋" w:hAnsi="仿宋" w:eastAsia="仿宋"/>
          <w:sz w:val="32"/>
          <w:szCs w:val="32"/>
        </w:rPr>
        <w:t>万元，主要用于以下方面</w:t>
      </w:r>
      <w:r>
        <w:rPr>
          <w:rFonts w:ascii="仿宋" w:hAnsi="仿宋" w:eastAsia="仿宋"/>
          <w:sz w:val="32"/>
          <w:szCs w:val="32"/>
        </w:rPr>
        <w:t>:</w:t>
      </w:r>
      <w:r>
        <w:rPr>
          <w:rFonts w:hint="eastAsia" w:ascii="仿宋" w:hAnsi="仿宋" w:eastAsia="仿宋"/>
          <w:b/>
          <w:sz w:val="32"/>
          <w:szCs w:val="32"/>
        </w:rPr>
        <w:t>一般公共服务（类）</w:t>
      </w:r>
      <w:r>
        <w:rPr>
          <w:rFonts w:hint="eastAsia" w:ascii="仿宋" w:hAnsi="仿宋" w:eastAsia="仿宋"/>
          <w:sz w:val="32"/>
          <w:szCs w:val="32"/>
        </w:rPr>
        <w:t>支出0万元，占0</w:t>
      </w:r>
      <w:r>
        <w:rPr>
          <w:rFonts w:ascii="仿宋" w:hAnsi="仿宋" w:eastAsia="仿宋"/>
          <w:sz w:val="32"/>
          <w:szCs w:val="32"/>
        </w:rPr>
        <w:t>%</w:t>
      </w:r>
      <w:r>
        <w:rPr>
          <w:rFonts w:hint="eastAsia" w:ascii="仿宋" w:hAnsi="仿宋" w:eastAsia="仿宋"/>
          <w:sz w:val="32"/>
          <w:szCs w:val="32"/>
        </w:rPr>
        <w:t>；</w:t>
      </w:r>
      <w:r>
        <w:rPr>
          <w:rFonts w:hint="eastAsia" w:ascii="仿宋" w:hAnsi="仿宋" w:eastAsia="仿宋"/>
          <w:b/>
          <w:sz w:val="32"/>
          <w:szCs w:val="32"/>
        </w:rPr>
        <w:t>教育支出（类）</w:t>
      </w:r>
      <w:r>
        <w:rPr>
          <w:rFonts w:hint="eastAsia" w:ascii="仿宋" w:hAnsi="仿宋" w:eastAsia="仿宋"/>
          <w:sz w:val="32"/>
          <w:szCs w:val="32"/>
          <w:lang w:val="en-US" w:eastAsia="zh-CN"/>
        </w:rPr>
        <w:t>286.35</w:t>
      </w:r>
      <w:r>
        <w:rPr>
          <w:rFonts w:hint="eastAsia" w:ascii="仿宋" w:hAnsi="仿宋" w:eastAsia="仿宋"/>
          <w:sz w:val="32"/>
          <w:szCs w:val="32"/>
        </w:rPr>
        <w:t>万元，占9</w:t>
      </w:r>
      <w:r>
        <w:rPr>
          <w:rFonts w:hint="eastAsia" w:ascii="仿宋" w:hAnsi="仿宋" w:eastAsia="仿宋"/>
          <w:sz w:val="32"/>
          <w:szCs w:val="32"/>
          <w:lang w:val="en-US" w:eastAsia="zh-CN"/>
        </w:rPr>
        <w:t>5.84</w:t>
      </w:r>
      <w:r>
        <w:rPr>
          <w:rFonts w:ascii="仿宋" w:hAnsi="仿宋" w:eastAsia="仿宋"/>
          <w:sz w:val="32"/>
          <w:szCs w:val="32"/>
        </w:rPr>
        <w:t>%</w:t>
      </w:r>
      <w:r>
        <w:rPr>
          <w:rFonts w:hint="eastAsia" w:ascii="仿宋" w:hAnsi="仿宋" w:eastAsia="仿宋"/>
          <w:sz w:val="32"/>
          <w:szCs w:val="32"/>
        </w:rPr>
        <w:t>；</w:t>
      </w:r>
      <w:r>
        <w:rPr>
          <w:rFonts w:hint="eastAsia" w:ascii="仿宋" w:hAnsi="仿宋" w:eastAsia="仿宋"/>
          <w:b/>
          <w:sz w:val="32"/>
          <w:szCs w:val="32"/>
        </w:rPr>
        <w:t>科学技术（类）</w:t>
      </w:r>
      <w:r>
        <w:rPr>
          <w:rFonts w:hint="eastAsia" w:ascii="仿宋" w:hAnsi="仿宋" w:eastAsia="仿宋"/>
          <w:sz w:val="32"/>
          <w:szCs w:val="32"/>
        </w:rPr>
        <w:t>支出0万元，占0</w:t>
      </w:r>
      <w:r>
        <w:rPr>
          <w:rFonts w:ascii="仿宋" w:hAnsi="仿宋" w:eastAsia="仿宋"/>
          <w:sz w:val="32"/>
          <w:szCs w:val="32"/>
        </w:rPr>
        <w:t>%</w:t>
      </w:r>
      <w:r>
        <w:rPr>
          <w:rFonts w:hint="eastAsia" w:ascii="仿宋" w:hAnsi="仿宋" w:eastAsia="仿宋"/>
          <w:sz w:val="32"/>
          <w:szCs w:val="32"/>
        </w:rPr>
        <w:t>；</w:t>
      </w:r>
      <w:r>
        <w:rPr>
          <w:rFonts w:hint="eastAsia" w:ascii="仿宋" w:hAnsi="仿宋" w:eastAsia="仿宋"/>
          <w:b/>
          <w:bCs/>
          <w:sz w:val="32"/>
          <w:szCs w:val="32"/>
        </w:rPr>
        <w:t>文化旅游体育与传媒（类）支出0万元，占0</w:t>
      </w:r>
      <w:r>
        <w:rPr>
          <w:rFonts w:ascii="仿宋" w:hAnsi="仿宋" w:eastAsia="仿宋"/>
          <w:b/>
          <w:bCs/>
          <w:sz w:val="32"/>
          <w:szCs w:val="32"/>
        </w:rPr>
        <w:t>%</w:t>
      </w:r>
      <w:r>
        <w:rPr>
          <w:rFonts w:hint="eastAsia" w:ascii="仿宋" w:hAnsi="仿宋" w:eastAsia="仿宋"/>
          <w:sz w:val="32"/>
          <w:szCs w:val="32"/>
        </w:rPr>
        <w:t>；</w:t>
      </w:r>
      <w:r>
        <w:rPr>
          <w:rFonts w:hint="eastAsia" w:ascii="仿宋" w:hAnsi="仿宋" w:eastAsia="仿宋"/>
          <w:b/>
          <w:sz w:val="32"/>
          <w:szCs w:val="32"/>
        </w:rPr>
        <w:t>社会保障和就业（类）</w:t>
      </w:r>
      <w:r>
        <w:rPr>
          <w:rFonts w:hint="eastAsia" w:ascii="仿宋" w:hAnsi="仿宋" w:eastAsia="仿宋"/>
          <w:sz w:val="32"/>
          <w:szCs w:val="32"/>
        </w:rPr>
        <w:t>支出</w:t>
      </w:r>
      <w:r>
        <w:rPr>
          <w:rFonts w:hint="eastAsia" w:ascii="仿宋" w:hAnsi="仿宋" w:eastAsia="仿宋"/>
          <w:sz w:val="32"/>
          <w:szCs w:val="32"/>
          <w:lang w:val="en-US" w:eastAsia="zh-CN"/>
        </w:rPr>
        <w:t>6,59</w:t>
      </w:r>
      <w:r>
        <w:rPr>
          <w:rFonts w:hint="eastAsia" w:ascii="仿宋" w:hAnsi="仿宋" w:eastAsia="仿宋"/>
          <w:sz w:val="32"/>
          <w:szCs w:val="32"/>
        </w:rPr>
        <w:t>万元，占</w:t>
      </w:r>
      <w:r>
        <w:rPr>
          <w:rFonts w:hint="eastAsia" w:ascii="仿宋" w:hAnsi="仿宋" w:eastAsia="仿宋"/>
          <w:sz w:val="32"/>
          <w:szCs w:val="32"/>
          <w:lang w:val="en-US" w:eastAsia="zh-CN"/>
        </w:rPr>
        <w:t>2.21</w:t>
      </w:r>
      <w:r>
        <w:rPr>
          <w:rFonts w:ascii="仿宋" w:hAnsi="仿宋" w:eastAsia="仿宋"/>
          <w:sz w:val="32"/>
          <w:szCs w:val="32"/>
        </w:rPr>
        <w:t>%</w:t>
      </w:r>
      <w:r>
        <w:rPr>
          <w:rFonts w:hint="eastAsia" w:ascii="仿宋" w:hAnsi="仿宋" w:eastAsia="仿宋"/>
          <w:sz w:val="32"/>
          <w:szCs w:val="32"/>
        </w:rPr>
        <w:t>；</w:t>
      </w:r>
      <w:r>
        <w:rPr>
          <w:rFonts w:hint="eastAsia" w:ascii="仿宋" w:hAnsi="仿宋" w:eastAsia="仿宋"/>
          <w:b/>
          <w:bCs/>
          <w:sz w:val="32"/>
          <w:szCs w:val="32"/>
        </w:rPr>
        <w:t>卫生健康支出</w:t>
      </w:r>
      <w:r>
        <w:rPr>
          <w:rFonts w:hint="eastAsia" w:ascii="仿宋" w:hAnsi="仿宋" w:eastAsia="仿宋"/>
          <w:sz w:val="32"/>
          <w:szCs w:val="32"/>
          <w:lang w:val="en-US" w:eastAsia="zh-CN"/>
        </w:rPr>
        <w:t>1.69</w:t>
      </w:r>
      <w:r>
        <w:rPr>
          <w:rFonts w:hint="eastAsia" w:ascii="仿宋" w:hAnsi="仿宋" w:eastAsia="仿宋"/>
          <w:sz w:val="32"/>
          <w:szCs w:val="32"/>
        </w:rPr>
        <w:t>万元，占</w:t>
      </w:r>
      <w:r>
        <w:rPr>
          <w:rFonts w:hint="eastAsia" w:ascii="仿宋" w:hAnsi="仿宋" w:eastAsia="仿宋"/>
          <w:sz w:val="32"/>
          <w:szCs w:val="32"/>
          <w:lang w:val="en-US" w:eastAsia="zh-CN"/>
        </w:rPr>
        <w:t>0.57</w:t>
      </w:r>
      <w:r>
        <w:rPr>
          <w:rFonts w:ascii="仿宋" w:hAnsi="仿宋" w:eastAsia="仿宋"/>
          <w:sz w:val="32"/>
          <w:szCs w:val="32"/>
        </w:rPr>
        <w:t>%</w:t>
      </w:r>
      <w:r>
        <w:rPr>
          <w:rFonts w:hint="eastAsia" w:ascii="仿宋" w:hAnsi="仿宋" w:eastAsia="仿宋"/>
          <w:sz w:val="32"/>
          <w:szCs w:val="32"/>
        </w:rPr>
        <w:t>；住房保障支出</w:t>
      </w:r>
      <w:r>
        <w:rPr>
          <w:rFonts w:hint="eastAsia" w:ascii="仿宋" w:hAnsi="仿宋" w:eastAsia="仿宋"/>
          <w:sz w:val="32"/>
          <w:szCs w:val="32"/>
          <w:lang w:val="en-US" w:eastAsia="zh-CN"/>
        </w:rPr>
        <w:t>4.14</w:t>
      </w:r>
      <w:r>
        <w:rPr>
          <w:rFonts w:hint="eastAsia" w:ascii="仿宋" w:hAnsi="仿宋" w:eastAsia="仿宋"/>
          <w:sz w:val="32"/>
          <w:szCs w:val="32"/>
        </w:rPr>
        <w:t>万元，占</w:t>
      </w:r>
      <w:r>
        <w:rPr>
          <w:rFonts w:hint="eastAsia" w:ascii="仿宋" w:hAnsi="仿宋" w:eastAsia="仿宋"/>
          <w:sz w:val="32"/>
          <w:szCs w:val="32"/>
          <w:lang w:val="en-US" w:eastAsia="zh-CN"/>
        </w:rPr>
        <w:t>1.38</w:t>
      </w:r>
      <w:r>
        <w:rPr>
          <w:rFonts w:ascii="仿宋" w:hAnsi="仿宋" w:eastAsia="仿宋"/>
          <w:sz w:val="32"/>
          <w:szCs w:val="32"/>
        </w:rPr>
        <w:t>%</w:t>
      </w:r>
      <w:r>
        <w:rPr>
          <w:rFonts w:hint="eastAsia" w:ascii="仿宋" w:hAnsi="仿宋" w:eastAsia="仿宋"/>
          <w:sz w:val="32"/>
          <w:szCs w:val="32"/>
        </w:rPr>
        <w:t>。</w:t>
      </w:r>
    </w:p>
    <w:p>
      <w:pPr>
        <w:pStyle w:val="2"/>
        <w:spacing w:before="93"/>
      </w:pPr>
      <w:r>
        <w:drawing>
          <wp:inline distT="0" distB="0" distL="114300" distR="114300">
            <wp:extent cx="5269230" cy="3395345"/>
            <wp:effectExtent l="38735" t="18415" r="45085" b="72390"/>
            <wp:docPr id="20"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pPr>
        <w:spacing w:line="600" w:lineRule="exact"/>
        <w:ind w:firstLine="640" w:firstLineChars="200"/>
        <w:rPr>
          <w:rFonts w:ascii="仿宋" w:hAnsi="仿宋" w:eastAsia="仿宋"/>
          <w:sz w:val="32"/>
          <w:szCs w:val="32"/>
        </w:rPr>
      </w:pPr>
      <w:r>
        <w:rPr>
          <w:rFonts w:hint="eastAsia" w:ascii="仿宋" w:hAnsi="仿宋" w:eastAsia="仿宋"/>
          <w:sz w:val="32"/>
          <w:szCs w:val="32"/>
        </w:rPr>
        <w:t>（图6：一般公共预算财政拨款支出决算结构）（饼状图）</w:t>
      </w:r>
    </w:p>
    <w:p>
      <w:pPr>
        <w:spacing w:line="600" w:lineRule="exact"/>
        <w:ind w:firstLine="640" w:firstLineChars="200"/>
        <w:rPr>
          <w:rFonts w:ascii="仿宋" w:hAnsi="仿宋" w:eastAsia="仿宋"/>
          <w:sz w:val="32"/>
          <w:szCs w:val="32"/>
        </w:rPr>
      </w:pPr>
    </w:p>
    <w:p>
      <w:pPr>
        <w:spacing w:line="600" w:lineRule="exact"/>
        <w:ind w:firstLine="643" w:firstLineChars="200"/>
        <w:outlineLvl w:val="2"/>
        <w:rPr>
          <w:rFonts w:ascii="仿宋" w:hAnsi="仿宋" w:eastAsia="仿宋"/>
          <w:b/>
          <w:sz w:val="32"/>
          <w:szCs w:val="32"/>
        </w:rPr>
      </w:pPr>
      <w:bookmarkStart w:id="32" w:name="_Toc15377212"/>
      <w:r>
        <w:rPr>
          <w:rFonts w:hint="eastAsia" w:ascii="仿宋" w:hAnsi="仿宋" w:eastAsia="仿宋"/>
          <w:b/>
          <w:sz w:val="32"/>
          <w:szCs w:val="32"/>
        </w:rPr>
        <w:t>（三）一般公共预算财政拨款支出决算具体情况</w:t>
      </w:r>
      <w:bookmarkEnd w:id="32"/>
    </w:p>
    <w:p>
      <w:pPr>
        <w:spacing w:line="600" w:lineRule="exact"/>
        <w:ind w:firstLine="643" w:firstLineChars="200"/>
        <w:outlineLvl w:val="2"/>
        <w:rPr>
          <w:rFonts w:ascii="仿宋" w:hAnsi="仿宋" w:eastAsia="仿宋"/>
          <w:sz w:val="32"/>
          <w:szCs w:val="32"/>
        </w:rPr>
      </w:pPr>
      <w:bookmarkStart w:id="33" w:name="_Toc15377444"/>
      <w:bookmarkStart w:id="34" w:name="_Toc15377213"/>
      <w:bookmarkStart w:id="35" w:name="_Toc15378460"/>
      <w:r>
        <w:rPr>
          <w:rFonts w:hint="eastAsia" w:ascii="仿宋" w:hAnsi="仿宋" w:eastAsia="仿宋"/>
          <w:b/>
          <w:sz w:val="32"/>
          <w:szCs w:val="32"/>
        </w:rPr>
        <w:t>2021年一般公共预算支出决算数为</w:t>
      </w:r>
      <w:r>
        <w:rPr>
          <w:rFonts w:hint="eastAsia" w:ascii="仿宋" w:hAnsi="仿宋" w:eastAsia="仿宋"/>
          <w:b/>
          <w:sz w:val="32"/>
          <w:szCs w:val="32"/>
          <w:lang w:val="en-US" w:eastAsia="zh-CN"/>
        </w:rPr>
        <w:t>298.78</w:t>
      </w:r>
      <w:r>
        <w:rPr>
          <w:rFonts w:hint="eastAsia" w:ascii="仿宋" w:hAnsi="仿宋" w:eastAsia="仿宋"/>
          <w:sz w:val="32"/>
          <w:szCs w:val="32"/>
        </w:rPr>
        <w:t>，</w:t>
      </w:r>
      <w:r>
        <w:rPr>
          <w:rStyle w:val="14"/>
          <w:rFonts w:hint="eastAsia" w:ascii="仿宋" w:hAnsi="仿宋" w:eastAsia="仿宋"/>
          <w:bCs/>
          <w:sz w:val="32"/>
          <w:szCs w:val="32"/>
        </w:rPr>
        <w:t>完成预算100</w:t>
      </w:r>
      <w:r>
        <w:rPr>
          <w:rStyle w:val="14"/>
          <w:rFonts w:ascii="仿宋" w:hAnsi="仿宋" w:eastAsia="仿宋"/>
          <w:bCs/>
          <w:sz w:val="32"/>
          <w:szCs w:val="32"/>
        </w:rPr>
        <w:t>%</w:t>
      </w:r>
      <w:r>
        <w:rPr>
          <w:rStyle w:val="14"/>
          <w:rFonts w:hint="eastAsia" w:ascii="仿宋" w:hAnsi="仿宋" w:eastAsia="仿宋"/>
          <w:bCs/>
          <w:sz w:val="32"/>
          <w:szCs w:val="32"/>
        </w:rPr>
        <w:t>。其中：</w:t>
      </w:r>
      <w:bookmarkEnd w:id="33"/>
      <w:bookmarkEnd w:id="34"/>
      <w:bookmarkEnd w:id="35"/>
    </w:p>
    <w:p>
      <w:pPr>
        <w:spacing w:line="600" w:lineRule="exact"/>
        <w:ind w:firstLine="643" w:firstLineChars="200"/>
        <w:rPr>
          <w:rFonts w:ascii="仿宋" w:hAnsi="仿宋" w:eastAsia="仿宋"/>
          <w:b/>
          <w:sz w:val="32"/>
          <w:szCs w:val="32"/>
        </w:rPr>
      </w:pPr>
      <w:r>
        <w:rPr>
          <w:rStyle w:val="14"/>
          <w:rFonts w:hint="eastAsia" w:ascii="仿宋" w:hAnsi="仿宋" w:eastAsia="仿宋"/>
          <w:bCs/>
          <w:sz w:val="32"/>
          <w:szCs w:val="32"/>
        </w:rPr>
        <w:t>1</w:t>
      </w:r>
      <w:r>
        <w:rPr>
          <w:rStyle w:val="14"/>
          <w:rFonts w:ascii="仿宋" w:hAnsi="仿宋" w:eastAsia="仿宋"/>
          <w:bCs/>
          <w:sz w:val="32"/>
          <w:szCs w:val="32"/>
        </w:rPr>
        <w:t>.</w:t>
      </w:r>
      <w:r>
        <w:rPr>
          <w:rStyle w:val="14"/>
          <w:rFonts w:hint="eastAsia" w:ascii="仿宋" w:hAnsi="仿宋" w:eastAsia="仿宋"/>
          <w:bCs/>
          <w:sz w:val="32"/>
          <w:szCs w:val="32"/>
        </w:rPr>
        <w:t>教育（类）教育支出（款）学前教育（项）</w:t>
      </w:r>
      <w:r>
        <w:rPr>
          <w:rStyle w:val="14"/>
          <w:rFonts w:ascii="仿宋" w:hAnsi="仿宋" w:eastAsia="仿宋"/>
          <w:bCs/>
          <w:sz w:val="32"/>
          <w:szCs w:val="32"/>
        </w:rPr>
        <w:t>:</w:t>
      </w:r>
      <w:r>
        <w:rPr>
          <w:rStyle w:val="14"/>
          <w:rFonts w:hint="eastAsia" w:ascii="仿宋" w:hAnsi="仿宋" w:eastAsia="仿宋"/>
          <w:b w:val="0"/>
          <w:bCs/>
          <w:sz w:val="32"/>
          <w:szCs w:val="32"/>
        </w:rPr>
        <w:t>支出决算为</w:t>
      </w:r>
      <w:r>
        <w:rPr>
          <w:rStyle w:val="14"/>
          <w:rFonts w:hint="eastAsia" w:ascii="仿宋" w:hAnsi="仿宋" w:eastAsia="仿宋"/>
          <w:b w:val="0"/>
          <w:bCs/>
          <w:sz w:val="32"/>
          <w:szCs w:val="32"/>
          <w:lang w:val="en-US" w:eastAsia="zh-CN"/>
        </w:rPr>
        <w:t>286.36</w:t>
      </w:r>
      <w:r>
        <w:rPr>
          <w:rStyle w:val="14"/>
          <w:rFonts w:hint="eastAsia" w:ascii="仿宋" w:hAnsi="仿宋" w:eastAsia="仿宋"/>
          <w:b w:val="0"/>
          <w:bCs/>
          <w:sz w:val="32"/>
          <w:szCs w:val="32"/>
        </w:rPr>
        <w:t>万元，完成预算100</w:t>
      </w:r>
      <w:r>
        <w:rPr>
          <w:rStyle w:val="14"/>
          <w:rFonts w:ascii="仿宋" w:hAnsi="仿宋" w:eastAsia="仿宋"/>
          <w:b w:val="0"/>
          <w:bCs/>
          <w:sz w:val="32"/>
          <w:szCs w:val="32"/>
        </w:rPr>
        <w:t>%</w:t>
      </w:r>
      <w:r>
        <w:rPr>
          <w:rStyle w:val="14"/>
          <w:rFonts w:hint="eastAsia" w:ascii="仿宋" w:hAnsi="仿宋" w:eastAsia="仿宋"/>
          <w:b w:val="0"/>
          <w:bCs/>
          <w:sz w:val="32"/>
          <w:szCs w:val="32"/>
        </w:rPr>
        <w:t>。</w:t>
      </w:r>
    </w:p>
    <w:p>
      <w:pPr>
        <w:spacing w:line="600" w:lineRule="exact"/>
        <w:ind w:firstLine="643" w:firstLineChars="200"/>
        <w:rPr>
          <w:rStyle w:val="14"/>
          <w:rFonts w:ascii="仿宋" w:hAnsi="仿宋" w:eastAsia="仿宋"/>
          <w:b w:val="0"/>
          <w:bCs/>
          <w:sz w:val="32"/>
          <w:szCs w:val="32"/>
        </w:rPr>
      </w:pPr>
      <w:r>
        <w:rPr>
          <w:rStyle w:val="14"/>
          <w:rFonts w:hint="eastAsia" w:ascii="仿宋" w:hAnsi="仿宋" w:eastAsia="仿宋"/>
          <w:bCs/>
          <w:sz w:val="32"/>
          <w:szCs w:val="32"/>
        </w:rPr>
        <w:t>2</w:t>
      </w:r>
      <w:r>
        <w:rPr>
          <w:rStyle w:val="14"/>
          <w:rFonts w:ascii="仿宋" w:hAnsi="仿宋" w:eastAsia="仿宋"/>
          <w:bCs/>
          <w:sz w:val="32"/>
          <w:szCs w:val="32"/>
        </w:rPr>
        <w:t>.</w:t>
      </w:r>
      <w:r>
        <w:rPr>
          <w:rStyle w:val="14"/>
          <w:rFonts w:hint="eastAsia" w:ascii="仿宋" w:hAnsi="仿宋" w:eastAsia="仿宋"/>
          <w:bCs/>
          <w:sz w:val="32"/>
          <w:szCs w:val="32"/>
        </w:rPr>
        <w:t>社会保障和就业（类）行政事业单位养老支出（款）机关事业单位职业年金（项）</w:t>
      </w:r>
      <w:r>
        <w:rPr>
          <w:rStyle w:val="14"/>
          <w:rFonts w:ascii="仿宋" w:hAnsi="仿宋" w:eastAsia="仿宋"/>
          <w:bCs/>
          <w:sz w:val="32"/>
          <w:szCs w:val="32"/>
        </w:rPr>
        <w:t>:</w:t>
      </w:r>
      <w:r>
        <w:rPr>
          <w:rStyle w:val="14"/>
          <w:rFonts w:hint="eastAsia" w:ascii="仿宋" w:hAnsi="仿宋" w:eastAsia="仿宋"/>
          <w:b w:val="0"/>
          <w:bCs/>
          <w:sz w:val="32"/>
          <w:szCs w:val="32"/>
        </w:rPr>
        <w:t>支出决算为</w:t>
      </w:r>
      <w:r>
        <w:rPr>
          <w:rStyle w:val="14"/>
          <w:rFonts w:hint="eastAsia" w:ascii="仿宋" w:hAnsi="仿宋" w:eastAsia="仿宋"/>
          <w:b w:val="0"/>
          <w:bCs/>
          <w:sz w:val="32"/>
          <w:szCs w:val="32"/>
          <w:lang w:val="en-US" w:eastAsia="zh-CN"/>
        </w:rPr>
        <w:t>2.07</w:t>
      </w:r>
      <w:r>
        <w:rPr>
          <w:rStyle w:val="14"/>
          <w:rFonts w:hint="eastAsia" w:ascii="仿宋" w:hAnsi="仿宋" w:eastAsia="仿宋"/>
          <w:b w:val="0"/>
          <w:bCs/>
          <w:sz w:val="32"/>
          <w:szCs w:val="32"/>
        </w:rPr>
        <w:t>万元，完成预算100</w:t>
      </w:r>
      <w:r>
        <w:rPr>
          <w:rStyle w:val="14"/>
          <w:rFonts w:ascii="仿宋" w:hAnsi="仿宋" w:eastAsia="仿宋"/>
          <w:b w:val="0"/>
          <w:bCs/>
          <w:sz w:val="32"/>
          <w:szCs w:val="32"/>
        </w:rPr>
        <w:t>%</w:t>
      </w:r>
      <w:r>
        <w:rPr>
          <w:rStyle w:val="14"/>
          <w:rFonts w:hint="eastAsia" w:ascii="仿宋" w:hAnsi="仿宋" w:eastAsia="仿宋"/>
          <w:b w:val="0"/>
          <w:bCs/>
          <w:sz w:val="32"/>
          <w:szCs w:val="32"/>
        </w:rPr>
        <w:t>。</w:t>
      </w:r>
    </w:p>
    <w:p>
      <w:pPr>
        <w:spacing w:line="600" w:lineRule="exact"/>
        <w:ind w:firstLine="643" w:firstLineChars="200"/>
        <w:rPr>
          <w:rFonts w:ascii="仿宋" w:hAnsi="仿宋" w:eastAsia="仿宋"/>
          <w:b/>
          <w:sz w:val="32"/>
          <w:szCs w:val="32"/>
        </w:rPr>
      </w:pPr>
      <w:r>
        <w:rPr>
          <w:rStyle w:val="14"/>
          <w:rFonts w:hint="eastAsia" w:ascii="仿宋" w:hAnsi="仿宋" w:eastAsia="仿宋"/>
          <w:bCs/>
          <w:sz w:val="32"/>
          <w:szCs w:val="32"/>
        </w:rPr>
        <w:t>3</w:t>
      </w:r>
      <w:r>
        <w:rPr>
          <w:rStyle w:val="14"/>
          <w:rFonts w:ascii="仿宋" w:hAnsi="仿宋" w:eastAsia="仿宋"/>
          <w:bCs/>
          <w:sz w:val="32"/>
          <w:szCs w:val="32"/>
        </w:rPr>
        <w:t>.</w:t>
      </w:r>
      <w:r>
        <w:rPr>
          <w:rStyle w:val="14"/>
          <w:rFonts w:hint="eastAsia" w:ascii="仿宋" w:hAnsi="仿宋" w:eastAsia="仿宋"/>
          <w:bCs/>
          <w:sz w:val="32"/>
          <w:szCs w:val="32"/>
        </w:rPr>
        <w:t>社会保障和就业（类）残疾人事业（款）其他残疾人事业（项）</w:t>
      </w:r>
      <w:r>
        <w:rPr>
          <w:rStyle w:val="14"/>
          <w:rFonts w:ascii="仿宋" w:hAnsi="仿宋" w:eastAsia="仿宋"/>
          <w:bCs/>
          <w:sz w:val="32"/>
          <w:szCs w:val="32"/>
        </w:rPr>
        <w:t>:</w:t>
      </w:r>
      <w:r>
        <w:rPr>
          <w:rStyle w:val="14"/>
          <w:rFonts w:hint="eastAsia" w:ascii="仿宋" w:hAnsi="仿宋" w:eastAsia="仿宋"/>
          <w:b w:val="0"/>
          <w:bCs/>
          <w:sz w:val="32"/>
          <w:szCs w:val="32"/>
        </w:rPr>
        <w:t>支出决算为</w:t>
      </w:r>
      <w:r>
        <w:rPr>
          <w:rStyle w:val="14"/>
          <w:rFonts w:hint="eastAsia" w:ascii="仿宋" w:hAnsi="仿宋" w:eastAsia="仿宋"/>
          <w:b w:val="0"/>
          <w:bCs/>
          <w:sz w:val="32"/>
          <w:szCs w:val="32"/>
          <w:lang w:val="en-US" w:eastAsia="zh-CN"/>
        </w:rPr>
        <w:t>0.37</w:t>
      </w:r>
      <w:r>
        <w:rPr>
          <w:rStyle w:val="14"/>
          <w:rFonts w:hint="eastAsia" w:ascii="仿宋" w:hAnsi="仿宋" w:eastAsia="仿宋"/>
          <w:b w:val="0"/>
          <w:bCs/>
          <w:sz w:val="32"/>
          <w:szCs w:val="32"/>
        </w:rPr>
        <w:t>万元，完成预算100</w:t>
      </w:r>
      <w:r>
        <w:rPr>
          <w:rStyle w:val="14"/>
          <w:rFonts w:ascii="仿宋" w:hAnsi="仿宋" w:eastAsia="仿宋"/>
          <w:b w:val="0"/>
          <w:bCs/>
          <w:sz w:val="32"/>
          <w:szCs w:val="32"/>
        </w:rPr>
        <w:t>%</w:t>
      </w:r>
      <w:r>
        <w:rPr>
          <w:rStyle w:val="14"/>
          <w:rFonts w:hint="eastAsia" w:ascii="仿宋" w:hAnsi="仿宋" w:eastAsia="仿宋"/>
          <w:b w:val="0"/>
          <w:bCs/>
          <w:sz w:val="32"/>
          <w:szCs w:val="32"/>
        </w:rPr>
        <w:t>。</w:t>
      </w:r>
    </w:p>
    <w:p>
      <w:pPr>
        <w:spacing w:line="600" w:lineRule="exact"/>
        <w:ind w:firstLine="643" w:firstLineChars="200"/>
        <w:rPr>
          <w:rFonts w:ascii="仿宋" w:hAnsi="仿宋" w:eastAsia="仿宋"/>
          <w:b/>
          <w:sz w:val="32"/>
          <w:szCs w:val="32"/>
        </w:rPr>
      </w:pPr>
      <w:r>
        <w:rPr>
          <w:rStyle w:val="14"/>
          <w:rFonts w:hint="eastAsia" w:ascii="仿宋" w:hAnsi="仿宋" w:eastAsia="仿宋"/>
          <w:bCs/>
          <w:sz w:val="32"/>
          <w:szCs w:val="32"/>
        </w:rPr>
        <w:t>4</w:t>
      </w:r>
      <w:r>
        <w:rPr>
          <w:rStyle w:val="14"/>
          <w:rFonts w:ascii="仿宋" w:hAnsi="仿宋" w:eastAsia="仿宋"/>
          <w:bCs/>
          <w:sz w:val="32"/>
          <w:szCs w:val="32"/>
        </w:rPr>
        <w:t>.</w:t>
      </w:r>
      <w:r>
        <w:rPr>
          <w:rStyle w:val="14"/>
          <w:rFonts w:hint="eastAsia" w:ascii="仿宋" w:hAnsi="仿宋" w:eastAsia="仿宋"/>
          <w:bCs/>
          <w:sz w:val="32"/>
          <w:szCs w:val="32"/>
        </w:rPr>
        <w:t>社会保障和就业（类）行政事业单位养老支出（款）机关事业单位基本养老保险（项）</w:t>
      </w:r>
      <w:r>
        <w:rPr>
          <w:rStyle w:val="14"/>
          <w:rFonts w:ascii="仿宋" w:hAnsi="仿宋" w:eastAsia="仿宋"/>
          <w:bCs/>
          <w:sz w:val="32"/>
          <w:szCs w:val="32"/>
        </w:rPr>
        <w:t>:</w:t>
      </w:r>
      <w:r>
        <w:rPr>
          <w:rStyle w:val="14"/>
          <w:rFonts w:hint="eastAsia" w:ascii="仿宋" w:hAnsi="仿宋" w:eastAsia="仿宋"/>
          <w:b w:val="0"/>
          <w:bCs/>
          <w:sz w:val="32"/>
          <w:szCs w:val="32"/>
        </w:rPr>
        <w:t>支出决算为</w:t>
      </w:r>
      <w:r>
        <w:rPr>
          <w:rStyle w:val="14"/>
          <w:rFonts w:hint="eastAsia" w:ascii="仿宋" w:hAnsi="仿宋" w:eastAsia="仿宋"/>
          <w:b w:val="0"/>
          <w:bCs/>
          <w:sz w:val="32"/>
          <w:szCs w:val="32"/>
          <w:lang w:val="en-US" w:eastAsia="zh-CN"/>
        </w:rPr>
        <w:t>4.14</w:t>
      </w:r>
      <w:r>
        <w:rPr>
          <w:rStyle w:val="14"/>
          <w:rFonts w:hint="eastAsia" w:ascii="仿宋" w:hAnsi="仿宋" w:eastAsia="仿宋"/>
          <w:b w:val="0"/>
          <w:bCs/>
          <w:sz w:val="32"/>
          <w:szCs w:val="32"/>
        </w:rPr>
        <w:t>万元，完成预算100</w:t>
      </w:r>
      <w:r>
        <w:rPr>
          <w:rStyle w:val="14"/>
          <w:rFonts w:ascii="仿宋" w:hAnsi="仿宋" w:eastAsia="仿宋"/>
          <w:b w:val="0"/>
          <w:bCs/>
          <w:sz w:val="32"/>
          <w:szCs w:val="32"/>
        </w:rPr>
        <w:t>%</w:t>
      </w:r>
      <w:r>
        <w:rPr>
          <w:rStyle w:val="14"/>
          <w:rFonts w:hint="eastAsia" w:ascii="仿宋" w:hAnsi="仿宋" w:eastAsia="仿宋"/>
          <w:b w:val="0"/>
          <w:bCs/>
          <w:sz w:val="32"/>
          <w:szCs w:val="32"/>
        </w:rPr>
        <w:t>。</w:t>
      </w:r>
    </w:p>
    <w:p>
      <w:pPr>
        <w:spacing w:line="600" w:lineRule="exact"/>
        <w:ind w:firstLine="643" w:firstLineChars="200"/>
        <w:rPr>
          <w:rStyle w:val="14"/>
          <w:rFonts w:ascii="仿宋" w:hAnsi="仿宋" w:eastAsia="仿宋"/>
          <w:b w:val="0"/>
          <w:bCs/>
          <w:sz w:val="32"/>
          <w:szCs w:val="32"/>
        </w:rPr>
      </w:pPr>
      <w:r>
        <w:rPr>
          <w:rStyle w:val="14"/>
          <w:rFonts w:hint="eastAsia" w:ascii="仿宋" w:hAnsi="仿宋" w:eastAsia="仿宋"/>
          <w:bCs/>
          <w:sz w:val="32"/>
          <w:szCs w:val="32"/>
        </w:rPr>
        <w:t>5</w:t>
      </w:r>
      <w:r>
        <w:rPr>
          <w:rStyle w:val="14"/>
          <w:rFonts w:ascii="仿宋" w:hAnsi="仿宋" w:eastAsia="仿宋"/>
          <w:bCs/>
          <w:sz w:val="32"/>
          <w:szCs w:val="32"/>
        </w:rPr>
        <w:t>.</w:t>
      </w:r>
      <w:r>
        <w:rPr>
          <w:rFonts w:hint="eastAsia" w:ascii="仿宋" w:hAnsi="仿宋" w:eastAsia="仿宋"/>
          <w:b/>
          <w:bCs/>
          <w:sz w:val="32"/>
          <w:szCs w:val="32"/>
        </w:rPr>
        <w:t>卫生健康</w:t>
      </w:r>
      <w:r>
        <w:rPr>
          <w:rStyle w:val="14"/>
          <w:rFonts w:hint="eastAsia" w:ascii="仿宋" w:hAnsi="仿宋" w:eastAsia="仿宋"/>
          <w:bCs/>
          <w:sz w:val="32"/>
          <w:szCs w:val="32"/>
        </w:rPr>
        <w:t>（类）行政事业单位医疗（款）事业单位医疗（项）</w:t>
      </w:r>
      <w:r>
        <w:rPr>
          <w:rStyle w:val="14"/>
          <w:rFonts w:ascii="仿宋" w:hAnsi="仿宋" w:eastAsia="仿宋"/>
          <w:bCs/>
          <w:sz w:val="32"/>
          <w:szCs w:val="32"/>
        </w:rPr>
        <w:t>:</w:t>
      </w:r>
      <w:r>
        <w:rPr>
          <w:rStyle w:val="14"/>
          <w:rFonts w:hint="eastAsia" w:ascii="仿宋" w:hAnsi="仿宋" w:eastAsia="仿宋"/>
          <w:b w:val="0"/>
          <w:bCs/>
          <w:sz w:val="32"/>
          <w:szCs w:val="32"/>
        </w:rPr>
        <w:t>支出决算为</w:t>
      </w:r>
      <w:r>
        <w:rPr>
          <w:rStyle w:val="14"/>
          <w:rFonts w:hint="eastAsia" w:ascii="仿宋" w:hAnsi="仿宋" w:eastAsia="仿宋"/>
          <w:b w:val="0"/>
          <w:bCs/>
          <w:sz w:val="32"/>
          <w:szCs w:val="32"/>
          <w:lang w:val="en-US" w:eastAsia="zh-CN"/>
        </w:rPr>
        <w:t>1.69</w:t>
      </w:r>
      <w:r>
        <w:rPr>
          <w:rStyle w:val="14"/>
          <w:rFonts w:hint="eastAsia" w:ascii="仿宋" w:hAnsi="仿宋" w:eastAsia="仿宋"/>
          <w:b w:val="0"/>
          <w:bCs/>
          <w:sz w:val="32"/>
          <w:szCs w:val="32"/>
        </w:rPr>
        <w:t>万元，完成预算100</w:t>
      </w:r>
      <w:r>
        <w:rPr>
          <w:rStyle w:val="14"/>
          <w:rFonts w:ascii="仿宋" w:hAnsi="仿宋" w:eastAsia="仿宋"/>
          <w:b w:val="0"/>
          <w:bCs/>
          <w:sz w:val="32"/>
          <w:szCs w:val="32"/>
        </w:rPr>
        <w:t>%</w:t>
      </w:r>
      <w:r>
        <w:rPr>
          <w:rStyle w:val="14"/>
          <w:rFonts w:hint="eastAsia" w:ascii="仿宋" w:hAnsi="仿宋" w:eastAsia="仿宋"/>
          <w:b w:val="0"/>
          <w:bCs/>
          <w:sz w:val="32"/>
          <w:szCs w:val="32"/>
        </w:rPr>
        <w:t>。</w:t>
      </w:r>
    </w:p>
    <w:p>
      <w:pPr>
        <w:spacing w:line="600" w:lineRule="exact"/>
        <w:ind w:firstLine="643" w:firstLineChars="200"/>
      </w:pPr>
      <w:r>
        <w:rPr>
          <w:rStyle w:val="14"/>
          <w:rFonts w:hint="eastAsia" w:ascii="仿宋" w:hAnsi="仿宋" w:eastAsia="仿宋"/>
          <w:bCs/>
          <w:sz w:val="32"/>
          <w:szCs w:val="32"/>
        </w:rPr>
        <w:t>6</w:t>
      </w:r>
      <w:r>
        <w:rPr>
          <w:rStyle w:val="14"/>
          <w:rFonts w:ascii="仿宋" w:hAnsi="仿宋" w:eastAsia="仿宋"/>
          <w:bCs/>
          <w:sz w:val="32"/>
          <w:szCs w:val="32"/>
        </w:rPr>
        <w:t>.</w:t>
      </w:r>
      <w:r>
        <w:rPr>
          <w:rFonts w:hint="eastAsia" w:ascii="仿宋" w:hAnsi="仿宋" w:eastAsia="仿宋"/>
          <w:b/>
          <w:bCs/>
          <w:color w:val="000000"/>
          <w:sz w:val="32"/>
          <w:szCs w:val="32"/>
        </w:rPr>
        <w:t>住房保障支出</w:t>
      </w:r>
      <w:r>
        <w:rPr>
          <w:rStyle w:val="14"/>
          <w:rFonts w:hint="eastAsia" w:ascii="仿宋" w:hAnsi="仿宋" w:eastAsia="仿宋"/>
          <w:bCs/>
          <w:color w:val="000000"/>
          <w:sz w:val="32"/>
          <w:szCs w:val="32"/>
        </w:rPr>
        <w:t>（类）住房改革支出（款）住房公积金（项）</w:t>
      </w:r>
      <w:r>
        <w:rPr>
          <w:rStyle w:val="14"/>
          <w:rFonts w:ascii="仿宋" w:hAnsi="仿宋" w:eastAsia="仿宋"/>
          <w:bCs/>
          <w:sz w:val="32"/>
          <w:szCs w:val="32"/>
        </w:rPr>
        <w:t>:</w:t>
      </w:r>
      <w:r>
        <w:rPr>
          <w:rStyle w:val="14"/>
          <w:rFonts w:hint="eastAsia" w:ascii="仿宋" w:hAnsi="仿宋" w:eastAsia="仿宋"/>
          <w:b w:val="0"/>
          <w:bCs/>
          <w:sz w:val="32"/>
          <w:szCs w:val="32"/>
        </w:rPr>
        <w:t>支出决算为</w:t>
      </w:r>
      <w:r>
        <w:rPr>
          <w:rStyle w:val="14"/>
          <w:rFonts w:hint="eastAsia" w:ascii="仿宋" w:hAnsi="仿宋" w:eastAsia="仿宋"/>
          <w:b w:val="0"/>
          <w:bCs/>
          <w:sz w:val="32"/>
          <w:szCs w:val="32"/>
          <w:lang w:val="en-US" w:eastAsia="zh-CN"/>
        </w:rPr>
        <w:t>4.14</w:t>
      </w:r>
      <w:r>
        <w:rPr>
          <w:rStyle w:val="14"/>
          <w:rFonts w:hint="eastAsia" w:ascii="仿宋" w:hAnsi="仿宋" w:eastAsia="仿宋"/>
          <w:b w:val="0"/>
          <w:bCs/>
          <w:sz w:val="32"/>
          <w:szCs w:val="32"/>
        </w:rPr>
        <w:t>万元，完成预算100</w:t>
      </w:r>
      <w:r>
        <w:rPr>
          <w:rStyle w:val="14"/>
          <w:rFonts w:ascii="仿宋" w:hAnsi="仿宋" w:eastAsia="仿宋"/>
          <w:b w:val="0"/>
          <w:bCs/>
          <w:sz w:val="32"/>
          <w:szCs w:val="32"/>
        </w:rPr>
        <w:t>%</w:t>
      </w:r>
      <w:r>
        <w:rPr>
          <w:rStyle w:val="14"/>
          <w:rFonts w:hint="eastAsia" w:ascii="仿宋" w:hAnsi="仿宋" w:eastAsia="仿宋"/>
          <w:b w:val="0"/>
          <w:bCs/>
          <w:sz w:val="32"/>
          <w:szCs w:val="32"/>
        </w:rPr>
        <w:t>。</w:t>
      </w:r>
    </w:p>
    <w:p>
      <w:pPr>
        <w:spacing w:line="600" w:lineRule="exact"/>
        <w:ind w:firstLine="640"/>
        <w:rPr>
          <w:rFonts w:ascii="仿宋" w:hAnsi="仿宋" w:eastAsia="仿宋"/>
          <w:b/>
          <w:sz w:val="32"/>
          <w:szCs w:val="32"/>
        </w:rPr>
      </w:pPr>
    </w:p>
    <w:p>
      <w:pPr>
        <w:tabs>
          <w:tab w:val="right" w:pos="8306"/>
        </w:tabs>
        <w:spacing w:line="600" w:lineRule="exact"/>
        <w:ind w:firstLine="640"/>
        <w:outlineLvl w:val="1"/>
        <w:rPr>
          <w:rStyle w:val="25"/>
        </w:rPr>
      </w:pPr>
      <w:bookmarkStart w:id="36" w:name="_Toc15377214"/>
      <w:bookmarkStart w:id="37" w:name="_Toc15396608"/>
      <w:r>
        <w:rPr>
          <w:rFonts w:hint="eastAsia" w:ascii="黑体" w:eastAsia="黑体"/>
          <w:sz w:val="32"/>
          <w:szCs w:val="32"/>
        </w:rPr>
        <w:t>六</w:t>
      </w:r>
      <w:r>
        <w:rPr>
          <w:rFonts w:hint="eastAsia" w:ascii="黑体" w:eastAsia="黑体"/>
          <w:b/>
          <w:sz w:val="32"/>
          <w:szCs w:val="32"/>
        </w:rPr>
        <w:t>、</w:t>
      </w:r>
      <w:r>
        <w:rPr>
          <w:rFonts w:hint="eastAsia" w:ascii="黑体" w:hAnsi="黑体" w:eastAsia="黑体"/>
          <w:b/>
          <w:sz w:val="32"/>
          <w:szCs w:val="32"/>
        </w:rPr>
        <w:t>一</w:t>
      </w:r>
      <w:r>
        <w:rPr>
          <w:rStyle w:val="25"/>
          <w:rFonts w:hint="eastAsia" w:ascii="黑体" w:hAnsi="黑体" w:eastAsia="黑体"/>
          <w:b w:val="0"/>
        </w:rPr>
        <w:t>般公共预算财政拨款基本支出决算情况说明</w:t>
      </w:r>
      <w:bookmarkEnd w:id="36"/>
      <w:bookmarkEnd w:id="37"/>
      <w:r>
        <w:rPr>
          <w:rStyle w:val="25"/>
          <w:rFonts w:ascii="黑体" w:hAnsi="黑体" w:eastAsia="黑体"/>
          <w:b w:val="0"/>
        </w:rPr>
        <w:tab/>
      </w:r>
    </w:p>
    <w:p>
      <w:pPr>
        <w:spacing w:line="600" w:lineRule="exact"/>
        <w:ind w:firstLine="645"/>
        <w:rPr>
          <w:rFonts w:ascii="仿宋" w:hAnsi="仿宋" w:eastAsia="仿宋"/>
          <w:sz w:val="32"/>
          <w:szCs w:val="32"/>
        </w:rPr>
      </w:pPr>
      <w:r>
        <w:rPr>
          <w:rFonts w:ascii="仿宋" w:hAnsi="仿宋" w:eastAsia="仿宋"/>
          <w:sz w:val="32"/>
          <w:szCs w:val="32"/>
        </w:rPr>
        <w:t>20</w:t>
      </w:r>
      <w:r>
        <w:rPr>
          <w:rFonts w:hint="eastAsia" w:ascii="仿宋" w:hAnsi="仿宋" w:eastAsia="仿宋"/>
          <w:sz w:val="32"/>
          <w:szCs w:val="32"/>
        </w:rPr>
        <w:t>21年一般公共预算财政拨款基本支出</w:t>
      </w:r>
      <w:r>
        <w:rPr>
          <w:rFonts w:hint="eastAsia" w:ascii="仿宋" w:hAnsi="仿宋" w:eastAsia="仿宋"/>
          <w:sz w:val="32"/>
          <w:szCs w:val="32"/>
          <w:lang w:val="en-US" w:eastAsia="zh-CN"/>
        </w:rPr>
        <w:t>117.98</w:t>
      </w:r>
      <w:r>
        <w:rPr>
          <w:rFonts w:hint="eastAsia" w:ascii="仿宋" w:hAnsi="仿宋" w:eastAsia="仿宋"/>
          <w:sz w:val="32"/>
          <w:szCs w:val="32"/>
        </w:rPr>
        <w:t>万元，其中：</w:t>
      </w:r>
    </w:p>
    <w:p>
      <w:pPr>
        <w:spacing w:line="600" w:lineRule="exact"/>
        <w:ind w:firstLine="645"/>
        <w:rPr>
          <w:rFonts w:ascii="仿宋" w:hAnsi="仿宋" w:eastAsia="仿宋"/>
          <w:sz w:val="32"/>
          <w:szCs w:val="32"/>
        </w:rPr>
      </w:pPr>
      <w:r>
        <w:rPr>
          <w:rFonts w:hint="eastAsia" w:ascii="仿宋" w:hAnsi="仿宋" w:eastAsia="仿宋"/>
          <w:sz w:val="32"/>
          <w:szCs w:val="32"/>
        </w:rPr>
        <w:t>人员经费</w:t>
      </w:r>
      <w:r>
        <w:rPr>
          <w:rFonts w:hint="eastAsia" w:ascii="仿宋" w:hAnsi="仿宋" w:eastAsia="仿宋"/>
          <w:sz w:val="32"/>
          <w:szCs w:val="32"/>
          <w:lang w:val="en-US" w:eastAsia="zh-CN"/>
        </w:rPr>
        <w:t>59.41</w:t>
      </w:r>
      <w:r>
        <w:rPr>
          <w:rFonts w:hint="eastAsia" w:ascii="仿宋" w:hAnsi="仿宋" w:eastAsia="仿宋"/>
          <w:sz w:val="32"/>
          <w:szCs w:val="32"/>
        </w:rPr>
        <w:t>万元，主要包括：基本工资、津贴补贴、奖金、伙食补助费、绩效工资、机关事业单位基本养老保险缴费、职业年金缴费、其他社会保障缴费、其他工资福利支出、离休费、退休费、抚恤金、生活补助、医疗费补助、奖励金、住房公积金、其他对个人和家庭的补助支出等。</w:t>
      </w:r>
    </w:p>
    <w:p>
      <w:pPr>
        <w:spacing w:line="600" w:lineRule="exact"/>
        <w:ind w:firstLine="645"/>
        <w:rPr>
          <w:rFonts w:hint="eastAsia" w:ascii="仿宋" w:hAnsi="仿宋" w:eastAsia="仿宋"/>
          <w:sz w:val="32"/>
          <w:szCs w:val="32"/>
        </w:rPr>
      </w:pPr>
      <w:r>
        <w:rPr>
          <w:rFonts w:hint="eastAsia" w:ascii="仿宋" w:hAnsi="仿宋" w:eastAsia="仿宋"/>
          <w:sz w:val="32"/>
          <w:szCs w:val="32"/>
        </w:rPr>
        <w:t>公用经费</w:t>
      </w:r>
      <w:r>
        <w:rPr>
          <w:rFonts w:hint="eastAsia" w:ascii="仿宋" w:hAnsi="仿宋" w:eastAsia="仿宋"/>
          <w:sz w:val="32"/>
          <w:szCs w:val="32"/>
          <w:lang w:val="en-US" w:eastAsia="zh-CN"/>
        </w:rPr>
        <w:t>58.57</w:t>
      </w:r>
      <w:r>
        <w:rPr>
          <w:rFonts w:hint="eastAsia" w:ascii="仿宋" w:hAnsi="仿宋" w:eastAsia="仿宋"/>
          <w:sz w:val="32"/>
          <w:szCs w:val="32"/>
        </w:rPr>
        <w:t>万元，主要包括：办公费、印刷费、咨询费、手续费、水费、电费、邮电费、取暖费、物业管理费、差旅费、因公出国（境）费用、维修（护）费、租赁费、会议费、培训费、公务接待费、劳务费、委托业务费、工会经费、福利费、公务用车运行维护费、其他交通费、税金及附加费用、其他商品和服务支出、办公设备购置、专用设备购置、信息网络及软件购置更新、其他资本性支出等。</w:t>
      </w:r>
    </w:p>
    <w:p>
      <w:pPr>
        <w:pStyle w:val="2"/>
      </w:pPr>
    </w:p>
    <w:p>
      <w:pPr>
        <w:spacing w:line="600" w:lineRule="exact"/>
        <w:ind w:firstLine="640"/>
        <w:outlineLvl w:val="1"/>
        <w:rPr>
          <w:rStyle w:val="25"/>
          <w:rFonts w:ascii="黑体" w:hAnsi="黑体" w:eastAsia="黑体"/>
          <w:b w:val="0"/>
        </w:rPr>
      </w:pPr>
      <w:bookmarkStart w:id="38" w:name="_Toc15396609"/>
      <w:bookmarkStart w:id="39" w:name="_Toc15377215"/>
      <w:r>
        <w:rPr>
          <w:rFonts w:hint="eastAsia" w:ascii="黑体" w:eastAsia="黑体"/>
          <w:sz w:val="32"/>
          <w:szCs w:val="32"/>
        </w:rPr>
        <w:t>七、</w:t>
      </w:r>
      <w:r>
        <w:rPr>
          <w:rStyle w:val="25"/>
          <w:rFonts w:hint="eastAsia" w:ascii="黑体" w:hAnsi="黑体" w:eastAsia="黑体"/>
        </w:rPr>
        <w:t>“</w:t>
      </w:r>
      <w:r>
        <w:rPr>
          <w:rStyle w:val="25"/>
          <w:rFonts w:hint="eastAsia" w:ascii="黑体" w:hAnsi="黑体" w:eastAsia="黑体"/>
          <w:b w:val="0"/>
        </w:rPr>
        <w:t>三公”经费财政拨款支出决算情况说明</w:t>
      </w:r>
      <w:bookmarkEnd w:id="38"/>
      <w:bookmarkEnd w:id="39"/>
    </w:p>
    <w:p>
      <w:pPr>
        <w:spacing w:line="600" w:lineRule="exact"/>
        <w:ind w:firstLine="640"/>
        <w:outlineLvl w:val="2"/>
        <w:rPr>
          <w:rFonts w:ascii="仿宋" w:hAnsi="仿宋" w:eastAsia="仿宋"/>
          <w:b/>
          <w:sz w:val="32"/>
          <w:szCs w:val="32"/>
        </w:rPr>
      </w:pPr>
      <w:bookmarkStart w:id="40" w:name="_Toc15377216"/>
      <w:r>
        <w:rPr>
          <w:rFonts w:hint="eastAsia" w:ascii="仿宋" w:hAnsi="仿宋" w:eastAsia="仿宋"/>
          <w:b/>
          <w:sz w:val="32"/>
          <w:szCs w:val="32"/>
        </w:rPr>
        <w:t>（一）“三公”经费财政拨款支出决算总体情况说明</w:t>
      </w:r>
      <w:bookmarkEnd w:id="40"/>
    </w:p>
    <w:p>
      <w:pPr>
        <w:spacing w:line="600" w:lineRule="exact"/>
        <w:ind w:firstLine="640"/>
        <w:rPr>
          <w:rFonts w:ascii="仿宋" w:hAnsi="仿宋" w:eastAsia="仿宋"/>
          <w:sz w:val="32"/>
          <w:szCs w:val="32"/>
        </w:rPr>
      </w:pPr>
      <w:r>
        <w:rPr>
          <w:rFonts w:ascii="仿宋" w:hAnsi="仿宋" w:eastAsia="仿宋"/>
          <w:sz w:val="32"/>
          <w:szCs w:val="32"/>
        </w:rPr>
        <w:t>20</w:t>
      </w:r>
      <w:r>
        <w:rPr>
          <w:rFonts w:hint="eastAsia" w:ascii="仿宋" w:hAnsi="仿宋" w:eastAsia="仿宋"/>
          <w:sz w:val="32"/>
          <w:szCs w:val="32"/>
        </w:rPr>
        <w:t>21年“三公”经费财政拨款支出决算为0万元，完成预算0</w:t>
      </w:r>
      <w:r>
        <w:rPr>
          <w:rFonts w:ascii="仿宋" w:hAnsi="仿宋" w:eastAsia="仿宋"/>
          <w:sz w:val="32"/>
          <w:szCs w:val="32"/>
        </w:rPr>
        <w:t>%</w:t>
      </w:r>
      <w:r>
        <w:rPr>
          <w:rFonts w:hint="eastAsia" w:ascii="仿宋" w:hAnsi="仿宋" w:eastAsia="仿宋"/>
          <w:sz w:val="32"/>
          <w:szCs w:val="32"/>
        </w:rPr>
        <w:t>。</w:t>
      </w:r>
    </w:p>
    <w:p>
      <w:pPr>
        <w:spacing w:line="600" w:lineRule="exact"/>
        <w:ind w:firstLine="640"/>
        <w:outlineLvl w:val="2"/>
        <w:rPr>
          <w:rFonts w:ascii="仿宋" w:hAnsi="仿宋" w:eastAsia="仿宋"/>
          <w:b/>
          <w:sz w:val="32"/>
          <w:szCs w:val="32"/>
        </w:rPr>
      </w:pPr>
      <w:bookmarkStart w:id="41" w:name="_Toc15377217"/>
      <w:r>
        <w:rPr>
          <w:rFonts w:hint="eastAsia" w:ascii="仿宋" w:hAnsi="仿宋" w:eastAsia="仿宋"/>
          <w:b/>
          <w:sz w:val="32"/>
          <w:szCs w:val="32"/>
        </w:rPr>
        <w:t>（二）“三公”经费财政拨款支出决算具体情况说明</w:t>
      </w:r>
      <w:bookmarkEnd w:id="41"/>
    </w:p>
    <w:p>
      <w:pPr>
        <w:spacing w:line="600" w:lineRule="exact"/>
        <w:ind w:firstLine="640"/>
        <w:rPr>
          <w:rFonts w:ascii="仿宋" w:hAnsi="仿宋" w:eastAsia="仿宋"/>
          <w:sz w:val="32"/>
          <w:szCs w:val="32"/>
        </w:rPr>
      </w:pPr>
      <w:r>
        <w:rPr>
          <w:rFonts w:ascii="仿宋" w:hAnsi="仿宋" w:eastAsia="仿宋"/>
          <w:sz w:val="32"/>
          <w:szCs w:val="32"/>
        </w:rPr>
        <w:t>20</w:t>
      </w:r>
      <w:r>
        <w:rPr>
          <w:rFonts w:hint="eastAsia" w:ascii="仿宋" w:hAnsi="仿宋" w:eastAsia="仿宋"/>
          <w:sz w:val="32"/>
          <w:szCs w:val="32"/>
        </w:rPr>
        <w:t>21年“三公”经费财政拨款支出决算中，因公出国（境）费支出决算0万元，占0</w:t>
      </w:r>
      <w:r>
        <w:rPr>
          <w:rFonts w:ascii="仿宋" w:hAnsi="仿宋" w:eastAsia="仿宋"/>
          <w:sz w:val="32"/>
          <w:szCs w:val="32"/>
        </w:rPr>
        <w:t>%</w:t>
      </w:r>
      <w:r>
        <w:rPr>
          <w:rFonts w:hint="eastAsia" w:ascii="仿宋" w:hAnsi="仿宋" w:eastAsia="仿宋"/>
          <w:sz w:val="32"/>
          <w:szCs w:val="32"/>
        </w:rPr>
        <w:t>；公务用车购置及运行维护费支出决算0万元，占0</w:t>
      </w:r>
      <w:r>
        <w:rPr>
          <w:rFonts w:ascii="仿宋" w:hAnsi="仿宋" w:eastAsia="仿宋"/>
          <w:sz w:val="32"/>
          <w:szCs w:val="32"/>
        </w:rPr>
        <w:t>%</w:t>
      </w:r>
      <w:r>
        <w:rPr>
          <w:rFonts w:hint="eastAsia" w:ascii="仿宋" w:hAnsi="仿宋" w:eastAsia="仿宋"/>
          <w:sz w:val="32"/>
          <w:szCs w:val="32"/>
        </w:rPr>
        <w:t>；公务接待费支出决算0万元，占0</w:t>
      </w:r>
      <w:r>
        <w:rPr>
          <w:rFonts w:ascii="仿宋" w:hAnsi="仿宋" w:eastAsia="仿宋"/>
          <w:sz w:val="32"/>
          <w:szCs w:val="32"/>
        </w:rPr>
        <w:t>%</w:t>
      </w:r>
      <w:r>
        <w:rPr>
          <w:rFonts w:hint="eastAsia" w:ascii="仿宋" w:hAnsi="仿宋" w:eastAsia="仿宋"/>
          <w:sz w:val="32"/>
          <w:szCs w:val="32"/>
        </w:rPr>
        <w:t>。具体情况如下：</w:t>
      </w:r>
    </w:p>
    <w:p>
      <w:pPr>
        <w:spacing w:line="600" w:lineRule="exact"/>
        <w:ind w:firstLine="640"/>
        <w:rPr>
          <w:rFonts w:ascii="仿宋_GB2312" w:eastAsia="仿宋_GB2312"/>
          <w:b/>
          <w:sz w:val="32"/>
          <w:szCs w:val="32"/>
        </w:rPr>
      </w:pPr>
      <w:r>
        <w:rPr>
          <w:rFonts w:ascii="仿宋_GB2312" w:eastAsia="仿宋_GB2312"/>
          <w:b/>
          <w:sz w:val="32"/>
          <w:szCs w:val="32"/>
        </w:rPr>
        <w:t>1.</w:t>
      </w:r>
      <w:r>
        <w:rPr>
          <w:rFonts w:hint="eastAsia" w:ascii="仿宋_GB2312" w:eastAsia="仿宋_GB2312"/>
          <w:b/>
          <w:sz w:val="32"/>
          <w:szCs w:val="32"/>
        </w:rPr>
        <w:t>因公出国（境）经费支出</w:t>
      </w:r>
      <w:r>
        <w:rPr>
          <w:rFonts w:hint="eastAsia" w:ascii="仿宋_GB2312" w:eastAsia="仿宋_GB2312"/>
          <w:sz w:val="32"/>
          <w:szCs w:val="32"/>
        </w:rPr>
        <w:t>0万元。</w:t>
      </w:r>
    </w:p>
    <w:p>
      <w:pPr>
        <w:spacing w:line="600" w:lineRule="exact"/>
        <w:ind w:firstLine="640"/>
        <w:rPr>
          <w:rFonts w:ascii="仿宋_GB2312" w:eastAsia="仿宋_GB2312"/>
          <w:b/>
          <w:sz w:val="32"/>
          <w:szCs w:val="32"/>
        </w:rPr>
      </w:pPr>
      <w:r>
        <w:rPr>
          <w:rFonts w:ascii="仿宋_GB2312" w:eastAsia="仿宋_GB2312"/>
          <w:b/>
          <w:sz w:val="32"/>
          <w:szCs w:val="32"/>
        </w:rPr>
        <w:t>2.</w:t>
      </w:r>
      <w:r>
        <w:rPr>
          <w:rFonts w:hint="eastAsia" w:ascii="仿宋_GB2312" w:eastAsia="仿宋_GB2312"/>
          <w:b/>
          <w:sz w:val="32"/>
          <w:szCs w:val="32"/>
        </w:rPr>
        <w:t>公务用车购置及运行维护费支出</w:t>
      </w:r>
      <w:r>
        <w:rPr>
          <w:rFonts w:hint="eastAsia" w:ascii="仿宋_GB2312" w:eastAsia="仿宋_GB2312"/>
          <w:sz w:val="32"/>
          <w:szCs w:val="32"/>
        </w:rPr>
        <w:t>0万元。</w:t>
      </w:r>
    </w:p>
    <w:p>
      <w:pPr>
        <w:spacing w:line="600" w:lineRule="exact"/>
        <w:ind w:firstLine="640"/>
        <w:rPr>
          <w:rFonts w:ascii="仿宋_GB2312" w:eastAsia="仿宋_GB2312"/>
          <w:sz w:val="32"/>
          <w:szCs w:val="32"/>
        </w:rPr>
      </w:pPr>
      <w:r>
        <w:rPr>
          <w:rFonts w:hint="eastAsia" w:ascii="仿宋_GB2312" w:eastAsia="仿宋_GB2312"/>
          <w:b/>
          <w:sz w:val="32"/>
          <w:szCs w:val="32"/>
        </w:rPr>
        <w:t>公务用车运行维护费支出</w:t>
      </w:r>
      <w:r>
        <w:rPr>
          <w:rFonts w:hint="eastAsia" w:ascii="仿宋_GB2312" w:eastAsia="仿宋_GB2312"/>
          <w:sz w:val="32"/>
          <w:szCs w:val="32"/>
        </w:rPr>
        <w:t>0万元。</w:t>
      </w:r>
    </w:p>
    <w:p>
      <w:pPr>
        <w:spacing w:line="600" w:lineRule="exact"/>
        <w:ind w:firstLine="640"/>
        <w:rPr>
          <w:rFonts w:ascii="仿宋_GB2312" w:eastAsia="仿宋_GB2312"/>
          <w:sz w:val="32"/>
          <w:szCs w:val="32"/>
        </w:rPr>
      </w:pPr>
      <w:r>
        <w:rPr>
          <w:rFonts w:ascii="仿宋_GB2312" w:eastAsia="仿宋_GB2312"/>
          <w:b/>
          <w:sz w:val="32"/>
          <w:szCs w:val="32"/>
        </w:rPr>
        <w:t>3.</w:t>
      </w:r>
      <w:r>
        <w:rPr>
          <w:rFonts w:hint="eastAsia" w:ascii="仿宋_GB2312" w:eastAsia="仿宋_GB2312"/>
          <w:b/>
          <w:sz w:val="32"/>
          <w:szCs w:val="32"/>
        </w:rPr>
        <w:t>公务接待费支出</w:t>
      </w:r>
      <w:r>
        <w:rPr>
          <w:rFonts w:hint="eastAsia" w:ascii="仿宋_GB2312" w:eastAsia="仿宋_GB2312"/>
          <w:sz w:val="32"/>
          <w:szCs w:val="32"/>
        </w:rPr>
        <w:t>0万元。</w:t>
      </w:r>
    </w:p>
    <w:p>
      <w:pPr>
        <w:spacing w:line="600" w:lineRule="exact"/>
        <w:ind w:firstLine="640"/>
        <w:rPr>
          <w:rFonts w:ascii="仿宋_GB2312" w:eastAsia="仿宋_GB2312"/>
          <w:sz w:val="32"/>
          <w:szCs w:val="32"/>
        </w:rPr>
      </w:pPr>
      <w:r>
        <w:rPr>
          <w:rFonts w:hint="eastAsia" w:ascii="仿宋" w:hAnsi="仿宋" w:eastAsia="仿宋"/>
          <w:b/>
          <w:sz w:val="32"/>
          <w:szCs w:val="32"/>
        </w:rPr>
        <w:t>国内公务接待支出</w:t>
      </w:r>
      <w:r>
        <w:rPr>
          <w:rFonts w:hint="eastAsia" w:ascii="仿宋" w:hAnsi="仿宋" w:eastAsia="仿宋"/>
          <w:sz w:val="32"/>
          <w:szCs w:val="32"/>
        </w:rPr>
        <w:t>0</w:t>
      </w:r>
      <w:r>
        <w:rPr>
          <w:rFonts w:hint="eastAsia" w:ascii="仿宋_GB2312" w:eastAsia="仿宋_GB2312"/>
          <w:sz w:val="32"/>
          <w:szCs w:val="32"/>
        </w:rPr>
        <w:t>万元。</w:t>
      </w:r>
    </w:p>
    <w:p>
      <w:pPr>
        <w:spacing w:line="600" w:lineRule="exact"/>
        <w:ind w:firstLine="643" w:firstLineChars="200"/>
        <w:rPr>
          <w:rFonts w:ascii="仿宋_GB2312" w:eastAsia="仿宋_GB2312"/>
          <w:sz w:val="32"/>
          <w:szCs w:val="32"/>
        </w:rPr>
      </w:pPr>
      <w:r>
        <w:rPr>
          <w:rFonts w:hint="eastAsia" w:ascii="仿宋" w:hAnsi="仿宋" w:eastAsia="仿宋"/>
          <w:b/>
          <w:sz w:val="32"/>
          <w:szCs w:val="32"/>
        </w:rPr>
        <w:t>外事接待支出</w:t>
      </w:r>
      <w:r>
        <w:rPr>
          <w:rFonts w:hint="eastAsia" w:ascii="仿宋" w:hAnsi="仿宋" w:eastAsia="仿宋"/>
          <w:sz w:val="32"/>
          <w:szCs w:val="32"/>
        </w:rPr>
        <w:t>0</w:t>
      </w:r>
      <w:r>
        <w:rPr>
          <w:rFonts w:hint="eastAsia" w:ascii="仿宋_GB2312" w:eastAsia="仿宋_GB2312"/>
          <w:sz w:val="32"/>
          <w:szCs w:val="32"/>
        </w:rPr>
        <w:t>万元</w:t>
      </w:r>
    </w:p>
    <w:p>
      <w:pPr>
        <w:spacing w:line="600" w:lineRule="exact"/>
        <w:ind w:firstLine="640"/>
        <w:outlineLvl w:val="1"/>
        <w:rPr>
          <w:rFonts w:ascii="黑体" w:eastAsia="黑体"/>
          <w:sz w:val="32"/>
          <w:szCs w:val="32"/>
        </w:rPr>
      </w:pPr>
      <w:bookmarkStart w:id="42" w:name="_Toc15396610"/>
      <w:bookmarkStart w:id="43" w:name="_Toc15377218"/>
    </w:p>
    <w:p>
      <w:pPr>
        <w:spacing w:line="600" w:lineRule="exact"/>
        <w:ind w:firstLine="640"/>
        <w:outlineLvl w:val="1"/>
        <w:rPr>
          <w:rStyle w:val="25"/>
          <w:rFonts w:ascii="黑体" w:hAnsi="黑体" w:eastAsia="黑体"/>
        </w:rPr>
      </w:pPr>
      <w:r>
        <w:rPr>
          <w:rFonts w:hint="eastAsia" w:ascii="黑体" w:eastAsia="黑体"/>
          <w:sz w:val="32"/>
          <w:szCs w:val="32"/>
        </w:rPr>
        <w:t>八、</w:t>
      </w:r>
      <w:r>
        <w:rPr>
          <w:rStyle w:val="25"/>
          <w:rFonts w:hint="eastAsia" w:ascii="黑体" w:hAnsi="黑体" w:eastAsia="黑体"/>
          <w:b w:val="0"/>
        </w:rPr>
        <w:t>政府性基金预算支出决算情况说明</w:t>
      </w:r>
      <w:bookmarkEnd w:id="42"/>
      <w:bookmarkEnd w:id="43"/>
    </w:p>
    <w:p>
      <w:pPr>
        <w:spacing w:line="600" w:lineRule="exact"/>
        <w:ind w:firstLine="640"/>
        <w:rPr>
          <w:rFonts w:ascii="仿宋_GB2312" w:eastAsia="仿宋_GB2312"/>
          <w:sz w:val="32"/>
          <w:szCs w:val="32"/>
        </w:rPr>
      </w:pPr>
      <w:r>
        <w:rPr>
          <w:rFonts w:ascii="仿宋_GB2312" w:eastAsia="仿宋_GB2312"/>
          <w:sz w:val="32"/>
          <w:szCs w:val="32"/>
        </w:rPr>
        <w:t>20</w:t>
      </w:r>
      <w:r>
        <w:rPr>
          <w:rFonts w:hint="eastAsia" w:ascii="仿宋_GB2312" w:eastAsia="仿宋_GB2312"/>
          <w:sz w:val="32"/>
          <w:szCs w:val="32"/>
        </w:rPr>
        <w:t>21年政府性基金预算财政拨款支出0万元。</w:t>
      </w:r>
    </w:p>
    <w:p>
      <w:pPr>
        <w:spacing w:line="600" w:lineRule="exact"/>
        <w:ind w:firstLine="640"/>
        <w:rPr>
          <w:rFonts w:ascii="仿宋_GB2312" w:eastAsia="仿宋_GB2312"/>
          <w:sz w:val="32"/>
          <w:szCs w:val="32"/>
        </w:rPr>
      </w:pPr>
    </w:p>
    <w:p>
      <w:pPr>
        <w:numPr>
          <w:ilvl w:val="0"/>
          <w:numId w:val="3"/>
        </w:numPr>
        <w:spacing w:line="600" w:lineRule="exact"/>
        <w:ind w:firstLine="640"/>
        <w:outlineLvl w:val="1"/>
        <w:rPr>
          <w:rStyle w:val="25"/>
          <w:rFonts w:ascii="黑体" w:hAnsi="黑体" w:eastAsia="黑体"/>
          <w:b w:val="0"/>
        </w:rPr>
      </w:pPr>
      <w:bookmarkStart w:id="44" w:name="_Toc15377219"/>
      <w:bookmarkStart w:id="45" w:name="_Toc15396611"/>
      <w:r>
        <w:rPr>
          <w:rStyle w:val="25"/>
          <w:rFonts w:hint="eastAsia" w:ascii="黑体" w:hAnsi="黑体" w:eastAsia="黑体"/>
          <w:b w:val="0"/>
        </w:rPr>
        <w:t>国有资本经营预算支出决算情况说明</w:t>
      </w:r>
      <w:bookmarkEnd w:id="44"/>
      <w:bookmarkEnd w:id="45"/>
    </w:p>
    <w:p>
      <w:pPr>
        <w:spacing w:line="600" w:lineRule="exact"/>
        <w:ind w:firstLine="640"/>
        <w:rPr>
          <w:rFonts w:ascii="仿宋_GB2312" w:eastAsia="仿宋_GB2312"/>
          <w:sz w:val="32"/>
          <w:szCs w:val="32"/>
        </w:rPr>
      </w:pPr>
      <w:r>
        <w:rPr>
          <w:rFonts w:ascii="仿宋_GB2312" w:eastAsia="仿宋_GB2312"/>
          <w:sz w:val="32"/>
          <w:szCs w:val="32"/>
        </w:rPr>
        <w:t>20</w:t>
      </w:r>
      <w:r>
        <w:rPr>
          <w:rFonts w:hint="eastAsia" w:ascii="仿宋_GB2312" w:eastAsia="仿宋_GB2312"/>
          <w:sz w:val="32"/>
          <w:szCs w:val="32"/>
        </w:rPr>
        <w:t>21年国有资本经营预算财政拨款支出0万元。</w:t>
      </w:r>
    </w:p>
    <w:p>
      <w:pPr>
        <w:spacing w:line="580" w:lineRule="exact"/>
        <w:jc w:val="center"/>
        <w:rPr>
          <w:rFonts w:ascii="方正小标宋简体" w:hAnsi="方正小标宋简体" w:eastAsia="方正小标宋简体" w:cs="方正小标宋简体"/>
          <w:sz w:val="44"/>
          <w:szCs w:val="44"/>
        </w:rPr>
      </w:pPr>
    </w:p>
    <w:p>
      <w:pPr>
        <w:numPr>
          <w:ilvl w:val="0"/>
          <w:numId w:val="3"/>
        </w:numPr>
        <w:spacing w:line="600" w:lineRule="exact"/>
        <w:ind w:firstLine="640"/>
        <w:outlineLvl w:val="1"/>
        <w:rPr>
          <w:rStyle w:val="25"/>
          <w:rFonts w:ascii="黑体" w:hAnsi="黑体" w:eastAsia="黑体"/>
          <w:b w:val="0"/>
        </w:rPr>
      </w:pPr>
      <w:bookmarkStart w:id="46" w:name="_Toc15396612"/>
      <w:bookmarkStart w:id="47" w:name="_Toc15377221"/>
      <w:r>
        <w:rPr>
          <w:rStyle w:val="25"/>
          <w:rFonts w:hint="eastAsia" w:ascii="黑体" w:hAnsi="黑体" w:eastAsia="黑体"/>
          <w:b w:val="0"/>
        </w:rPr>
        <w:t>其他重要事项的情况说明</w:t>
      </w:r>
      <w:bookmarkEnd w:id="46"/>
      <w:bookmarkEnd w:id="47"/>
    </w:p>
    <w:p>
      <w:pPr>
        <w:spacing w:line="600" w:lineRule="exact"/>
        <w:ind w:firstLine="643" w:firstLineChars="200"/>
        <w:outlineLvl w:val="2"/>
        <w:rPr>
          <w:rFonts w:ascii="仿宋" w:hAnsi="仿宋" w:eastAsia="仿宋"/>
          <w:sz w:val="32"/>
          <w:szCs w:val="32"/>
        </w:rPr>
      </w:pPr>
      <w:bookmarkStart w:id="48" w:name="_Toc15377222"/>
      <w:r>
        <w:rPr>
          <w:rFonts w:hint="eastAsia" w:ascii="仿宋" w:hAnsi="仿宋" w:eastAsia="仿宋"/>
          <w:b/>
          <w:sz w:val="32"/>
          <w:szCs w:val="32"/>
        </w:rPr>
        <w:t>（一）机关运行经费支出情况</w:t>
      </w:r>
      <w:bookmarkEnd w:id="48"/>
    </w:p>
    <w:p>
      <w:pPr>
        <w:spacing w:line="600" w:lineRule="exact"/>
        <w:ind w:firstLine="640" w:firstLineChars="200"/>
        <w:rPr>
          <w:rFonts w:ascii="仿宋" w:hAnsi="仿宋" w:eastAsia="仿宋"/>
          <w:b/>
          <w:sz w:val="32"/>
          <w:szCs w:val="32"/>
        </w:rPr>
      </w:pPr>
      <w:r>
        <w:rPr>
          <w:rFonts w:ascii="仿宋_GB2312" w:eastAsia="仿宋_GB2312"/>
          <w:sz w:val="32"/>
          <w:szCs w:val="32"/>
        </w:rPr>
        <w:t>20</w:t>
      </w:r>
      <w:r>
        <w:rPr>
          <w:rFonts w:hint="eastAsia" w:ascii="仿宋_GB2312" w:eastAsia="仿宋_GB2312"/>
          <w:sz w:val="32"/>
          <w:szCs w:val="32"/>
        </w:rPr>
        <w:t>21年，机关运行经费支出0万元</w:t>
      </w:r>
    </w:p>
    <w:p>
      <w:pPr>
        <w:autoSpaceDE w:val="0"/>
        <w:autoSpaceDN w:val="0"/>
        <w:adjustRightInd w:val="0"/>
        <w:spacing w:line="600" w:lineRule="exact"/>
        <w:ind w:firstLine="643" w:firstLineChars="200"/>
        <w:jc w:val="left"/>
        <w:outlineLvl w:val="2"/>
        <w:rPr>
          <w:rFonts w:ascii="仿宋" w:hAnsi="仿宋" w:eastAsia="仿宋"/>
          <w:b/>
          <w:sz w:val="32"/>
          <w:szCs w:val="32"/>
        </w:rPr>
      </w:pPr>
      <w:bookmarkStart w:id="49" w:name="_Toc15377223"/>
      <w:r>
        <w:rPr>
          <w:rFonts w:hint="eastAsia" w:ascii="仿宋" w:hAnsi="仿宋" w:eastAsia="仿宋"/>
          <w:b/>
          <w:sz w:val="32"/>
          <w:szCs w:val="32"/>
        </w:rPr>
        <w:t>（二）政府采购支出情况</w:t>
      </w:r>
      <w:bookmarkEnd w:id="49"/>
    </w:p>
    <w:p>
      <w:pPr>
        <w:spacing w:line="600" w:lineRule="exact"/>
        <w:ind w:firstLine="640" w:firstLineChars="200"/>
        <w:rPr>
          <w:rFonts w:ascii="仿宋_GB2312" w:eastAsia="仿宋_GB2312"/>
          <w:sz w:val="32"/>
          <w:szCs w:val="32"/>
        </w:rPr>
      </w:pPr>
      <w:r>
        <w:rPr>
          <w:rFonts w:ascii="仿宋_GB2312" w:eastAsia="仿宋_GB2312"/>
          <w:sz w:val="32"/>
          <w:szCs w:val="32"/>
        </w:rPr>
        <w:t>20</w:t>
      </w:r>
      <w:r>
        <w:rPr>
          <w:rFonts w:hint="eastAsia" w:ascii="仿宋_GB2312" w:eastAsia="仿宋_GB2312"/>
          <w:sz w:val="32"/>
          <w:szCs w:val="32"/>
        </w:rPr>
        <w:t>21年，</w:t>
      </w:r>
      <w:r>
        <w:rPr>
          <w:rFonts w:hint="eastAsia" w:ascii="仿宋_GB2312" w:eastAsia="仿宋_GB2312"/>
          <w:color w:val="000000"/>
          <w:sz w:val="32"/>
          <w:szCs w:val="32"/>
        </w:rPr>
        <w:t>乐山市市中区</w:t>
      </w:r>
      <w:r>
        <w:rPr>
          <w:rFonts w:hint="eastAsia" w:ascii="仿宋_GB2312" w:eastAsia="仿宋_GB2312"/>
          <w:color w:val="000000"/>
          <w:sz w:val="32"/>
          <w:szCs w:val="32"/>
          <w:lang w:eastAsia="zh-CN"/>
        </w:rPr>
        <w:t>凌云乡</w:t>
      </w:r>
      <w:r>
        <w:rPr>
          <w:rFonts w:hint="eastAsia" w:ascii="仿宋_GB2312" w:eastAsia="仿宋_GB2312"/>
          <w:color w:val="000000"/>
          <w:sz w:val="32"/>
          <w:szCs w:val="32"/>
        </w:rPr>
        <w:t>中心幼儿园政府采购支出总额0万元</w:t>
      </w:r>
      <w:r>
        <w:rPr>
          <w:rFonts w:hint="eastAsia" w:ascii="仿宋_GB2312" w:eastAsia="仿宋_GB2312"/>
          <w:sz w:val="32"/>
          <w:szCs w:val="32"/>
        </w:rPr>
        <w:t>。</w:t>
      </w:r>
    </w:p>
    <w:p>
      <w:pPr>
        <w:spacing w:line="600" w:lineRule="exact"/>
        <w:ind w:firstLine="643" w:firstLineChars="200"/>
        <w:rPr>
          <w:rFonts w:ascii="仿宋" w:hAnsi="仿宋" w:eastAsia="仿宋"/>
          <w:b/>
          <w:sz w:val="32"/>
          <w:szCs w:val="32"/>
        </w:rPr>
      </w:pPr>
      <w:r>
        <w:rPr>
          <w:rFonts w:hint="eastAsia" w:ascii="仿宋" w:hAnsi="仿宋" w:eastAsia="仿宋"/>
          <w:b/>
          <w:sz w:val="32"/>
          <w:szCs w:val="32"/>
        </w:rPr>
        <w:t>（注：数据来源于财决附</w:t>
      </w:r>
      <w:r>
        <w:rPr>
          <w:rFonts w:ascii="仿宋" w:hAnsi="仿宋" w:eastAsia="仿宋"/>
          <w:b/>
          <w:sz w:val="32"/>
          <w:szCs w:val="32"/>
        </w:rPr>
        <w:t>03</w:t>
      </w:r>
      <w:r>
        <w:rPr>
          <w:rFonts w:hint="eastAsia" w:ascii="仿宋" w:hAnsi="仿宋" w:eastAsia="仿宋"/>
          <w:b/>
          <w:sz w:val="32"/>
          <w:szCs w:val="32"/>
        </w:rPr>
        <w:t>表）</w:t>
      </w:r>
    </w:p>
    <w:p>
      <w:pPr>
        <w:autoSpaceDE w:val="0"/>
        <w:autoSpaceDN w:val="0"/>
        <w:adjustRightInd w:val="0"/>
        <w:spacing w:line="600" w:lineRule="exact"/>
        <w:ind w:firstLine="643" w:firstLineChars="200"/>
        <w:jc w:val="left"/>
        <w:outlineLvl w:val="2"/>
        <w:rPr>
          <w:rFonts w:ascii="仿宋" w:hAnsi="仿宋" w:eastAsia="仿宋"/>
          <w:b/>
          <w:sz w:val="32"/>
          <w:szCs w:val="32"/>
        </w:rPr>
      </w:pPr>
      <w:bookmarkStart w:id="50" w:name="_Toc15377224"/>
      <w:r>
        <w:rPr>
          <w:rFonts w:hint="eastAsia" w:ascii="仿宋" w:hAnsi="仿宋" w:eastAsia="仿宋"/>
          <w:b/>
          <w:sz w:val="32"/>
          <w:szCs w:val="32"/>
        </w:rPr>
        <w:t>（三）国有资产占有使用情况</w:t>
      </w:r>
      <w:bookmarkEnd w:id="50"/>
    </w:p>
    <w:p>
      <w:pPr>
        <w:autoSpaceDE w:val="0"/>
        <w:autoSpaceDN w:val="0"/>
        <w:adjustRightInd w:val="0"/>
        <w:spacing w:line="600" w:lineRule="exact"/>
        <w:ind w:firstLine="640" w:firstLineChars="200"/>
        <w:jc w:val="left"/>
        <w:rPr>
          <w:rFonts w:ascii="仿宋" w:hAnsi="仿宋" w:eastAsia="仿宋_GB2312"/>
          <w:b/>
          <w:color w:val="FF0000"/>
          <w:sz w:val="32"/>
          <w:szCs w:val="32"/>
        </w:rPr>
      </w:pPr>
      <w:r>
        <w:rPr>
          <w:rFonts w:hint="eastAsia" w:ascii="仿宋_GB2312" w:eastAsia="仿宋_GB2312"/>
          <w:sz w:val="32"/>
          <w:szCs w:val="32"/>
        </w:rPr>
        <w:t>截至</w:t>
      </w:r>
      <w:r>
        <w:rPr>
          <w:rFonts w:ascii="仿宋_GB2312" w:eastAsia="仿宋_GB2312"/>
          <w:sz w:val="32"/>
          <w:szCs w:val="32"/>
        </w:rPr>
        <w:t>20</w:t>
      </w:r>
      <w:r>
        <w:rPr>
          <w:rFonts w:hint="eastAsia" w:ascii="仿宋_GB2312" w:eastAsia="仿宋_GB2312"/>
          <w:sz w:val="32"/>
          <w:szCs w:val="32"/>
        </w:rPr>
        <w:t>21年</w:t>
      </w:r>
      <w:r>
        <w:rPr>
          <w:rFonts w:ascii="仿宋_GB2312" w:eastAsia="仿宋_GB2312"/>
          <w:sz w:val="32"/>
          <w:szCs w:val="32"/>
        </w:rPr>
        <w:t>12</w:t>
      </w:r>
      <w:r>
        <w:rPr>
          <w:rFonts w:hint="eastAsia" w:ascii="仿宋_GB2312" w:eastAsia="仿宋_GB2312"/>
          <w:sz w:val="32"/>
          <w:szCs w:val="32"/>
        </w:rPr>
        <w:t>月</w:t>
      </w:r>
      <w:r>
        <w:rPr>
          <w:rFonts w:ascii="仿宋_GB2312" w:eastAsia="仿宋_GB2312"/>
          <w:sz w:val="32"/>
          <w:szCs w:val="32"/>
        </w:rPr>
        <w:t>31</w:t>
      </w:r>
      <w:r>
        <w:rPr>
          <w:rFonts w:hint="eastAsia" w:ascii="仿宋_GB2312" w:eastAsia="仿宋_GB2312"/>
          <w:sz w:val="32"/>
          <w:szCs w:val="32"/>
        </w:rPr>
        <w:t>日，</w:t>
      </w:r>
      <w:r>
        <w:rPr>
          <w:rFonts w:hint="eastAsia" w:ascii="仿宋_GB2312" w:eastAsia="仿宋_GB2312"/>
          <w:color w:val="000000"/>
          <w:sz w:val="32"/>
          <w:szCs w:val="32"/>
        </w:rPr>
        <w:t>截至</w:t>
      </w:r>
      <w:r>
        <w:rPr>
          <w:rFonts w:ascii="仿宋_GB2312" w:eastAsia="仿宋_GB2312"/>
          <w:color w:val="000000"/>
          <w:sz w:val="32"/>
          <w:szCs w:val="32"/>
        </w:rPr>
        <w:t>2020</w:t>
      </w:r>
      <w:r>
        <w:rPr>
          <w:rFonts w:hint="eastAsia" w:ascii="仿宋_GB2312" w:eastAsia="仿宋_GB2312"/>
          <w:color w:val="000000"/>
          <w:sz w:val="32"/>
          <w:szCs w:val="32"/>
        </w:rPr>
        <w:t>年</w:t>
      </w:r>
      <w:r>
        <w:rPr>
          <w:rFonts w:ascii="仿宋_GB2312" w:eastAsia="仿宋_GB2312"/>
          <w:color w:val="000000"/>
          <w:sz w:val="32"/>
          <w:szCs w:val="32"/>
        </w:rPr>
        <w:t>12</w:t>
      </w:r>
      <w:r>
        <w:rPr>
          <w:rFonts w:hint="eastAsia" w:ascii="仿宋_GB2312" w:eastAsia="仿宋_GB2312"/>
          <w:color w:val="000000"/>
          <w:sz w:val="32"/>
          <w:szCs w:val="32"/>
        </w:rPr>
        <w:t>月</w:t>
      </w:r>
      <w:r>
        <w:rPr>
          <w:rFonts w:ascii="仿宋_GB2312" w:eastAsia="仿宋_GB2312"/>
          <w:color w:val="000000"/>
          <w:sz w:val="32"/>
          <w:szCs w:val="32"/>
        </w:rPr>
        <w:t>31</w:t>
      </w:r>
      <w:r>
        <w:rPr>
          <w:rFonts w:hint="eastAsia" w:ascii="仿宋_GB2312" w:eastAsia="仿宋_GB2312"/>
          <w:color w:val="000000"/>
          <w:sz w:val="32"/>
          <w:szCs w:val="32"/>
        </w:rPr>
        <w:t>日，乐山市市中区</w:t>
      </w:r>
      <w:r>
        <w:rPr>
          <w:rFonts w:hint="eastAsia" w:ascii="仿宋_GB2312" w:eastAsia="仿宋_GB2312"/>
          <w:color w:val="000000"/>
          <w:sz w:val="32"/>
          <w:szCs w:val="32"/>
          <w:lang w:eastAsia="zh-CN"/>
        </w:rPr>
        <w:t>凌云乡</w:t>
      </w:r>
      <w:r>
        <w:rPr>
          <w:rFonts w:hint="eastAsia" w:ascii="仿宋_GB2312" w:eastAsia="仿宋_GB2312"/>
          <w:color w:val="000000"/>
          <w:sz w:val="32"/>
          <w:szCs w:val="32"/>
        </w:rPr>
        <w:t>中心幼儿园共有车辆0辆。</w:t>
      </w:r>
    </w:p>
    <w:p>
      <w:pPr>
        <w:autoSpaceDE w:val="0"/>
        <w:autoSpaceDN w:val="0"/>
        <w:adjustRightInd w:val="0"/>
        <w:spacing w:line="600" w:lineRule="exact"/>
        <w:ind w:firstLine="640" w:firstLineChars="200"/>
        <w:jc w:val="left"/>
        <w:rPr>
          <w:rFonts w:ascii="仿宋_GB2312" w:eastAsia="仿宋_GB2312"/>
          <w:sz w:val="32"/>
          <w:szCs w:val="32"/>
        </w:rPr>
      </w:pPr>
      <w:r>
        <w:rPr>
          <w:rFonts w:hint="eastAsia" w:ascii="仿宋_GB2312" w:eastAsia="仿宋_GB2312"/>
          <w:sz w:val="32"/>
          <w:szCs w:val="32"/>
        </w:rPr>
        <w:t>单价</w:t>
      </w:r>
      <w:r>
        <w:rPr>
          <w:rFonts w:ascii="仿宋_GB2312" w:eastAsia="仿宋_GB2312"/>
          <w:sz w:val="32"/>
          <w:szCs w:val="32"/>
        </w:rPr>
        <w:t>50</w:t>
      </w:r>
      <w:r>
        <w:rPr>
          <w:rFonts w:hint="eastAsia" w:ascii="仿宋_GB2312" w:eastAsia="仿宋_GB2312"/>
          <w:sz w:val="32"/>
          <w:szCs w:val="32"/>
        </w:rPr>
        <w:t>万元以上通用设备0台（套），单价</w:t>
      </w:r>
      <w:r>
        <w:rPr>
          <w:rFonts w:ascii="仿宋_GB2312" w:eastAsia="仿宋_GB2312"/>
          <w:sz w:val="32"/>
          <w:szCs w:val="32"/>
        </w:rPr>
        <w:t>100</w:t>
      </w:r>
      <w:r>
        <w:rPr>
          <w:rFonts w:hint="eastAsia" w:ascii="仿宋_GB2312" w:eastAsia="仿宋_GB2312"/>
          <w:sz w:val="32"/>
          <w:szCs w:val="32"/>
        </w:rPr>
        <w:t>万元以上专用设备0台（套）。</w:t>
      </w:r>
    </w:p>
    <w:p>
      <w:pPr>
        <w:autoSpaceDE w:val="0"/>
        <w:autoSpaceDN w:val="0"/>
        <w:adjustRightInd w:val="0"/>
        <w:spacing w:line="600" w:lineRule="exact"/>
        <w:ind w:firstLine="643" w:firstLineChars="200"/>
        <w:jc w:val="left"/>
        <w:outlineLvl w:val="2"/>
        <w:rPr>
          <w:rFonts w:ascii="仿宋" w:hAnsi="仿宋" w:eastAsia="仿宋"/>
          <w:b/>
          <w:sz w:val="32"/>
          <w:szCs w:val="32"/>
        </w:rPr>
      </w:pPr>
      <w:r>
        <w:rPr>
          <w:rFonts w:hint="eastAsia" w:ascii="仿宋" w:hAnsi="仿宋" w:eastAsia="仿宋"/>
          <w:b/>
          <w:sz w:val="32"/>
          <w:szCs w:val="32"/>
        </w:rPr>
        <w:t>（四）预算绩效管理情况</w:t>
      </w:r>
    </w:p>
    <w:p>
      <w:pPr>
        <w:spacing w:line="58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根据预算绩效管理要求，本单位在2021年度预算编制阶段，组织对“安保项目”、 “ 岗编分离项目”</w:t>
      </w:r>
      <w:r>
        <w:rPr>
          <w:rFonts w:hint="eastAsia" w:ascii="仿宋_GB2312" w:hAnsi="仿宋_GB2312" w:eastAsia="仿宋_GB2312" w:cs="仿宋_GB2312"/>
          <w:sz w:val="32"/>
          <w:szCs w:val="32"/>
          <w:lang w:val="en-US" w:eastAsia="zh-CN"/>
        </w:rPr>
        <w:t>2</w:t>
      </w:r>
      <w:r>
        <w:rPr>
          <w:rFonts w:hint="eastAsia" w:ascii="仿宋_GB2312" w:hAnsi="仿宋_GB2312" w:eastAsia="仿宋_GB2312" w:cs="仿宋_GB2312"/>
          <w:sz w:val="32"/>
          <w:szCs w:val="32"/>
        </w:rPr>
        <w:t>个项目开展了预算事前绩效评估，对</w:t>
      </w:r>
      <w:r>
        <w:rPr>
          <w:rFonts w:hint="eastAsia" w:ascii="仿宋_GB2312" w:hAnsi="仿宋_GB2312" w:eastAsia="仿宋_GB2312" w:cs="仿宋_GB2312"/>
          <w:sz w:val="32"/>
          <w:szCs w:val="32"/>
          <w:lang w:val="en-US" w:eastAsia="zh-CN"/>
        </w:rPr>
        <w:t>2</w:t>
      </w:r>
      <w:r>
        <w:rPr>
          <w:rFonts w:hint="eastAsia" w:ascii="仿宋_GB2312" w:hAnsi="仿宋_GB2312" w:eastAsia="仿宋_GB2312" w:cs="仿宋_GB2312"/>
          <w:sz w:val="32"/>
          <w:szCs w:val="32"/>
        </w:rPr>
        <w:t>个项目编制了绩效目标，预算执行过程中，选取</w:t>
      </w:r>
      <w:r>
        <w:rPr>
          <w:rFonts w:hint="eastAsia" w:ascii="仿宋_GB2312" w:hAnsi="仿宋_GB2312" w:eastAsia="仿宋_GB2312" w:cs="仿宋_GB2312"/>
          <w:sz w:val="32"/>
          <w:szCs w:val="32"/>
          <w:lang w:val="en-US" w:eastAsia="zh-CN"/>
        </w:rPr>
        <w:t>2</w:t>
      </w:r>
      <w:r>
        <w:rPr>
          <w:rFonts w:hint="eastAsia" w:ascii="仿宋_GB2312" w:hAnsi="仿宋_GB2312" w:eastAsia="仿宋_GB2312" w:cs="仿宋_GB2312"/>
          <w:sz w:val="32"/>
          <w:szCs w:val="32"/>
        </w:rPr>
        <w:t>个项目开展绩效监控，年终执行完毕后，对</w:t>
      </w:r>
      <w:r>
        <w:rPr>
          <w:rFonts w:hint="eastAsia" w:ascii="仿宋_GB2312" w:hAnsi="仿宋_GB2312" w:eastAsia="仿宋_GB2312" w:cs="仿宋_GB2312"/>
          <w:sz w:val="32"/>
          <w:szCs w:val="32"/>
          <w:lang w:val="en-US" w:eastAsia="zh-CN"/>
        </w:rPr>
        <w:t>2</w:t>
      </w:r>
      <w:r>
        <w:rPr>
          <w:rFonts w:hint="eastAsia" w:ascii="仿宋_GB2312" w:hAnsi="仿宋_GB2312" w:eastAsia="仿宋_GB2312" w:cs="仿宋_GB2312"/>
          <w:sz w:val="32"/>
          <w:szCs w:val="32"/>
        </w:rPr>
        <w:t>个项目开展了绩效自评，2021年特定目标类部门预算项目绩效目标自评表见附件（第四部分）。</w:t>
      </w:r>
    </w:p>
    <w:p>
      <w:pPr>
        <w:widowControl/>
        <w:jc w:val="left"/>
        <w:rPr>
          <w:rFonts w:ascii="仿宋_GB2312" w:eastAsia="仿宋_GB2312"/>
          <w:b/>
          <w:sz w:val="32"/>
          <w:szCs w:val="32"/>
        </w:rPr>
      </w:pPr>
      <w:r>
        <w:rPr>
          <w:rFonts w:ascii="仿宋_GB2312" w:eastAsia="仿宋_GB2312"/>
          <w:b/>
          <w:sz w:val="32"/>
          <w:szCs w:val="32"/>
        </w:rPr>
        <w:br w:type="page"/>
      </w:r>
    </w:p>
    <w:p>
      <w:pPr>
        <w:numPr>
          <w:ilvl w:val="0"/>
          <w:numId w:val="4"/>
        </w:numPr>
        <w:spacing w:line="600" w:lineRule="exact"/>
        <w:ind w:firstLine="660" w:firstLineChars="150"/>
        <w:jc w:val="center"/>
        <w:outlineLvl w:val="0"/>
        <w:rPr>
          <w:rStyle w:val="24"/>
          <w:rFonts w:ascii="黑体" w:hAnsi="黑体" w:eastAsia="黑体"/>
          <w:b w:val="0"/>
        </w:rPr>
      </w:pPr>
      <w:bookmarkStart w:id="51" w:name="_Toc15396613"/>
      <w:bookmarkStart w:id="52" w:name="_Toc15377225"/>
      <w:r>
        <w:rPr>
          <w:rFonts w:hint="eastAsia" w:ascii="黑体" w:hAnsi="黑体" w:eastAsia="黑体"/>
          <w:sz w:val="44"/>
          <w:szCs w:val="44"/>
        </w:rPr>
        <w:t>名</w:t>
      </w:r>
      <w:r>
        <w:rPr>
          <w:rStyle w:val="24"/>
          <w:rFonts w:hint="eastAsia" w:ascii="黑体" w:hAnsi="黑体" w:eastAsia="黑体"/>
          <w:b w:val="0"/>
        </w:rPr>
        <w:t>词解释</w:t>
      </w:r>
      <w:bookmarkEnd w:id="51"/>
      <w:bookmarkEnd w:id="52"/>
    </w:p>
    <w:p>
      <w:pPr>
        <w:spacing w:line="600" w:lineRule="exact"/>
        <w:jc w:val="left"/>
        <w:rPr>
          <w:rFonts w:ascii="宋体"/>
          <w:b/>
          <w:sz w:val="44"/>
          <w:szCs w:val="44"/>
        </w:rPr>
      </w:pPr>
    </w:p>
    <w:p>
      <w:pPr>
        <w:pStyle w:val="22"/>
        <w:spacing w:line="600" w:lineRule="exact"/>
        <w:ind w:firstLine="640" w:firstLineChars="200"/>
        <w:rPr>
          <w:rFonts w:ascii="Times New Roman" w:hAnsi="Times New Roman" w:eastAsia="仿宋_GB2312" w:cs="Times New Roman"/>
          <w:sz w:val="32"/>
          <w:szCs w:val="32"/>
        </w:rPr>
      </w:pPr>
      <w:bookmarkStart w:id="53" w:name="_Toc15377226"/>
      <w:r>
        <w:rPr>
          <w:rFonts w:ascii="Times New Roman" w:hAnsi="Times New Roman" w:eastAsia="仿宋_GB2312" w:cs="Times New Roman"/>
          <w:sz w:val="32"/>
          <w:szCs w:val="32"/>
        </w:rPr>
        <w:t xml:space="preserve">1.财政拨款收入：指省级财政当年拨付的资金。 </w:t>
      </w:r>
    </w:p>
    <w:p>
      <w:pPr>
        <w:pStyle w:val="22"/>
        <w:spacing w:line="600" w:lineRule="exact"/>
        <w:ind w:firstLine="640" w:firstLineChars="200"/>
        <w:rPr>
          <w:rFonts w:ascii="Times New Roman" w:hAnsi="Times New Roman" w:eastAsia="仿宋_GB2312" w:cs="Times New Roman"/>
          <w:color w:val="auto"/>
          <w:sz w:val="32"/>
          <w:szCs w:val="32"/>
        </w:rPr>
      </w:pPr>
      <w:r>
        <w:rPr>
          <w:rFonts w:ascii="Times New Roman" w:hAnsi="Times New Roman" w:eastAsia="仿宋_GB2312" w:cs="Times New Roman"/>
          <w:sz w:val="32"/>
          <w:szCs w:val="32"/>
        </w:rPr>
        <w:t>2.事业</w:t>
      </w:r>
      <w:r>
        <w:rPr>
          <w:rFonts w:ascii="Times New Roman" w:hAnsi="Times New Roman" w:eastAsia="仿宋_GB2312" w:cs="Times New Roman"/>
          <w:color w:val="auto"/>
          <w:sz w:val="32"/>
          <w:szCs w:val="32"/>
        </w:rPr>
        <w:t>收入：指事业单位开展专业业务活动及辅助活动所取得的收入。如学校根据国家有关部门批准的项目和标准收取的学费、住宿费等。</w:t>
      </w:r>
    </w:p>
    <w:p>
      <w:pPr>
        <w:pStyle w:val="22"/>
        <w:spacing w:line="600" w:lineRule="exact"/>
        <w:ind w:firstLine="640" w:firstLineChars="200"/>
        <w:rPr>
          <w:rFonts w:ascii="Times New Roman" w:hAnsi="Times New Roman" w:eastAsia="仿宋_GB2312" w:cs="Times New Roman"/>
          <w:color w:val="auto"/>
          <w:sz w:val="32"/>
          <w:szCs w:val="32"/>
        </w:rPr>
      </w:pPr>
      <w:r>
        <w:rPr>
          <w:rFonts w:ascii="Times New Roman" w:hAnsi="Times New Roman" w:eastAsia="仿宋_GB2312" w:cs="Times New Roman"/>
          <w:color w:val="auto"/>
          <w:sz w:val="32"/>
          <w:szCs w:val="32"/>
        </w:rPr>
        <w:t xml:space="preserve">3.其他收入：指除上述“财政拨款收入”、“事业收入”、“经营收入”等以外的收入。主要是捐赠收入、利息收入等。 </w:t>
      </w:r>
    </w:p>
    <w:p>
      <w:pPr>
        <w:pStyle w:val="22"/>
        <w:spacing w:line="600" w:lineRule="exact"/>
        <w:ind w:firstLine="640" w:firstLineChars="200"/>
        <w:rPr>
          <w:rFonts w:ascii="Times New Roman" w:hAnsi="Times New Roman" w:eastAsia="仿宋_GB2312" w:cs="Times New Roman"/>
          <w:sz w:val="32"/>
          <w:szCs w:val="32"/>
        </w:rPr>
      </w:pPr>
      <w:r>
        <w:rPr>
          <w:rFonts w:ascii="Times New Roman" w:hAnsi="Times New Roman" w:eastAsia="仿宋_GB2312" w:cs="Times New Roman"/>
          <w:color w:val="auto"/>
          <w:sz w:val="32"/>
          <w:szCs w:val="32"/>
        </w:rPr>
        <w:t>4.用事业基金弥补收支差额：指事业单位在当年的“财政拨款收入”、“事业收入”、“经营收入”、“其他收入”不足以安排当年支出的情况下，使用以前年度积累的事业基金（</w:t>
      </w:r>
      <w:r>
        <w:rPr>
          <w:rFonts w:ascii="Times New Roman" w:hAnsi="Times New Roman" w:eastAsia="仿宋_GB2312" w:cs="Times New Roman"/>
          <w:sz w:val="32"/>
          <w:szCs w:val="32"/>
        </w:rPr>
        <w:t xml:space="preserve">事业单位当年收支相抵后按国家规定提取、用于弥补以后年度收支差额的基金）弥补本年度收支缺口的资金。 </w:t>
      </w:r>
    </w:p>
    <w:p>
      <w:pPr>
        <w:pStyle w:val="22"/>
        <w:spacing w:line="600" w:lineRule="exact"/>
        <w:ind w:firstLine="640" w:firstLineChars="200"/>
        <w:rPr>
          <w:rFonts w:ascii="Times New Roman" w:hAnsi="Times New Roman" w:eastAsia="仿宋_GB2312" w:cs="Times New Roman"/>
          <w:sz w:val="32"/>
          <w:szCs w:val="32"/>
        </w:rPr>
      </w:pPr>
      <w:r>
        <w:rPr>
          <w:rFonts w:ascii="Times New Roman" w:hAnsi="Times New Roman" w:eastAsia="仿宋_GB2312" w:cs="Times New Roman"/>
          <w:sz w:val="32"/>
          <w:szCs w:val="32"/>
        </w:rPr>
        <w:t xml:space="preserve">5.年初结转和结余：指以前年度尚未完成、结转到本年按有关规定继续使用的资金。 </w:t>
      </w:r>
    </w:p>
    <w:p>
      <w:pPr>
        <w:spacing w:line="600" w:lineRule="exact"/>
        <w:ind w:firstLine="640" w:firstLineChars="200"/>
        <w:rPr>
          <w:rFonts w:eastAsia="仿宋_GB2312"/>
          <w:color w:val="000000"/>
          <w:sz w:val="32"/>
          <w:szCs w:val="32"/>
        </w:rPr>
      </w:pPr>
      <w:r>
        <w:rPr>
          <w:rFonts w:eastAsia="仿宋_GB2312"/>
          <w:color w:val="000000"/>
          <w:sz w:val="32"/>
          <w:szCs w:val="32"/>
        </w:rPr>
        <w:t>6.一般公共服务（类）组织事务（款）其他组织事务支出（项）:指其他用于组织事务方面的支出。</w:t>
      </w:r>
    </w:p>
    <w:p>
      <w:pPr>
        <w:spacing w:line="600" w:lineRule="exact"/>
        <w:ind w:firstLine="640" w:firstLineChars="200"/>
        <w:rPr>
          <w:rFonts w:eastAsia="仿宋_GB2312"/>
          <w:color w:val="000000"/>
          <w:sz w:val="32"/>
          <w:szCs w:val="32"/>
        </w:rPr>
      </w:pPr>
      <w:r>
        <w:rPr>
          <w:rFonts w:eastAsia="仿宋_GB2312"/>
          <w:color w:val="000000"/>
          <w:sz w:val="32"/>
          <w:szCs w:val="32"/>
        </w:rPr>
        <w:t>7.教育（类）教育管理事务（款）行政运行（项）:指行政单位的基本支出。 </w:t>
      </w:r>
    </w:p>
    <w:p>
      <w:pPr>
        <w:spacing w:line="600" w:lineRule="exact"/>
        <w:ind w:firstLine="640" w:firstLineChars="200"/>
        <w:rPr>
          <w:rFonts w:eastAsia="仿宋_GB2312"/>
          <w:color w:val="000000"/>
          <w:sz w:val="32"/>
          <w:szCs w:val="32"/>
        </w:rPr>
      </w:pPr>
      <w:r>
        <w:rPr>
          <w:rFonts w:eastAsia="仿宋_GB2312"/>
          <w:color w:val="000000"/>
          <w:sz w:val="32"/>
          <w:szCs w:val="32"/>
        </w:rPr>
        <w:t>8.教育（类）教育管理事务（款）其他教育管理事务支出（项）:指反映除上述项目以外其他用于教育管理事务方面的支出。</w:t>
      </w:r>
    </w:p>
    <w:p>
      <w:pPr>
        <w:spacing w:line="600" w:lineRule="exact"/>
        <w:ind w:firstLine="640" w:firstLineChars="200"/>
        <w:rPr>
          <w:rFonts w:eastAsia="仿宋_GB2312"/>
          <w:color w:val="000000"/>
          <w:sz w:val="32"/>
          <w:szCs w:val="32"/>
        </w:rPr>
      </w:pPr>
      <w:r>
        <w:rPr>
          <w:rFonts w:eastAsia="仿宋_GB2312"/>
          <w:color w:val="000000"/>
          <w:sz w:val="32"/>
          <w:szCs w:val="32"/>
        </w:rPr>
        <w:t>9.教育（类）普通教育（款）学前教育（项）:指乐山市市中区教育局举办的学前教育支出。</w:t>
      </w:r>
    </w:p>
    <w:p>
      <w:pPr>
        <w:spacing w:line="600" w:lineRule="exact"/>
        <w:ind w:firstLine="640" w:firstLineChars="200"/>
        <w:rPr>
          <w:rFonts w:eastAsia="仿宋_GB2312"/>
          <w:color w:val="000000"/>
          <w:sz w:val="32"/>
          <w:szCs w:val="32"/>
        </w:rPr>
      </w:pPr>
      <w:r>
        <w:rPr>
          <w:rFonts w:eastAsia="仿宋_GB2312"/>
          <w:color w:val="000000"/>
          <w:sz w:val="32"/>
          <w:szCs w:val="32"/>
        </w:rPr>
        <w:t>10.教育（类）普通教育（款）小学教育（项）:指乐山市市中区教育局举办的小学教育支出。</w:t>
      </w:r>
    </w:p>
    <w:p>
      <w:pPr>
        <w:spacing w:line="600" w:lineRule="exact"/>
        <w:ind w:firstLine="640" w:firstLineChars="200"/>
        <w:rPr>
          <w:rFonts w:eastAsia="仿宋_GB2312"/>
          <w:color w:val="000000"/>
          <w:sz w:val="32"/>
          <w:szCs w:val="32"/>
        </w:rPr>
      </w:pPr>
      <w:r>
        <w:rPr>
          <w:rFonts w:eastAsia="仿宋_GB2312"/>
          <w:color w:val="000000"/>
          <w:sz w:val="32"/>
          <w:szCs w:val="32"/>
        </w:rPr>
        <w:t>11.教育（类）普通教育（款）初中教育（项）:指乐山市市中区教育局举办的初中教育支出。</w:t>
      </w:r>
    </w:p>
    <w:p>
      <w:pPr>
        <w:spacing w:line="600" w:lineRule="exact"/>
        <w:ind w:firstLine="640" w:firstLineChars="200"/>
        <w:rPr>
          <w:rFonts w:eastAsia="仿宋_GB2312"/>
          <w:color w:val="000000"/>
          <w:sz w:val="32"/>
          <w:szCs w:val="32"/>
        </w:rPr>
      </w:pPr>
      <w:r>
        <w:rPr>
          <w:rFonts w:eastAsia="仿宋_GB2312"/>
          <w:color w:val="000000"/>
          <w:sz w:val="32"/>
          <w:szCs w:val="32"/>
        </w:rPr>
        <w:t>12.教育（类）普通教育（款）高中教育（项）:指乐山市市中区教育局举办的高中教育支出。</w:t>
      </w:r>
    </w:p>
    <w:p>
      <w:pPr>
        <w:spacing w:line="600" w:lineRule="exact"/>
        <w:ind w:firstLine="640" w:firstLineChars="200"/>
        <w:rPr>
          <w:rFonts w:eastAsia="仿宋_GB2312"/>
          <w:color w:val="000000"/>
          <w:sz w:val="32"/>
          <w:szCs w:val="32"/>
        </w:rPr>
      </w:pPr>
      <w:r>
        <w:rPr>
          <w:rFonts w:eastAsia="仿宋_GB2312"/>
          <w:color w:val="000000"/>
          <w:sz w:val="32"/>
          <w:szCs w:val="32"/>
        </w:rPr>
        <w:t>13.教育（类）普通教育（款）高等教育（项）:指乐山市市中区教育局举办的高等教育支出。</w:t>
      </w:r>
    </w:p>
    <w:p>
      <w:pPr>
        <w:spacing w:line="600" w:lineRule="exact"/>
        <w:ind w:firstLine="640" w:firstLineChars="200"/>
        <w:rPr>
          <w:rFonts w:eastAsia="仿宋_GB2312"/>
          <w:color w:val="000000"/>
          <w:sz w:val="32"/>
          <w:szCs w:val="32"/>
        </w:rPr>
      </w:pPr>
      <w:r>
        <w:rPr>
          <w:rFonts w:eastAsia="仿宋_GB2312"/>
          <w:color w:val="000000"/>
          <w:sz w:val="32"/>
          <w:szCs w:val="32"/>
        </w:rPr>
        <w:t>14.教育（类）普通教育（款）其他普通教育支出（项）:指除学前教育、小学教育、初中教育、高等教育等以外其他用于普通教育方面的支出。 </w:t>
      </w:r>
    </w:p>
    <w:p>
      <w:pPr>
        <w:spacing w:line="600" w:lineRule="exact"/>
        <w:ind w:firstLine="640" w:firstLineChars="200"/>
        <w:rPr>
          <w:rFonts w:eastAsia="仿宋_GB2312"/>
          <w:color w:val="000000"/>
          <w:sz w:val="32"/>
          <w:szCs w:val="32"/>
        </w:rPr>
      </w:pPr>
      <w:r>
        <w:rPr>
          <w:rFonts w:eastAsia="仿宋_GB2312"/>
          <w:color w:val="000000"/>
          <w:sz w:val="32"/>
          <w:szCs w:val="32"/>
        </w:rPr>
        <w:t>15.教育（类）职业教育（款）中专教育（项）:指乐山市市中区教育局举办的中等专业教育支出。</w:t>
      </w:r>
    </w:p>
    <w:p>
      <w:pPr>
        <w:spacing w:line="600" w:lineRule="exact"/>
        <w:ind w:firstLine="640" w:firstLineChars="200"/>
        <w:rPr>
          <w:rFonts w:eastAsia="仿宋_GB2312"/>
          <w:color w:val="000000"/>
          <w:sz w:val="32"/>
          <w:szCs w:val="32"/>
        </w:rPr>
      </w:pPr>
      <w:r>
        <w:rPr>
          <w:rFonts w:eastAsia="仿宋_GB2312"/>
          <w:color w:val="000000"/>
          <w:sz w:val="32"/>
          <w:szCs w:val="32"/>
        </w:rPr>
        <w:t>16.教育（类）职业教育（款）职业高中教育（项）:指乐山市市中区教育局举办的职业中学教育支出。</w:t>
      </w:r>
    </w:p>
    <w:p>
      <w:pPr>
        <w:spacing w:line="600" w:lineRule="exact"/>
        <w:ind w:firstLine="640" w:firstLineChars="200"/>
        <w:rPr>
          <w:rFonts w:eastAsia="仿宋_GB2312"/>
          <w:color w:val="000000"/>
          <w:sz w:val="32"/>
          <w:szCs w:val="32"/>
        </w:rPr>
      </w:pPr>
      <w:r>
        <w:rPr>
          <w:rFonts w:eastAsia="仿宋_GB2312"/>
          <w:color w:val="000000"/>
          <w:sz w:val="32"/>
          <w:szCs w:val="32"/>
        </w:rPr>
        <w:t>17.教育（类）进修及培训（款）教师进修（项）:指反映教师进修、师资培训支出。</w:t>
      </w:r>
    </w:p>
    <w:p>
      <w:pPr>
        <w:spacing w:line="600" w:lineRule="exact"/>
        <w:ind w:firstLine="640" w:firstLineChars="200"/>
        <w:rPr>
          <w:rFonts w:eastAsia="仿宋_GB2312"/>
          <w:color w:val="000000"/>
          <w:sz w:val="32"/>
          <w:szCs w:val="32"/>
        </w:rPr>
      </w:pPr>
      <w:r>
        <w:rPr>
          <w:rFonts w:eastAsia="仿宋_GB2312"/>
          <w:color w:val="000000"/>
          <w:sz w:val="32"/>
          <w:szCs w:val="32"/>
        </w:rPr>
        <w:t>18.教育（类）进修及培训（款）培训支出（项）:指乐山市市中区教育局安排的用于培训的支出。</w:t>
      </w:r>
    </w:p>
    <w:p>
      <w:pPr>
        <w:spacing w:line="600" w:lineRule="exact"/>
        <w:ind w:firstLine="640" w:firstLineChars="200"/>
        <w:rPr>
          <w:rFonts w:eastAsia="仿宋_GB2312"/>
          <w:color w:val="000000"/>
          <w:sz w:val="32"/>
          <w:szCs w:val="32"/>
        </w:rPr>
      </w:pPr>
      <w:r>
        <w:rPr>
          <w:rFonts w:eastAsia="仿宋_GB2312"/>
          <w:color w:val="000000"/>
          <w:sz w:val="32"/>
          <w:szCs w:val="32"/>
        </w:rPr>
        <w:t>19.教育（类）教育费附加安排的支出（款）农村中小学校舍建设（项）:指反映教育附加安排用于农村中小学校舍新建、改建、修缮和维护的支出。</w:t>
      </w:r>
    </w:p>
    <w:p>
      <w:pPr>
        <w:spacing w:line="600" w:lineRule="exact"/>
        <w:ind w:firstLine="640" w:firstLineChars="200"/>
        <w:rPr>
          <w:rFonts w:eastAsia="仿宋_GB2312"/>
          <w:color w:val="000000"/>
          <w:sz w:val="32"/>
          <w:szCs w:val="32"/>
        </w:rPr>
      </w:pPr>
      <w:r>
        <w:rPr>
          <w:rFonts w:eastAsia="仿宋_GB2312"/>
          <w:color w:val="000000"/>
          <w:sz w:val="32"/>
          <w:szCs w:val="32"/>
        </w:rPr>
        <w:t>20.教育（类）教育费附加安排的支出（款）农村中小学教学设施（项）:指教育费附加安排用于改善农村中小学教学设施和办学条件的支出。</w:t>
      </w:r>
    </w:p>
    <w:p>
      <w:pPr>
        <w:spacing w:line="600" w:lineRule="exact"/>
        <w:ind w:firstLine="640" w:firstLineChars="200"/>
        <w:rPr>
          <w:rFonts w:eastAsia="仿宋_GB2312"/>
          <w:color w:val="000000"/>
          <w:sz w:val="32"/>
          <w:szCs w:val="32"/>
        </w:rPr>
      </w:pPr>
      <w:r>
        <w:rPr>
          <w:rFonts w:eastAsia="仿宋_GB2312"/>
          <w:color w:val="000000"/>
          <w:sz w:val="32"/>
          <w:szCs w:val="32"/>
        </w:rPr>
        <w:t>21.教育（类）教育费附加安排的支出（款）城市中小学校舍建设（项）: 指反映教育附加安排用于城市中小学校舍新建、改建、修缮和维护的支出</w:t>
      </w:r>
    </w:p>
    <w:p>
      <w:pPr>
        <w:spacing w:line="600" w:lineRule="exact"/>
        <w:ind w:firstLine="640" w:firstLineChars="200"/>
        <w:rPr>
          <w:rFonts w:eastAsia="仿宋_GB2312"/>
          <w:color w:val="000000"/>
          <w:sz w:val="32"/>
          <w:szCs w:val="32"/>
        </w:rPr>
      </w:pPr>
      <w:r>
        <w:rPr>
          <w:rFonts w:eastAsia="仿宋_GB2312"/>
          <w:color w:val="000000"/>
          <w:sz w:val="32"/>
          <w:szCs w:val="32"/>
        </w:rPr>
        <w:t>22.教育（类）教育费附加安排的支出（款）城市中小学教学设施（项）:指教育费附加安排用于改善城市中小学教学设施和办学条件的支出。 </w:t>
      </w:r>
    </w:p>
    <w:p>
      <w:pPr>
        <w:spacing w:line="600" w:lineRule="exact"/>
        <w:ind w:firstLine="640" w:firstLineChars="200"/>
        <w:rPr>
          <w:rFonts w:eastAsia="仿宋_GB2312"/>
          <w:color w:val="000000"/>
          <w:sz w:val="32"/>
          <w:szCs w:val="32"/>
        </w:rPr>
      </w:pPr>
      <w:r>
        <w:rPr>
          <w:rFonts w:eastAsia="仿宋_GB2312"/>
          <w:color w:val="000000"/>
          <w:sz w:val="32"/>
          <w:szCs w:val="32"/>
        </w:rPr>
        <w:t>23.教育（类）教育费附加安排的支出（款）其他教育费附加安排的支出（项）:指反映除上述项目以外其他用于教育费附加安排方面的支出。 </w:t>
      </w:r>
    </w:p>
    <w:p>
      <w:pPr>
        <w:spacing w:line="600" w:lineRule="exact"/>
        <w:ind w:firstLine="640" w:firstLineChars="200"/>
        <w:rPr>
          <w:rFonts w:eastAsia="仿宋_GB2312"/>
          <w:color w:val="000000"/>
          <w:sz w:val="32"/>
          <w:szCs w:val="32"/>
        </w:rPr>
      </w:pPr>
      <w:r>
        <w:rPr>
          <w:rFonts w:eastAsia="仿宋_GB2312"/>
          <w:color w:val="000000"/>
          <w:sz w:val="32"/>
          <w:szCs w:val="32"/>
        </w:rPr>
        <w:t>24.教育（类）其他教育支出（款）其他教育支出（项）:指其他用于教育方面的支出。 </w:t>
      </w:r>
    </w:p>
    <w:p>
      <w:pPr>
        <w:spacing w:line="600" w:lineRule="exact"/>
        <w:ind w:firstLine="640" w:firstLineChars="200"/>
        <w:rPr>
          <w:rFonts w:eastAsia="仿宋_GB2312"/>
          <w:color w:val="000000"/>
          <w:sz w:val="32"/>
          <w:szCs w:val="32"/>
        </w:rPr>
      </w:pPr>
      <w:r>
        <w:rPr>
          <w:rFonts w:eastAsia="仿宋_GB2312"/>
          <w:color w:val="000000"/>
          <w:sz w:val="32"/>
          <w:szCs w:val="32"/>
        </w:rPr>
        <w:t>25.社会保障和就业（类）人力资源和社会保障管理事（款） 社会保险经办机构（项）:反映社会保险经办机构开展业务工作的支出。</w:t>
      </w:r>
    </w:p>
    <w:p>
      <w:pPr>
        <w:spacing w:line="600" w:lineRule="exact"/>
        <w:ind w:firstLine="640" w:firstLineChars="200"/>
        <w:rPr>
          <w:rFonts w:eastAsia="仿宋_GB2312"/>
          <w:color w:val="000000"/>
          <w:sz w:val="32"/>
          <w:szCs w:val="32"/>
        </w:rPr>
      </w:pPr>
      <w:r>
        <w:rPr>
          <w:rFonts w:eastAsia="仿宋_GB2312"/>
          <w:color w:val="000000"/>
          <w:sz w:val="32"/>
          <w:szCs w:val="32"/>
        </w:rPr>
        <w:t>26.社会保障和就业（类）行政事业单位离退休（款）未归口管理的行政单位离退休（项）:。指未实行归口管理的行政单位（包括实行公务员管理的事业单位）开支的离退休支出。</w:t>
      </w:r>
    </w:p>
    <w:p>
      <w:pPr>
        <w:spacing w:line="600" w:lineRule="exact"/>
        <w:ind w:firstLine="640" w:firstLineChars="200"/>
        <w:rPr>
          <w:rFonts w:eastAsia="仿宋_GB2312"/>
          <w:color w:val="000000"/>
          <w:sz w:val="32"/>
          <w:szCs w:val="32"/>
        </w:rPr>
      </w:pPr>
      <w:r>
        <w:rPr>
          <w:rFonts w:eastAsia="仿宋_GB2312"/>
          <w:color w:val="000000"/>
          <w:sz w:val="32"/>
          <w:szCs w:val="32"/>
        </w:rPr>
        <w:t>27.社会保障和就业（类）行政事业单位离退休（款）机关事业单位基本养老保险缴费支出（项）:指机关事业单位实施养老保险制度由单位缴纳的基本养老保险费支出。 </w:t>
      </w:r>
    </w:p>
    <w:p>
      <w:pPr>
        <w:spacing w:line="600" w:lineRule="exact"/>
        <w:ind w:firstLine="640" w:firstLineChars="200"/>
        <w:rPr>
          <w:rFonts w:eastAsia="仿宋_GB2312"/>
          <w:color w:val="000000"/>
          <w:sz w:val="32"/>
          <w:szCs w:val="32"/>
        </w:rPr>
      </w:pPr>
      <w:r>
        <w:rPr>
          <w:rFonts w:eastAsia="仿宋_GB2312"/>
          <w:color w:val="000000"/>
          <w:sz w:val="32"/>
          <w:szCs w:val="32"/>
        </w:rPr>
        <w:t>28.社会保障和就业（类）行政事业单位离退休（款）其他行政事业单位离退休支出（项）:其他用于行政事业单位离退休方面的支出。</w:t>
      </w:r>
    </w:p>
    <w:p>
      <w:pPr>
        <w:spacing w:line="600" w:lineRule="exact"/>
        <w:ind w:firstLine="640" w:firstLineChars="200"/>
        <w:rPr>
          <w:rFonts w:eastAsia="仿宋_GB2312"/>
          <w:color w:val="000000"/>
          <w:sz w:val="32"/>
          <w:szCs w:val="32"/>
        </w:rPr>
      </w:pPr>
      <w:r>
        <w:rPr>
          <w:rFonts w:eastAsia="仿宋_GB2312"/>
          <w:color w:val="000000"/>
          <w:sz w:val="32"/>
          <w:szCs w:val="32"/>
        </w:rPr>
        <w:t>29.社会保障和就业（类）抚恤（款）死亡抚恤（项）:指按规定用于烈士和牺牲、病故人员家属的一次性和定期抚恤金以及丧葬补助费。</w:t>
      </w:r>
    </w:p>
    <w:p>
      <w:pPr>
        <w:spacing w:line="600" w:lineRule="exact"/>
        <w:ind w:firstLine="640" w:firstLineChars="200"/>
        <w:rPr>
          <w:rFonts w:eastAsia="仿宋_GB2312"/>
          <w:color w:val="000000"/>
          <w:sz w:val="32"/>
          <w:szCs w:val="32"/>
        </w:rPr>
      </w:pPr>
      <w:r>
        <w:rPr>
          <w:rFonts w:eastAsia="仿宋_GB2312"/>
          <w:color w:val="000000"/>
          <w:sz w:val="32"/>
          <w:szCs w:val="32"/>
        </w:rPr>
        <w:t>30.社会保障和就业（类）残疾人事业（款）其他残疾人事业支出（项）:反映其他用于残疾人事业方面的支出。</w:t>
      </w:r>
    </w:p>
    <w:p>
      <w:pPr>
        <w:spacing w:line="600" w:lineRule="exact"/>
        <w:ind w:firstLine="640" w:firstLineChars="200"/>
        <w:rPr>
          <w:rFonts w:eastAsia="仿宋_GB2312"/>
          <w:color w:val="000000"/>
          <w:sz w:val="32"/>
          <w:szCs w:val="32"/>
        </w:rPr>
      </w:pPr>
      <w:r>
        <w:rPr>
          <w:rFonts w:eastAsia="仿宋_GB2312"/>
          <w:color w:val="000000"/>
          <w:sz w:val="32"/>
          <w:szCs w:val="32"/>
        </w:rPr>
        <w:t>31.社会保障和就业（类）其他社会保障和就业支出（款）其他社会保障和就业支出（项）:指社会保障和就业方面的其他支出。 </w:t>
      </w:r>
    </w:p>
    <w:p>
      <w:pPr>
        <w:spacing w:line="600" w:lineRule="exact"/>
        <w:ind w:firstLine="640" w:firstLineChars="200"/>
        <w:rPr>
          <w:rFonts w:eastAsia="仿宋_GB2312"/>
          <w:color w:val="000000"/>
          <w:sz w:val="32"/>
          <w:szCs w:val="32"/>
        </w:rPr>
      </w:pPr>
      <w:r>
        <w:rPr>
          <w:rFonts w:eastAsia="仿宋_GB2312"/>
          <w:color w:val="000000"/>
          <w:sz w:val="32"/>
          <w:szCs w:val="32"/>
        </w:rPr>
        <w:t>32.医疗卫生与计划生育（类）医疗保障（款）行政单位医疗（项）:指财政部门集中安排的行政单位基本医疗保险缴费经费，未参加医疗保险的行政单位的公费医疗经费，按国家规定享受离休人员、红军老战士待遇人员的医疗经费。 </w:t>
      </w:r>
    </w:p>
    <w:p>
      <w:pPr>
        <w:spacing w:line="600" w:lineRule="exact"/>
        <w:ind w:firstLine="640" w:firstLineChars="200"/>
        <w:rPr>
          <w:rFonts w:eastAsia="仿宋_GB2312"/>
          <w:color w:val="000000"/>
          <w:sz w:val="32"/>
          <w:szCs w:val="32"/>
        </w:rPr>
      </w:pPr>
      <w:r>
        <w:rPr>
          <w:rFonts w:eastAsia="仿宋_GB2312"/>
          <w:color w:val="000000"/>
          <w:sz w:val="32"/>
          <w:szCs w:val="32"/>
        </w:rPr>
        <w:t>33.医疗卫生与计划生育（类）医疗保障（款）事业单位医疗（项）:指财政部门集中安排的事业单位基本医疗保险缴费经费，未参加医疗保险的事业单位的公费医疗经费，按国家规定享受离休人员待遇人员的医疗经费。</w:t>
      </w:r>
    </w:p>
    <w:p>
      <w:pPr>
        <w:spacing w:line="600" w:lineRule="exact"/>
        <w:ind w:firstLine="640" w:firstLineChars="200"/>
        <w:rPr>
          <w:rFonts w:eastAsia="仿宋_GB2312"/>
          <w:color w:val="000000"/>
          <w:sz w:val="32"/>
          <w:szCs w:val="32"/>
        </w:rPr>
      </w:pPr>
      <w:r>
        <w:rPr>
          <w:rFonts w:eastAsia="仿宋_GB2312"/>
          <w:color w:val="000000"/>
          <w:sz w:val="32"/>
          <w:szCs w:val="32"/>
        </w:rPr>
        <w:t>34.国土海洋气象等（类）国土资源事务（款）地址灾害防治（项）:主要用于地质灾害防治工作方面的支出。</w:t>
      </w:r>
    </w:p>
    <w:p>
      <w:pPr>
        <w:spacing w:line="600" w:lineRule="exact"/>
        <w:ind w:firstLine="640" w:firstLineChars="200"/>
        <w:rPr>
          <w:rFonts w:eastAsia="仿宋_GB2312"/>
          <w:color w:val="000000"/>
          <w:sz w:val="32"/>
          <w:szCs w:val="32"/>
        </w:rPr>
      </w:pPr>
      <w:r>
        <w:rPr>
          <w:rFonts w:eastAsia="仿宋_GB2312"/>
          <w:color w:val="000000"/>
          <w:sz w:val="32"/>
          <w:szCs w:val="32"/>
        </w:rPr>
        <w:t>35.住房保障（类）住房改革支出（款）住房公积金（项）:各单位按人力资源和社会保障部、财政部规定的基本工资和津贴补贴以及规定比例为职工缴纳的住房公积金。 </w:t>
      </w:r>
    </w:p>
    <w:p>
      <w:pPr>
        <w:spacing w:line="600" w:lineRule="exact"/>
        <w:ind w:firstLine="640" w:firstLineChars="200"/>
        <w:rPr>
          <w:rFonts w:eastAsia="仿宋_GB2312"/>
          <w:color w:val="000000"/>
          <w:sz w:val="32"/>
          <w:szCs w:val="32"/>
        </w:rPr>
      </w:pPr>
      <w:r>
        <w:rPr>
          <w:rFonts w:eastAsia="仿宋_GB2312"/>
          <w:color w:val="000000"/>
          <w:sz w:val="32"/>
          <w:szCs w:val="32"/>
        </w:rPr>
        <w:t>36.结余分配：指事业单位按规定提取的职工福利基金、事业基金和缴纳的所得税，以及建设单位按规定应交回的基本建设竣工项目结余资金。</w:t>
      </w:r>
    </w:p>
    <w:p>
      <w:pPr>
        <w:spacing w:line="600" w:lineRule="exact"/>
        <w:ind w:firstLine="640" w:firstLineChars="200"/>
        <w:rPr>
          <w:rFonts w:eastAsia="仿宋_GB2312"/>
          <w:color w:val="000000"/>
          <w:sz w:val="32"/>
          <w:szCs w:val="32"/>
        </w:rPr>
      </w:pPr>
      <w:r>
        <w:rPr>
          <w:rFonts w:eastAsia="仿宋_GB2312"/>
          <w:color w:val="000000"/>
          <w:sz w:val="32"/>
          <w:szCs w:val="32"/>
        </w:rPr>
        <w:t>37.年末结转和结余：指本年度或以前年度预算安排、因客观条件发生变化无法按原计划实施，需延迟到以后年度按有关规定继续使用的资金。</w:t>
      </w:r>
    </w:p>
    <w:p>
      <w:pPr>
        <w:spacing w:line="600" w:lineRule="exact"/>
        <w:ind w:firstLine="640" w:firstLineChars="200"/>
        <w:rPr>
          <w:rFonts w:eastAsia="仿宋_GB2312"/>
          <w:color w:val="000000"/>
          <w:sz w:val="32"/>
          <w:szCs w:val="32"/>
        </w:rPr>
      </w:pPr>
      <w:r>
        <w:rPr>
          <w:rFonts w:eastAsia="仿宋_GB2312"/>
          <w:color w:val="000000"/>
          <w:sz w:val="32"/>
          <w:szCs w:val="32"/>
        </w:rPr>
        <w:t>38.基本支出：指为保障机构正常运转、完成日常工作任务而发生的人员支出和公用支出。</w:t>
      </w:r>
    </w:p>
    <w:p>
      <w:pPr>
        <w:spacing w:line="600" w:lineRule="exact"/>
        <w:ind w:firstLine="640" w:firstLineChars="200"/>
        <w:rPr>
          <w:rFonts w:eastAsia="仿宋_GB2312"/>
          <w:color w:val="000000"/>
          <w:sz w:val="32"/>
          <w:szCs w:val="32"/>
        </w:rPr>
      </w:pPr>
      <w:r>
        <w:rPr>
          <w:rFonts w:eastAsia="仿宋_GB2312"/>
          <w:color w:val="000000"/>
          <w:sz w:val="32"/>
          <w:szCs w:val="32"/>
        </w:rPr>
        <w:t xml:space="preserve">39.项目支出：指在基本支出之外为完成特定行政任务和事业发展目标所发生的支出。 </w:t>
      </w:r>
    </w:p>
    <w:p>
      <w:pPr>
        <w:spacing w:line="600" w:lineRule="exact"/>
        <w:ind w:firstLine="640" w:firstLineChars="200"/>
        <w:rPr>
          <w:rFonts w:eastAsia="仿宋_GB2312"/>
          <w:color w:val="000000"/>
          <w:sz w:val="32"/>
          <w:szCs w:val="32"/>
        </w:rPr>
      </w:pPr>
      <w:r>
        <w:rPr>
          <w:rFonts w:eastAsia="仿宋_GB2312"/>
          <w:color w:val="000000"/>
          <w:sz w:val="32"/>
          <w:szCs w:val="32"/>
        </w:rPr>
        <w:t>40.经营支出：指事业单位在专业业务活动及其辅助活动之外开展非独立核算经营活动发生的支出。</w:t>
      </w:r>
    </w:p>
    <w:p>
      <w:pPr>
        <w:pStyle w:val="22"/>
        <w:spacing w:line="600" w:lineRule="exact"/>
        <w:ind w:firstLine="640" w:firstLineChars="200"/>
        <w:rPr>
          <w:rFonts w:ascii="仿宋_GB2312" w:eastAsia="仿宋_GB2312"/>
          <w:color w:val="auto"/>
          <w:sz w:val="32"/>
          <w:szCs w:val="32"/>
        </w:rPr>
      </w:pPr>
      <w:r>
        <w:rPr>
          <w:rFonts w:ascii="Times New Roman" w:hAnsi="Times New Roman" w:eastAsia="仿宋_GB2312" w:cs="Times New Roman"/>
          <w:sz w:val="32"/>
          <w:szCs w:val="32"/>
        </w:rPr>
        <w:t>41.“三公”经费：纳入省级财政预决算管理的“三公”经费，是指部门用财政拨款安排的因公出国（境）费、公务用车购置及运行费和公务接待费。其中，因公出国（境）费反映单位公务出国（境）的国际旅费、国外城市间交通费、住宿费、伙食费、培训费、公杂费等支出；公务用车购置及运行费反映单位公务用车车辆购置支出（含车辆购置税）及租用费、燃料费、维修费、过路过桥费、保险费、安全奖励费用等支出；公务接待费反映单位按规定开支的各类公务接待（含外宾接待）支出。</w:t>
      </w:r>
    </w:p>
    <w:p>
      <w:pPr>
        <w:spacing w:line="600" w:lineRule="exact"/>
        <w:jc w:val="center"/>
        <w:outlineLvl w:val="0"/>
        <w:rPr>
          <w:rStyle w:val="24"/>
          <w:rFonts w:ascii="黑体" w:hAnsi="黑体" w:eastAsia="黑体"/>
          <w:b w:val="0"/>
        </w:rPr>
      </w:pPr>
      <w:r>
        <w:rPr>
          <w:rFonts w:ascii="宋体"/>
          <w:b/>
          <w:sz w:val="44"/>
          <w:szCs w:val="44"/>
        </w:rPr>
        <w:br w:type="page"/>
      </w:r>
      <w:bookmarkStart w:id="54" w:name="_Toc15396614"/>
      <w:r>
        <w:rPr>
          <w:rFonts w:hint="eastAsia" w:ascii="黑体" w:hAnsi="黑体" w:eastAsia="黑体"/>
          <w:sz w:val="44"/>
          <w:szCs w:val="44"/>
        </w:rPr>
        <w:t>第</w:t>
      </w:r>
      <w:r>
        <w:rPr>
          <w:rStyle w:val="24"/>
          <w:rFonts w:hint="eastAsia" w:ascii="黑体" w:hAnsi="黑体" w:eastAsia="黑体"/>
          <w:b w:val="0"/>
        </w:rPr>
        <w:t>四部分 附件</w:t>
      </w:r>
      <w:bookmarkEnd w:id="54"/>
    </w:p>
    <w:p>
      <w:pPr>
        <w:spacing w:line="572" w:lineRule="exact"/>
        <w:jc w:val="left"/>
        <w:outlineLvl w:val="0"/>
        <w:rPr>
          <w:rFonts w:ascii="仿宋_GB2312" w:hAnsi="仿宋_GB2312" w:eastAsia="仿宋_GB2312" w:cs="仿宋_GB2312"/>
          <w:sz w:val="32"/>
          <w:szCs w:val="32"/>
        </w:rPr>
      </w:pPr>
      <w:r>
        <w:rPr>
          <w:rFonts w:hint="eastAsia" w:ascii="黑体" w:hAnsi="黑体" w:eastAsia="黑体" w:cs="黑体"/>
          <w:sz w:val="32"/>
          <w:szCs w:val="32"/>
        </w:rPr>
        <w:t>附件</w:t>
      </w:r>
    </w:p>
    <w:p>
      <w:pPr>
        <w:jc w:val="center"/>
        <w:outlineLvl w:val="0"/>
        <w:rPr>
          <w:rFonts w:hint="eastAsia" w:ascii="黑体" w:hAnsi="黑体" w:eastAsia="黑体"/>
          <w:sz w:val="44"/>
          <w:szCs w:val="44"/>
          <w:lang w:eastAsia="zh-CN"/>
        </w:rPr>
      </w:pPr>
      <w:bookmarkStart w:id="55" w:name="_Toc15396618"/>
      <w:r>
        <w:rPr>
          <w:rFonts w:hint="eastAsia" w:ascii="黑体" w:hAnsi="黑体" w:eastAsia="黑体"/>
          <w:sz w:val="44"/>
          <w:szCs w:val="44"/>
          <w:lang w:eastAsia="zh-CN"/>
        </w:rPr>
        <w:drawing>
          <wp:inline distT="0" distB="0" distL="114300" distR="114300">
            <wp:extent cx="4906010" cy="3788410"/>
            <wp:effectExtent l="0" t="0" r="8890" b="2540"/>
            <wp:docPr id="21" name="图片 21" descr="微信图片_20221017153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微信图片_20221017153723"/>
                    <pic:cNvPicPr>
                      <a:picLocks noChangeAspect="1"/>
                    </pic:cNvPicPr>
                  </pic:nvPicPr>
                  <pic:blipFill>
                    <a:blip r:embed="rId14"/>
                    <a:stretch>
                      <a:fillRect/>
                    </a:stretch>
                  </pic:blipFill>
                  <pic:spPr>
                    <a:xfrm>
                      <a:off x="0" y="0"/>
                      <a:ext cx="4906010" cy="3788410"/>
                    </a:xfrm>
                    <a:prstGeom prst="rect">
                      <a:avLst/>
                    </a:prstGeom>
                  </pic:spPr>
                </pic:pic>
              </a:graphicData>
            </a:graphic>
          </wp:inline>
        </w:drawing>
      </w:r>
    </w:p>
    <w:p>
      <w:pPr>
        <w:pStyle w:val="2"/>
        <w:rPr>
          <w:rFonts w:hint="eastAsia"/>
          <w:lang w:eastAsia="zh-CN"/>
        </w:rPr>
      </w:pPr>
      <w:r>
        <w:rPr>
          <w:rFonts w:hint="eastAsia"/>
          <w:lang w:eastAsia="zh-CN"/>
        </w:rPr>
        <w:drawing>
          <wp:inline distT="0" distB="0" distL="114300" distR="114300">
            <wp:extent cx="4979670" cy="3886200"/>
            <wp:effectExtent l="0" t="0" r="11430" b="0"/>
            <wp:docPr id="22" name="图片 22" descr="微信图片_20221017153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微信图片_20221017153707"/>
                    <pic:cNvPicPr>
                      <a:picLocks noChangeAspect="1"/>
                    </pic:cNvPicPr>
                  </pic:nvPicPr>
                  <pic:blipFill>
                    <a:blip r:embed="rId15"/>
                    <a:stretch>
                      <a:fillRect/>
                    </a:stretch>
                  </pic:blipFill>
                  <pic:spPr>
                    <a:xfrm>
                      <a:off x="0" y="0"/>
                      <a:ext cx="4979670" cy="3886200"/>
                    </a:xfrm>
                    <a:prstGeom prst="rect">
                      <a:avLst/>
                    </a:prstGeom>
                  </pic:spPr>
                </pic:pic>
              </a:graphicData>
            </a:graphic>
          </wp:inline>
        </w:drawing>
      </w:r>
    </w:p>
    <w:p>
      <w:pPr>
        <w:pStyle w:val="2"/>
        <w:rPr>
          <w:rFonts w:hint="eastAsia"/>
          <w:lang w:eastAsia="zh-CN"/>
        </w:rPr>
      </w:pPr>
      <w:r>
        <w:rPr>
          <w:rFonts w:hint="eastAsia"/>
          <w:lang w:eastAsia="zh-CN"/>
        </w:rPr>
        <w:drawing>
          <wp:inline distT="0" distB="0" distL="114300" distR="114300">
            <wp:extent cx="4942205" cy="3788410"/>
            <wp:effectExtent l="0" t="0" r="10795" b="2540"/>
            <wp:docPr id="23" name="图片 23" descr="微信图片_20221017153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微信图片_20221017153715"/>
                    <pic:cNvPicPr>
                      <a:picLocks noChangeAspect="1"/>
                    </pic:cNvPicPr>
                  </pic:nvPicPr>
                  <pic:blipFill>
                    <a:blip r:embed="rId16"/>
                    <a:stretch>
                      <a:fillRect/>
                    </a:stretch>
                  </pic:blipFill>
                  <pic:spPr>
                    <a:xfrm>
                      <a:off x="0" y="0"/>
                      <a:ext cx="4942205" cy="3788410"/>
                    </a:xfrm>
                    <a:prstGeom prst="rect">
                      <a:avLst/>
                    </a:prstGeom>
                  </pic:spPr>
                </pic:pic>
              </a:graphicData>
            </a:graphic>
          </wp:inline>
        </w:drawing>
      </w:r>
    </w:p>
    <w:p>
      <w:pPr>
        <w:widowControl/>
        <w:adjustRightInd w:val="0"/>
        <w:snapToGrid w:val="0"/>
        <w:spacing w:line="580" w:lineRule="exact"/>
        <w:contextualSpacing/>
        <w:jc w:val="left"/>
      </w:pPr>
      <w:r>
        <w:rPr>
          <w:rFonts w:hint="eastAsia" w:ascii="仿宋_GB2312" w:hAnsi="宋体" w:eastAsia="仿宋_GB2312" w:cs="宋体"/>
          <w:color w:val="000000"/>
          <w:kern w:val="0"/>
          <w:sz w:val="32"/>
          <w:szCs w:val="32"/>
          <w:shd w:val="clear" w:color="auto" w:fill="FFFFFF"/>
        </w:rPr>
        <w:t>（注：有两个及以上特定目标类部门预算项目的，需分别开展绩效目标自评并填写附表）</w:t>
      </w:r>
    </w:p>
    <w:p>
      <w:pPr>
        <w:spacing w:line="600" w:lineRule="exact"/>
        <w:jc w:val="both"/>
        <w:outlineLvl w:val="0"/>
        <w:rPr>
          <w:rFonts w:ascii="黑体" w:hAnsi="黑体" w:eastAsia="黑体"/>
          <w:sz w:val="44"/>
          <w:szCs w:val="44"/>
        </w:rPr>
      </w:pPr>
    </w:p>
    <w:p>
      <w:pPr>
        <w:spacing w:line="600" w:lineRule="exact"/>
        <w:jc w:val="center"/>
        <w:outlineLvl w:val="0"/>
        <w:rPr>
          <w:rFonts w:ascii="仿宋" w:hAnsi="仿宋" w:eastAsia="仿宋"/>
        </w:rPr>
      </w:pPr>
      <w:r>
        <w:rPr>
          <w:rFonts w:hint="eastAsia" w:ascii="黑体" w:hAnsi="黑体" w:eastAsia="黑体"/>
          <w:sz w:val="44"/>
          <w:szCs w:val="44"/>
        </w:rPr>
        <w:t>第</w:t>
      </w:r>
      <w:r>
        <w:rPr>
          <w:rStyle w:val="24"/>
          <w:rFonts w:hint="eastAsia" w:ascii="黑体" w:hAnsi="黑体" w:eastAsia="黑体"/>
          <w:b w:val="0"/>
        </w:rPr>
        <w:t>五部分 附表</w:t>
      </w:r>
      <w:bookmarkEnd w:id="53"/>
      <w:bookmarkEnd w:id="55"/>
      <w:bookmarkStart w:id="56" w:name="_Toc15396619"/>
    </w:p>
    <w:p>
      <w:pPr>
        <w:pStyle w:val="4"/>
        <w:rPr>
          <w:rFonts w:ascii="仿宋" w:hAnsi="仿宋" w:eastAsia="仿宋"/>
        </w:rPr>
      </w:pPr>
      <w:r>
        <w:rPr>
          <w:rFonts w:hint="eastAsia" w:ascii="仿宋" w:hAnsi="仿宋" w:eastAsia="仿宋"/>
          <w:b w:val="0"/>
        </w:rPr>
        <w:t>一、收</w:t>
      </w:r>
      <w:r>
        <w:rPr>
          <w:rStyle w:val="25"/>
          <w:rFonts w:hint="eastAsia" w:ascii="仿宋" w:hAnsi="仿宋" w:eastAsia="仿宋"/>
          <w:b w:val="0"/>
          <w:bCs w:val="0"/>
        </w:rPr>
        <w:t>入支出决算总表</w:t>
      </w:r>
      <w:bookmarkEnd w:id="56"/>
    </w:p>
    <w:p>
      <w:pPr>
        <w:pStyle w:val="4"/>
        <w:rPr>
          <w:rFonts w:ascii="仿宋" w:hAnsi="仿宋" w:eastAsia="仿宋"/>
        </w:rPr>
      </w:pPr>
      <w:bookmarkStart w:id="57" w:name="_Toc15396620"/>
      <w:r>
        <w:rPr>
          <w:rFonts w:hint="eastAsia" w:ascii="仿宋" w:hAnsi="仿宋" w:eastAsia="仿宋"/>
          <w:b w:val="0"/>
        </w:rPr>
        <w:t>二、收</w:t>
      </w:r>
      <w:r>
        <w:rPr>
          <w:rStyle w:val="25"/>
          <w:rFonts w:hint="eastAsia" w:ascii="仿宋" w:hAnsi="仿宋" w:eastAsia="仿宋"/>
          <w:b w:val="0"/>
          <w:bCs w:val="0"/>
        </w:rPr>
        <w:t>入决算表</w:t>
      </w:r>
      <w:bookmarkEnd w:id="57"/>
    </w:p>
    <w:p>
      <w:pPr>
        <w:pStyle w:val="4"/>
        <w:rPr>
          <w:rFonts w:ascii="仿宋" w:hAnsi="仿宋" w:eastAsia="仿宋"/>
        </w:rPr>
      </w:pPr>
      <w:bookmarkStart w:id="58" w:name="_Toc15396621"/>
      <w:r>
        <w:rPr>
          <w:rStyle w:val="25"/>
          <w:rFonts w:hint="eastAsia" w:ascii="仿宋" w:hAnsi="仿宋" w:eastAsia="仿宋"/>
          <w:b w:val="0"/>
          <w:bCs w:val="0"/>
        </w:rPr>
        <w:t>三、</w:t>
      </w:r>
      <w:r>
        <w:rPr>
          <w:rFonts w:hint="eastAsia" w:ascii="仿宋" w:hAnsi="仿宋" w:eastAsia="仿宋"/>
          <w:b w:val="0"/>
        </w:rPr>
        <w:t>支</w:t>
      </w:r>
      <w:r>
        <w:rPr>
          <w:rStyle w:val="25"/>
          <w:rFonts w:hint="eastAsia" w:ascii="仿宋" w:hAnsi="仿宋" w:eastAsia="仿宋"/>
          <w:b w:val="0"/>
          <w:bCs w:val="0"/>
        </w:rPr>
        <w:t>出决算表</w:t>
      </w:r>
      <w:bookmarkEnd w:id="58"/>
    </w:p>
    <w:p>
      <w:pPr>
        <w:pStyle w:val="4"/>
        <w:rPr>
          <w:rFonts w:ascii="仿宋" w:hAnsi="仿宋" w:eastAsia="仿宋"/>
          <w:b w:val="0"/>
        </w:rPr>
      </w:pPr>
      <w:bookmarkStart w:id="59" w:name="_Toc15396622"/>
      <w:r>
        <w:rPr>
          <w:rStyle w:val="25"/>
          <w:rFonts w:hint="eastAsia" w:ascii="仿宋" w:hAnsi="仿宋" w:eastAsia="仿宋"/>
          <w:b w:val="0"/>
          <w:bCs w:val="0"/>
        </w:rPr>
        <w:t>四、</w:t>
      </w:r>
      <w:r>
        <w:rPr>
          <w:rFonts w:hint="eastAsia" w:ascii="仿宋" w:hAnsi="仿宋" w:eastAsia="仿宋"/>
          <w:b w:val="0"/>
        </w:rPr>
        <w:t>财</w:t>
      </w:r>
      <w:r>
        <w:rPr>
          <w:rStyle w:val="25"/>
          <w:rFonts w:hint="eastAsia" w:ascii="仿宋" w:hAnsi="仿宋" w:eastAsia="仿宋"/>
          <w:b w:val="0"/>
          <w:bCs w:val="0"/>
        </w:rPr>
        <w:t>政拨款收入支出决算总表</w:t>
      </w:r>
      <w:bookmarkEnd w:id="59"/>
    </w:p>
    <w:p>
      <w:pPr>
        <w:pStyle w:val="4"/>
        <w:rPr>
          <w:rStyle w:val="25"/>
          <w:rFonts w:ascii="仿宋" w:hAnsi="仿宋" w:eastAsia="仿宋"/>
          <w:b w:val="0"/>
          <w:bCs w:val="0"/>
        </w:rPr>
      </w:pPr>
      <w:bookmarkStart w:id="60" w:name="_Toc15396623"/>
      <w:r>
        <w:rPr>
          <w:rStyle w:val="25"/>
          <w:rFonts w:hint="eastAsia" w:ascii="仿宋" w:hAnsi="仿宋" w:eastAsia="仿宋"/>
          <w:b w:val="0"/>
          <w:bCs w:val="0"/>
        </w:rPr>
        <w:t>五、</w:t>
      </w:r>
      <w:r>
        <w:rPr>
          <w:rFonts w:hint="eastAsia" w:ascii="仿宋" w:hAnsi="仿宋" w:eastAsia="仿宋"/>
          <w:b w:val="0"/>
        </w:rPr>
        <w:t>财</w:t>
      </w:r>
      <w:r>
        <w:rPr>
          <w:rStyle w:val="25"/>
          <w:rFonts w:hint="eastAsia" w:ascii="仿宋" w:hAnsi="仿宋" w:eastAsia="仿宋"/>
          <w:b w:val="0"/>
          <w:bCs w:val="0"/>
        </w:rPr>
        <w:t>政拨款支出决算明细表</w:t>
      </w:r>
      <w:bookmarkEnd w:id="60"/>
      <w:bookmarkStart w:id="61" w:name="_Toc15396624"/>
    </w:p>
    <w:p>
      <w:pPr>
        <w:pStyle w:val="4"/>
        <w:rPr>
          <w:rFonts w:ascii="仿宋" w:hAnsi="仿宋" w:eastAsia="仿宋"/>
        </w:rPr>
      </w:pPr>
      <w:r>
        <w:rPr>
          <w:rStyle w:val="25"/>
          <w:rFonts w:hint="eastAsia" w:ascii="仿宋" w:hAnsi="仿宋" w:eastAsia="仿宋"/>
          <w:b w:val="0"/>
          <w:bCs w:val="0"/>
        </w:rPr>
        <w:t>六、</w:t>
      </w:r>
      <w:r>
        <w:rPr>
          <w:rFonts w:hint="eastAsia" w:ascii="仿宋" w:hAnsi="仿宋" w:eastAsia="仿宋"/>
          <w:b w:val="0"/>
        </w:rPr>
        <w:t>一</w:t>
      </w:r>
      <w:r>
        <w:rPr>
          <w:rStyle w:val="25"/>
          <w:rFonts w:hint="eastAsia" w:ascii="仿宋" w:hAnsi="仿宋" w:eastAsia="仿宋"/>
          <w:b w:val="0"/>
          <w:bCs w:val="0"/>
        </w:rPr>
        <w:t>般公共预算财政拨款支出决算表</w:t>
      </w:r>
      <w:bookmarkEnd w:id="61"/>
    </w:p>
    <w:p>
      <w:pPr>
        <w:pStyle w:val="4"/>
        <w:rPr>
          <w:rFonts w:ascii="仿宋" w:hAnsi="仿宋" w:eastAsia="仿宋"/>
        </w:rPr>
      </w:pPr>
      <w:bookmarkStart w:id="62" w:name="_Toc15396625"/>
      <w:r>
        <w:rPr>
          <w:rStyle w:val="25"/>
          <w:rFonts w:hint="eastAsia" w:ascii="仿宋" w:hAnsi="仿宋" w:eastAsia="仿宋"/>
          <w:b w:val="0"/>
          <w:bCs w:val="0"/>
        </w:rPr>
        <w:t>七、</w:t>
      </w:r>
      <w:r>
        <w:rPr>
          <w:rFonts w:hint="eastAsia" w:ascii="仿宋" w:hAnsi="仿宋" w:eastAsia="仿宋"/>
          <w:b w:val="0"/>
        </w:rPr>
        <w:t>一</w:t>
      </w:r>
      <w:r>
        <w:rPr>
          <w:rStyle w:val="25"/>
          <w:rFonts w:hint="eastAsia" w:ascii="仿宋" w:hAnsi="仿宋" w:eastAsia="仿宋"/>
          <w:b w:val="0"/>
          <w:bCs w:val="0"/>
        </w:rPr>
        <w:t>般公共预算财政拨款支出决算明细表</w:t>
      </w:r>
      <w:bookmarkEnd w:id="62"/>
    </w:p>
    <w:p>
      <w:pPr>
        <w:pStyle w:val="4"/>
        <w:rPr>
          <w:rFonts w:ascii="仿宋" w:hAnsi="仿宋" w:eastAsia="仿宋"/>
        </w:rPr>
      </w:pPr>
      <w:bookmarkStart w:id="63" w:name="_Toc15396626"/>
      <w:r>
        <w:rPr>
          <w:rStyle w:val="25"/>
          <w:rFonts w:hint="eastAsia" w:ascii="仿宋" w:hAnsi="仿宋" w:eastAsia="仿宋"/>
          <w:b w:val="0"/>
          <w:bCs w:val="0"/>
        </w:rPr>
        <w:t>八、</w:t>
      </w:r>
      <w:r>
        <w:rPr>
          <w:rFonts w:hint="eastAsia" w:ascii="仿宋" w:hAnsi="仿宋" w:eastAsia="仿宋"/>
          <w:b w:val="0"/>
        </w:rPr>
        <w:t>一</w:t>
      </w:r>
      <w:r>
        <w:rPr>
          <w:rStyle w:val="25"/>
          <w:rFonts w:hint="eastAsia" w:ascii="仿宋" w:hAnsi="仿宋" w:eastAsia="仿宋"/>
          <w:b w:val="0"/>
          <w:bCs w:val="0"/>
        </w:rPr>
        <w:t>般公共预算财政拨款基本支出决算表</w:t>
      </w:r>
      <w:bookmarkEnd w:id="63"/>
    </w:p>
    <w:p>
      <w:pPr>
        <w:pStyle w:val="4"/>
        <w:rPr>
          <w:rFonts w:ascii="仿宋" w:hAnsi="仿宋" w:eastAsia="仿宋"/>
        </w:rPr>
      </w:pPr>
      <w:bookmarkStart w:id="64" w:name="_Toc15396627"/>
      <w:r>
        <w:rPr>
          <w:rStyle w:val="25"/>
          <w:rFonts w:hint="eastAsia" w:ascii="仿宋" w:hAnsi="仿宋" w:eastAsia="仿宋"/>
          <w:b w:val="0"/>
          <w:bCs w:val="0"/>
        </w:rPr>
        <w:t>九、</w:t>
      </w:r>
      <w:r>
        <w:rPr>
          <w:rFonts w:hint="eastAsia" w:ascii="仿宋" w:hAnsi="仿宋" w:eastAsia="仿宋"/>
          <w:b w:val="0"/>
        </w:rPr>
        <w:t>一</w:t>
      </w:r>
      <w:r>
        <w:rPr>
          <w:rStyle w:val="25"/>
          <w:rFonts w:hint="eastAsia" w:ascii="仿宋" w:hAnsi="仿宋" w:eastAsia="仿宋"/>
          <w:b w:val="0"/>
          <w:bCs w:val="0"/>
        </w:rPr>
        <w:t>般公共预算财政拨款项目支出决算表</w:t>
      </w:r>
      <w:bookmarkEnd w:id="64"/>
    </w:p>
    <w:p>
      <w:pPr>
        <w:pStyle w:val="4"/>
        <w:rPr>
          <w:rFonts w:ascii="仿宋" w:hAnsi="仿宋" w:eastAsia="仿宋"/>
        </w:rPr>
      </w:pPr>
      <w:bookmarkStart w:id="65" w:name="_Toc15396628"/>
      <w:r>
        <w:rPr>
          <w:rStyle w:val="25"/>
          <w:rFonts w:hint="eastAsia" w:ascii="仿宋" w:hAnsi="仿宋" w:eastAsia="仿宋"/>
          <w:b w:val="0"/>
          <w:bCs w:val="0"/>
        </w:rPr>
        <w:t>十、</w:t>
      </w:r>
      <w:r>
        <w:rPr>
          <w:rFonts w:hint="eastAsia" w:ascii="仿宋" w:hAnsi="仿宋" w:eastAsia="仿宋"/>
          <w:b w:val="0"/>
        </w:rPr>
        <w:t>一</w:t>
      </w:r>
      <w:r>
        <w:rPr>
          <w:rStyle w:val="25"/>
          <w:rFonts w:hint="eastAsia" w:ascii="仿宋" w:hAnsi="仿宋" w:eastAsia="仿宋"/>
          <w:b w:val="0"/>
          <w:bCs w:val="0"/>
        </w:rPr>
        <w:t>般公共预算财政拨款“三公”经费支出决算表</w:t>
      </w:r>
      <w:bookmarkEnd w:id="65"/>
    </w:p>
    <w:p>
      <w:pPr>
        <w:pStyle w:val="4"/>
        <w:rPr>
          <w:rFonts w:ascii="仿宋" w:hAnsi="仿宋" w:eastAsia="仿宋"/>
        </w:rPr>
      </w:pPr>
      <w:bookmarkStart w:id="66" w:name="_Toc15396629"/>
      <w:r>
        <w:rPr>
          <w:rStyle w:val="25"/>
          <w:rFonts w:hint="eastAsia" w:ascii="仿宋" w:hAnsi="仿宋" w:eastAsia="仿宋"/>
          <w:b w:val="0"/>
          <w:bCs w:val="0"/>
        </w:rPr>
        <w:t>十一、</w:t>
      </w:r>
      <w:r>
        <w:rPr>
          <w:rFonts w:hint="eastAsia" w:ascii="仿宋" w:hAnsi="仿宋" w:eastAsia="仿宋"/>
          <w:b w:val="0"/>
        </w:rPr>
        <w:t>政</w:t>
      </w:r>
      <w:r>
        <w:rPr>
          <w:rStyle w:val="25"/>
          <w:rFonts w:hint="eastAsia" w:ascii="仿宋" w:hAnsi="仿宋" w:eastAsia="仿宋"/>
          <w:b w:val="0"/>
          <w:bCs w:val="0"/>
        </w:rPr>
        <w:t>府性基金预算财政拨款收入支出决算表</w:t>
      </w:r>
      <w:bookmarkEnd w:id="66"/>
    </w:p>
    <w:p>
      <w:pPr>
        <w:pStyle w:val="4"/>
        <w:rPr>
          <w:rFonts w:ascii="仿宋" w:hAnsi="仿宋" w:eastAsia="仿宋"/>
        </w:rPr>
      </w:pPr>
      <w:bookmarkStart w:id="67" w:name="_Toc15396630"/>
      <w:r>
        <w:rPr>
          <w:rStyle w:val="25"/>
          <w:rFonts w:hint="eastAsia" w:ascii="仿宋" w:hAnsi="仿宋" w:eastAsia="仿宋"/>
          <w:b w:val="0"/>
          <w:bCs w:val="0"/>
        </w:rPr>
        <w:t>十二、</w:t>
      </w:r>
      <w:r>
        <w:rPr>
          <w:rFonts w:hint="eastAsia" w:ascii="仿宋" w:hAnsi="仿宋" w:eastAsia="仿宋"/>
          <w:b w:val="0"/>
        </w:rPr>
        <w:t>政</w:t>
      </w:r>
      <w:r>
        <w:rPr>
          <w:rStyle w:val="25"/>
          <w:rFonts w:hint="eastAsia" w:ascii="仿宋" w:hAnsi="仿宋" w:eastAsia="仿宋"/>
          <w:b w:val="0"/>
          <w:bCs w:val="0"/>
        </w:rPr>
        <w:t>府性基金预算财政拨款“三公”经费支出决算表</w:t>
      </w:r>
      <w:bookmarkEnd w:id="67"/>
    </w:p>
    <w:p>
      <w:pPr>
        <w:pStyle w:val="4"/>
        <w:rPr>
          <w:rStyle w:val="25"/>
          <w:rFonts w:ascii="仿宋" w:hAnsi="仿宋" w:eastAsia="仿宋"/>
          <w:b w:val="0"/>
          <w:bCs w:val="0"/>
        </w:rPr>
      </w:pPr>
      <w:bookmarkStart w:id="68" w:name="_Toc15396631"/>
      <w:r>
        <w:rPr>
          <w:rStyle w:val="25"/>
          <w:rFonts w:hint="eastAsia" w:ascii="仿宋" w:hAnsi="仿宋" w:eastAsia="仿宋"/>
          <w:b w:val="0"/>
          <w:bCs w:val="0"/>
        </w:rPr>
        <w:t>十三、</w:t>
      </w:r>
      <w:r>
        <w:rPr>
          <w:rFonts w:hint="eastAsia" w:ascii="仿宋" w:hAnsi="仿宋" w:eastAsia="仿宋"/>
          <w:b w:val="0"/>
        </w:rPr>
        <w:t>国</w:t>
      </w:r>
      <w:r>
        <w:rPr>
          <w:rStyle w:val="25"/>
          <w:rFonts w:hint="eastAsia" w:ascii="仿宋" w:hAnsi="仿宋" w:eastAsia="仿宋"/>
          <w:b w:val="0"/>
          <w:bCs w:val="0"/>
        </w:rPr>
        <w:t>有资本经营预算财政拨款收入支出决算表</w:t>
      </w:r>
      <w:bookmarkEnd w:id="68"/>
    </w:p>
    <w:p>
      <w:pPr>
        <w:rPr>
          <w:rFonts w:eastAsia="仿宋"/>
        </w:rPr>
      </w:pPr>
      <w:r>
        <w:rPr>
          <w:rStyle w:val="25"/>
          <w:rFonts w:hint="eastAsia" w:ascii="仿宋" w:hAnsi="仿宋" w:eastAsia="仿宋"/>
          <w:b w:val="0"/>
          <w:bCs w:val="0"/>
        </w:rPr>
        <w:t>十四、国有资本经营预算财政拨款支出决算表</w:t>
      </w:r>
    </w:p>
    <w:sectPr>
      <w:headerReference r:id="rId3" w:type="default"/>
      <w:footerReference r:id="rId4" w:type="default"/>
      <w:pgSz w:w="11906" w:h="16838"/>
      <w:pgMar w:top="1440" w:right="1800" w:bottom="1440" w:left="1800" w:header="851" w:footer="992" w:gutter="0"/>
      <w:pgNumType w:start="1"/>
      <w:cols w:space="425"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Cambria">
    <w:panose1 w:val="02040503050406030204"/>
    <w:charset w:val="00"/>
    <w:family w:val="roman"/>
    <w:pitch w:val="default"/>
    <w:sig w:usb0="E00002FF" w:usb1="400004FF" w:usb2="00000000" w:usb3="00000000" w:csb0="2000019F" w:csb1="00000000"/>
  </w:font>
  <w:font w:name="仿宋_GB2312">
    <w:altName w:val="仿宋"/>
    <w:panose1 w:val="00000000000000000000"/>
    <w:charset w:val="86"/>
    <w:family w:val="modern"/>
    <w:pitch w:val="default"/>
    <w:sig w:usb0="00000000" w:usb1="00000000" w:usb2="00000010" w:usb3="00000000" w:csb0="00040000" w:csb1="00000000"/>
  </w:font>
  <w:font w:name="仿宋">
    <w:panose1 w:val="02010609060101010101"/>
    <w:charset w:val="86"/>
    <w:family w:val="auto"/>
    <w:pitch w:val="default"/>
    <w:sig w:usb0="800002BF" w:usb1="38CF7CFA" w:usb2="00000016" w:usb3="00000000" w:csb0="00040001" w:csb1="00000000"/>
  </w:font>
  <w:font w:name="方正小标宋简体">
    <w:altName w:val="微软雅黑"/>
    <w:panose1 w:val="00000000000000000000"/>
    <w:charset w:val="86"/>
    <w:family w:val="script"/>
    <w:pitch w:val="default"/>
    <w:sig w:usb0="00000000" w:usb1="00000000" w:usb2="00000010" w:usb3="00000000" w:csb0="00040000" w:csb1="00000000"/>
  </w:font>
  <w:font w:name="微软雅黑">
    <w:panose1 w:val="020B0503020204020204"/>
    <w:charset w:val="86"/>
    <w:family w:val="auto"/>
    <w:pitch w:val="default"/>
    <w:sig w:usb0="80000287" w:usb1="280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994781956"/>
    </w:sdtPr>
    <w:sdtContent>
      <w:p>
        <w:pPr>
          <w:pStyle w:val="8"/>
          <w:jc w:val="center"/>
        </w:pPr>
        <w:r>
          <w:fldChar w:fldCharType="begin"/>
        </w:r>
        <w:r>
          <w:instrText xml:space="preserve">PAGE   \* MERGEFORMAT</w:instrText>
        </w:r>
        <w:r>
          <w:fldChar w:fldCharType="separate"/>
        </w:r>
        <w:r>
          <w:rPr>
            <w:lang w:val="zh-CN"/>
          </w:rPr>
          <w:t>2</w:t>
        </w:r>
        <w:r>
          <w:fldChar w:fldCharType="end"/>
        </w:r>
      </w:p>
    </w:sdtContent>
  </w:sdt>
  <w:p>
    <w:pPr>
      <w:pStyle w:val="8"/>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F652CEC"/>
    <w:multiLevelType w:val="singleLevel"/>
    <w:tmpl w:val="CF652CEC"/>
    <w:lvl w:ilvl="0" w:tentative="0">
      <w:start w:val="9"/>
      <w:numFmt w:val="chineseCounting"/>
      <w:suff w:val="nothing"/>
      <w:lvlText w:val="%1、"/>
      <w:lvlJc w:val="left"/>
      <w:rPr>
        <w:rFonts w:hint="eastAsia"/>
      </w:rPr>
    </w:lvl>
  </w:abstractNum>
  <w:abstractNum w:abstractNumId="1">
    <w:nsid w:val="E2FA047D"/>
    <w:multiLevelType w:val="singleLevel"/>
    <w:tmpl w:val="E2FA047D"/>
    <w:lvl w:ilvl="0" w:tentative="0">
      <w:start w:val="3"/>
      <w:numFmt w:val="chineseCounting"/>
      <w:suff w:val="space"/>
      <w:lvlText w:val="第%1部分"/>
      <w:lvlJc w:val="left"/>
      <w:rPr>
        <w:rFonts w:hint="eastAsia" w:ascii="黑体" w:hAnsi="黑体" w:eastAsia="黑体" w:cs="黑体"/>
        <w:sz w:val="44"/>
        <w:szCs w:val="44"/>
      </w:rPr>
    </w:lvl>
  </w:abstractNum>
  <w:abstractNum w:abstractNumId="2">
    <w:nsid w:val="1272550B"/>
    <w:multiLevelType w:val="multilevel"/>
    <w:tmpl w:val="1272550B"/>
    <w:lvl w:ilvl="0" w:tentative="0">
      <w:start w:val="1"/>
      <w:numFmt w:val="japaneseCounting"/>
      <w:lvlText w:val="%1、"/>
      <w:lvlJc w:val="left"/>
      <w:pPr>
        <w:ind w:left="1360" w:hanging="720"/>
      </w:pPr>
      <w:rPr>
        <w:rFonts w:hint="default"/>
        <w:b w:val="0"/>
      </w:rPr>
    </w:lvl>
    <w:lvl w:ilvl="1" w:tentative="0">
      <w:start w:val="1"/>
      <w:numFmt w:val="lowerLetter"/>
      <w:lvlText w:val="%2)"/>
      <w:lvlJc w:val="left"/>
      <w:pPr>
        <w:ind w:left="1480" w:hanging="420"/>
      </w:pPr>
    </w:lvl>
    <w:lvl w:ilvl="2" w:tentative="0">
      <w:start w:val="1"/>
      <w:numFmt w:val="lowerRoman"/>
      <w:lvlText w:val="%3."/>
      <w:lvlJc w:val="right"/>
      <w:pPr>
        <w:ind w:left="1900" w:hanging="420"/>
      </w:pPr>
    </w:lvl>
    <w:lvl w:ilvl="3" w:tentative="0">
      <w:start w:val="1"/>
      <w:numFmt w:val="decimal"/>
      <w:lvlText w:val="%4."/>
      <w:lvlJc w:val="left"/>
      <w:pPr>
        <w:ind w:left="2320" w:hanging="420"/>
      </w:pPr>
    </w:lvl>
    <w:lvl w:ilvl="4" w:tentative="0">
      <w:start w:val="1"/>
      <w:numFmt w:val="lowerLetter"/>
      <w:lvlText w:val="%5)"/>
      <w:lvlJc w:val="left"/>
      <w:pPr>
        <w:ind w:left="2740" w:hanging="420"/>
      </w:pPr>
    </w:lvl>
    <w:lvl w:ilvl="5" w:tentative="0">
      <w:start w:val="1"/>
      <w:numFmt w:val="lowerRoman"/>
      <w:lvlText w:val="%6."/>
      <w:lvlJc w:val="right"/>
      <w:pPr>
        <w:ind w:left="3160" w:hanging="420"/>
      </w:pPr>
    </w:lvl>
    <w:lvl w:ilvl="6" w:tentative="0">
      <w:start w:val="1"/>
      <w:numFmt w:val="decimal"/>
      <w:lvlText w:val="%7."/>
      <w:lvlJc w:val="left"/>
      <w:pPr>
        <w:ind w:left="3580" w:hanging="420"/>
      </w:pPr>
    </w:lvl>
    <w:lvl w:ilvl="7" w:tentative="0">
      <w:start w:val="1"/>
      <w:numFmt w:val="lowerLetter"/>
      <w:lvlText w:val="%8)"/>
      <w:lvlJc w:val="left"/>
      <w:pPr>
        <w:ind w:left="4000" w:hanging="420"/>
      </w:pPr>
    </w:lvl>
    <w:lvl w:ilvl="8" w:tentative="0">
      <w:start w:val="1"/>
      <w:numFmt w:val="lowerRoman"/>
      <w:lvlText w:val="%9."/>
      <w:lvlJc w:val="right"/>
      <w:pPr>
        <w:ind w:left="4420" w:hanging="420"/>
      </w:pPr>
    </w:lvl>
  </w:abstractNum>
  <w:abstractNum w:abstractNumId="3">
    <w:nsid w:val="72CC5682"/>
    <w:multiLevelType w:val="singleLevel"/>
    <w:tmpl w:val="72CC5682"/>
    <w:lvl w:ilvl="0" w:tentative="0">
      <w:start w:val="1"/>
      <w:numFmt w:val="chineseCounting"/>
      <w:suff w:val="nothing"/>
      <w:lvlText w:val="%1、"/>
      <w:lvlJc w:val="left"/>
      <w:rPr>
        <w:rFonts w:hint="eastAsia"/>
      </w:rPr>
    </w:lvl>
  </w:abstractNum>
  <w:num w:numId="1">
    <w:abstractNumId w:val="3"/>
  </w:num>
  <w:num w:numId="2">
    <w:abstractNumId w:val="2"/>
  </w:num>
  <w:num w:numId="3">
    <w:abstractNumId w:val="0"/>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Nzg5YWViMTJhOWFiMjIzYmU5YjBkMmEzYjNiZTIyYjcifQ=="/>
  </w:docVars>
  <w:rsids>
    <w:rsidRoot w:val="00F1361C"/>
    <w:rsid w:val="000222C6"/>
    <w:rsid w:val="0002549F"/>
    <w:rsid w:val="000468DB"/>
    <w:rsid w:val="0006487A"/>
    <w:rsid w:val="00065F8F"/>
    <w:rsid w:val="00070A43"/>
    <w:rsid w:val="000768F2"/>
    <w:rsid w:val="0009184B"/>
    <w:rsid w:val="00094236"/>
    <w:rsid w:val="0009593C"/>
    <w:rsid w:val="00097322"/>
    <w:rsid w:val="000A6A92"/>
    <w:rsid w:val="000B047F"/>
    <w:rsid w:val="000B5923"/>
    <w:rsid w:val="000B5A48"/>
    <w:rsid w:val="000B6FF3"/>
    <w:rsid w:val="000C3467"/>
    <w:rsid w:val="000C3CA6"/>
    <w:rsid w:val="000D1267"/>
    <w:rsid w:val="000D1D50"/>
    <w:rsid w:val="000D5782"/>
    <w:rsid w:val="000E6613"/>
    <w:rsid w:val="000E7119"/>
    <w:rsid w:val="00114E9B"/>
    <w:rsid w:val="00142216"/>
    <w:rsid w:val="00144D6A"/>
    <w:rsid w:val="0014729F"/>
    <w:rsid w:val="00157BAB"/>
    <w:rsid w:val="001654D1"/>
    <w:rsid w:val="00174518"/>
    <w:rsid w:val="00174E20"/>
    <w:rsid w:val="0018106D"/>
    <w:rsid w:val="001877A7"/>
    <w:rsid w:val="00191536"/>
    <w:rsid w:val="00196687"/>
    <w:rsid w:val="001C0962"/>
    <w:rsid w:val="001D7531"/>
    <w:rsid w:val="001E737D"/>
    <w:rsid w:val="001F0592"/>
    <w:rsid w:val="001F7506"/>
    <w:rsid w:val="002006CD"/>
    <w:rsid w:val="00202B36"/>
    <w:rsid w:val="00204B7A"/>
    <w:rsid w:val="00204CDE"/>
    <w:rsid w:val="0021101A"/>
    <w:rsid w:val="00220536"/>
    <w:rsid w:val="00235629"/>
    <w:rsid w:val="00260C38"/>
    <w:rsid w:val="002616C0"/>
    <w:rsid w:val="00265372"/>
    <w:rsid w:val="002662AA"/>
    <w:rsid w:val="00280496"/>
    <w:rsid w:val="00294DC9"/>
    <w:rsid w:val="00295495"/>
    <w:rsid w:val="002A31DE"/>
    <w:rsid w:val="002B2613"/>
    <w:rsid w:val="002D6D05"/>
    <w:rsid w:val="002F1818"/>
    <w:rsid w:val="002F567B"/>
    <w:rsid w:val="003216A9"/>
    <w:rsid w:val="00335A74"/>
    <w:rsid w:val="0036561B"/>
    <w:rsid w:val="0037013F"/>
    <w:rsid w:val="00380C92"/>
    <w:rsid w:val="00392D20"/>
    <w:rsid w:val="003A484F"/>
    <w:rsid w:val="003A4883"/>
    <w:rsid w:val="003B0BE0"/>
    <w:rsid w:val="003B0C1B"/>
    <w:rsid w:val="003B688C"/>
    <w:rsid w:val="003C0291"/>
    <w:rsid w:val="003C39AE"/>
    <w:rsid w:val="003C7B60"/>
    <w:rsid w:val="003D0C0F"/>
    <w:rsid w:val="003D1FB2"/>
    <w:rsid w:val="003D66DA"/>
    <w:rsid w:val="003E1310"/>
    <w:rsid w:val="003E5CB4"/>
    <w:rsid w:val="003E6F55"/>
    <w:rsid w:val="00406254"/>
    <w:rsid w:val="004223DE"/>
    <w:rsid w:val="00434489"/>
    <w:rsid w:val="00437085"/>
    <w:rsid w:val="00443880"/>
    <w:rsid w:val="004464F4"/>
    <w:rsid w:val="00471401"/>
    <w:rsid w:val="00473F31"/>
    <w:rsid w:val="0048263A"/>
    <w:rsid w:val="00487E5D"/>
    <w:rsid w:val="004A711F"/>
    <w:rsid w:val="004B199D"/>
    <w:rsid w:val="004B4690"/>
    <w:rsid w:val="004E0A2D"/>
    <w:rsid w:val="004E206B"/>
    <w:rsid w:val="004E6DF7"/>
    <w:rsid w:val="004F0FBD"/>
    <w:rsid w:val="00505A47"/>
    <w:rsid w:val="00512FDA"/>
    <w:rsid w:val="00520DA0"/>
    <w:rsid w:val="00566187"/>
    <w:rsid w:val="005664BB"/>
    <w:rsid w:val="00566FFA"/>
    <w:rsid w:val="0057481D"/>
    <w:rsid w:val="0058486E"/>
    <w:rsid w:val="00585B33"/>
    <w:rsid w:val="0059014D"/>
    <w:rsid w:val="005B5C64"/>
    <w:rsid w:val="005C5337"/>
    <w:rsid w:val="005C6BD0"/>
    <w:rsid w:val="005D1C8B"/>
    <w:rsid w:val="005D468D"/>
    <w:rsid w:val="005D5CED"/>
    <w:rsid w:val="005F1A4C"/>
    <w:rsid w:val="00605688"/>
    <w:rsid w:val="006070AF"/>
    <w:rsid w:val="00607E6C"/>
    <w:rsid w:val="006101B1"/>
    <w:rsid w:val="00614E44"/>
    <w:rsid w:val="0062270A"/>
    <w:rsid w:val="00622830"/>
    <w:rsid w:val="00623DA0"/>
    <w:rsid w:val="00630AEF"/>
    <w:rsid w:val="006325F8"/>
    <w:rsid w:val="00633463"/>
    <w:rsid w:val="00634C9A"/>
    <w:rsid w:val="006440E4"/>
    <w:rsid w:val="0066343B"/>
    <w:rsid w:val="00664777"/>
    <w:rsid w:val="006748A4"/>
    <w:rsid w:val="00681A31"/>
    <w:rsid w:val="00683E73"/>
    <w:rsid w:val="006A3141"/>
    <w:rsid w:val="006A5E34"/>
    <w:rsid w:val="006B2422"/>
    <w:rsid w:val="006B2B9A"/>
    <w:rsid w:val="006C1937"/>
    <w:rsid w:val="006F020C"/>
    <w:rsid w:val="00702D52"/>
    <w:rsid w:val="007127B7"/>
    <w:rsid w:val="0071798E"/>
    <w:rsid w:val="007416B6"/>
    <w:rsid w:val="00746F48"/>
    <w:rsid w:val="0075404D"/>
    <w:rsid w:val="0076182A"/>
    <w:rsid w:val="00767B7E"/>
    <w:rsid w:val="007770C3"/>
    <w:rsid w:val="00784D24"/>
    <w:rsid w:val="00785FBA"/>
    <w:rsid w:val="00786E4A"/>
    <w:rsid w:val="007875EB"/>
    <w:rsid w:val="0079426B"/>
    <w:rsid w:val="007D1682"/>
    <w:rsid w:val="007D312A"/>
    <w:rsid w:val="007D3F19"/>
    <w:rsid w:val="007E23B0"/>
    <w:rsid w:val="007E23E5"/>
    <w:rsid w:val="007F1991"/>
    <w:rsid w:val="007F2C2F"/>
    <w:rsid w:val="007F55FC"/>
    <w:rsid w:val="007F5665"/>
    <w:rsid w:val="00800112"/>
    <w:rsid w:val="00813348"/>
    <w:rsid w:val="008219E7"/>
    <w:rsid w:val="008253BB"/>
    <w:rsid w:val="0083706E"/>
    <w:rsid w:val="008408F6"/>
    <w:rsid w:val="008423A5"/>
    <w:rsid w:val="00850625"/>
    <w:rsid w:val="00853718"/>
    <w:rsid w:val="00855221"/>
    <w:rsid w:val="00860645"/>
    <w:rsid w:val="008609F9"/>
    <w:rsid w:val="00871F71"/>
    <w:rsid w:val="00872FD8"/>
    <w:rsid w:val="00885AF4"/>
    <w:rsid w:val="008939CD"/>
    <w:rsid w:val="008B768C"/>
    <w:rsid w:val="008C4DB1"/>
    <w:rsid w:val="008C4EAF"/>
    <w:rsid w:val="008C5176"/>
    <w:rsid w:val="008C7FD0"/>
    <w:rsid w:val="008E1DE7"/>
    <w:rsid w:val="008E707C"/>
    <w:rsid w:val="008F4605"/>
    <w:rsid w:val="00900B08"/>
    <w:rsid w:val="00902155"/>
    <w:rsid w:val="00902FA3"/>
    <w:rsid w:val="00923564"/>
    <w:rsid w:val="0092392E"/>
    <w:rsid w:val="009315F9"/>
    <w:rsid w:val="00933499"/>
    <w:rsid w:val="00935C98"/>
    <w:rsid w:val="00946945"/>
    <w:rsid w:val="00951248"/>
    <w:rsid w:val="0095152F"/>
    <w:rsid w:val="00954C49"/>
    <w:rsid w:val="00955E37"/>
    <w:rsid w:val="0097099F"/>
    <w:rsid w:val="00971997"/>
    <w:rsid w:val="00971FFC"/>
    <w:rsid w:val="0098660A"/>
    <w:rsid w:val="009931C3"/>
    <w:rsid w:val="009B2C43"/>
    <w:rsid w:val="009B4EAE"/>
    <w:rsid w:val="009B7573"/>
    <w:rsid w:val="009C22F4"/>
    <w:rsid w:val="009C2A4B"/>
    <w:rsid w:val="009C2E98"/>
    <w:rsid w:val="009D3447"/>
    <w:rsid w:val="009D4711"/>
    <w:rsid w:val="009F1185"/>
    <w:rsid w:val="009F18CD"/>
    <w:rsid w:val="009F2A13"/>
    <w:rsid w:val="009F7527"/>
    <w:rsid w:val="00A04EB0"/>
    <w:rsid w:val="00A13CC1"/>
    <w:rsid w:val="00A16847"/>
    <w:rsid w:val="00A237D8"/>
    <w:rsid w:val="00A268C4"/>
    <w:rsid w:val="00A307CD"/>
    <w:rsid w:val="00A331C8"/>
    <w:rsid w:val="00A40A00"/>
    <w:rsid w:val="00A4142F"/>
    <w:rsid w:val="00A422EB"/>
    <w:rsid w:val="00A45BB7"/>
    <w:rsid w:val="00A56DF2"/>
    <w:rsid w:val="00A56E6E"/>
    <w:rsid w:val="00A57CE8"/>
    <w:rsid w:val="00A67AB5"/>
    <w:rsid w:val="00A733B2"/>
    <w:rsid w:val="00A741C2"/>
    <w:rsid w:val="00A774A1"/>
    <w:rsid w:val="00A91760"/>
    <w:rsid w:val="00A93B00"/>
    <w:rsid w:val="00A93C21"/>
    <w:rsid w:val="00AB64C9"/>
    <w:rsid w:val="00AC3C6A"/>
    <w:rsid w:val="00AD5620"/>
    <w:rsid w:val="00AD656B"/>
    <w:rsid w:val="00AD7C1B"/>
    <w:rsid w:val="00AE16BA"/>
    <w:rsid w:val="00AE1EBE"/>
    <w:rsid w:val="00B03C9D"/>
    <w:rsid w:val="00B060AE"/>
    <w:rsid w:val="00B10517"/>
    <w:rsid w:val="00B14E76"/>
    <w:rsid w:val="00B161B8"/>
    <w:rsid w:val="00B2048C"/>
    <w:rsid w:val="00B310B9"/>
    <w:rsid w:val="00B35F3F"/>
    <w:rsid w:val="00B36CBB"/>
    <w:rsid w:val="00B425E0"/>
    <w:rsid w:val="00B440AA"/>
    <w:rsid w:val="00B44B70"/>
    <w:rsid w:val="00B53C56"/>
    <w:rsid w:val="00B57DAF"/>
    <w:rsid w:val="00B77EA6"/>
    <w:rsid w:val="00B81598"/>
    <w:rsid w:val="00B841F1"/>
    <w:rsid w:val="00B944D6"/>
    <w:rsid w:val="00BB4DF0"/>
    <w:rsid w:val="00BC289F"/>
    <w:rsid w:val="00BC2D50"/>
    <w:rsid w:val="00BC5361"/>
    <w:rsid w:val="00BC5460"/>
    <w:rsid w:val="00BC6B50"/>
    <w:rsid w:val="00BD0E25"/>
    <w:rsid w:val="00BF5BD6"/>
    <w:rsid w:val="00C03E31"/>
    <w:rsid w:val="00C33E72"/>
    <w:rsid w:val="00C354B2"/>
    <w:rsid w:val="00C35554"/>
    <w:rsid w:val="00C42709"/>
    <w:rsid w:val="00C533CC"/>
    <w:rsid w:val="00C5751C"/>
    <w:rsid w:val="00C61BFC"/>
    <w:rsid w:val="00C62B85"/>
    <w:rsid w:val="00C65438"/>
    <w:rsid w:val="00C65748"/>
    <w:rsid w:val="00C87FD8"/>
    <w:rsid w:val="00C91381"/>
    <w:rsid w:val="00C91CBB"/>
    <w:rsid w:val="00CA6A66"/>
    <w:rsid w:val="00CB4E70"/>
    <w:rsid w:val="00CC09B6"/>
    <w:rsid w:val="00CC666F"/>
    <w:rsid w:val="00CD1E3F"/>
    <w:rsid w:val="00CE44F6"/>
    <w:rsid w:val="00CE49DA"/>
    <w:rsid w:val="00CE7B61"/>
    <w:rsid w:val="00D00095"/>
    <w:rsid w:val="00D114F0"/>
    <w:rsid w:val="00D20620"/>
    <w:rsid w:val="00D254F7"/>
    <w:rsid w:val="00D26091"/>
    <w:rsid w:val="00D2685C"/>
    <w:rsid w:val="00D34E7C"/>
    <w:rsid w:val="00D35489"/>
    <w:rsid w:val="00D36AFE"/>
    <w:rsid w:val="00D51276"/>
    <w:rsid w:val="00D7035F"/>
    <w:rsid w:val="00DA634F"/>
    <w:rsid w:val="00DA65AC"/>
    <w:rsid w:val="00DB1913"/>
    <w:rsid w:val="00DB6D64"/>
    <w:rsid w:val="00DC410D"/>
    <w:rsid w:val="00DC5A81"/>
    <w:rsid w:val="00DC68CA"/>
    <w:rsid w:val="00DC7CBA"/>
    <w:rsid w:val="00DD73B7"/>
    <w:rsid w:val="00DF28BC"/>
    <w:rsid w:val="00DF34B9"/>
    <w:rsid w:val="00E01053"/>
    <w:rsid w:val="00E07ACF"/>
    <w:rsid w:val="00E331A1"/>
    <w:rsid w:val="00E33202"/>
    <w:rsid w:val="00E336A9"/>
    <w:rsid w:val="00E472B1"/>
    <w:rsid w:val="00E50624"/>
    <w:rsid w:val="00E568DF"/>
    <w:rsid w:val="00E64269"/>
    <w:rsid w:val="00E82267"/>
    <w:rsid w:val="00E853CE"/>
    <w:rsid w:val="00E867B6"/>
    <w:rsid w:val="00EA010F"/>
    <w:rsid w:val="00ED1B63"/>
    <w:rsid w:val="00ED3C1F"/>
    <w:rsid w:val="00ED4085"/>
    <w:rsid w:val="00ED420E"/>
    <w:rsid w:val="00ED6FBE"/>
    <w:rsid w:val="00EE2F57"/>
    <w:rsid w:val="00EF4C34"/>
    <w:rsid w:val="00EF77C6"/>
    <w:rsid w:val="00F05438"/>
    <w:rsid w:val="00F1361C"/>
    <w:rsid w:val="00F156F0"/>
    <w:rsid w:val="00F160C7"/>
    <w:rsid w:val="00F2408F"/>
    <w:rsid w:val="00F240E9"/>
    <w:rsid w:val="00F36D8F"/>
    <w:rsid w:val="00F417B1"/>
    <w:rsid w:val="00F45853"/>
    <w:rsid w:val="00F602DF"/>
    <w:rsid w:val="00F754A1"/>
    <w:rsid w:val="00F81FD9"/>
    <w:rsid w:val="00F841AA"/>
    <w:rsid w:val="00F84A94"/>
    <w:rsid w:val="00F87E96"/>
    <w:rsid w:val="00FA23E8"/>
    <w:rsid w:val="00FD3CC1"/>
    <w:rsid w:val="00FF1E02"/>
    <w:rsid w:val="00FF30B4"/>
    <w:rsid w:val="013F12A7"/>
    <w:rsid w:val="04185926"/>
    <w:rsid w:val="06BB51BD"/>
    <w:rsid w:val="0A2032A3"/>
    <w:rsid w:val="0A9E4248"/>
    <w:rsid w:val="0B3D682E"/>
    <w:rsid w:val="0B8A37D8"/>
    <w:rsid w:val="10C055FF"/>
    <w:rsid w:val="118107EC"/>
    <w:rsid w:val="11DD6519"/>
    <w:rsid w:val="16BB723D"/>
    <w:rsid w:val="18015F3F"/>
    <w:rsid w:val="183268C1"/>
    <w:rsid w:val="1B643A64"/>
    <w:rsid w:val="1B707488"/>
    <w:rsid w:val="1BE8440E"/>
    <w:rsid w:val="1D155CEE"/>
    <w:rsid w:val="1F46764D"/>
    <w:rsid w:val="2085008B"/>
    <w:rsid w:val="20F57F95"/>
    <w:rsid w:val="224F550E"/>
    <w:rsid w:val="231F6A54"/>
    <w:rsid w:val="240371BF"/>
    <w:rsid w:val="25C741E6"/>
    <w:rsid w:val="27610B7E"/>
    <w:rsid w:val="27842671"/>
    <w:rsid w:val="29634188"/>
    <w:rsid w:val="29FD04D3"/>
    <w:rsid w:val="2ABE7A3E"/>
    <w:rsid w:val="2EFA178C"/>
    <w:rsid w:val="30B46D73"/>
    <w:rsid w:val="319F7F4E"/>
    <w:rsid w:val="39AE70AB"/>
    <w:rsid w:val="3C0C0783"/>
    <w:rsid w:val="3DC8034E"/>
    <w:rsid w:val="3F9F3A96"/>
    <w:rsid w:val="437467F4"/>
    <w:rsid w:val="44282F91"/>
    <w:rsid w:val="493C27E9"/>
    <w:rsid w:val="496F39ED"/>
    <w:rsid w:val="49FF41D3"/>
    <w:rsid w:val="4B7050DE"/>
    <w:rsid w:val="4BE068DB"/>
    <w:rsid w:val="4BF6002B"/>
    <w:rsid w:val="4C985C9A"/>
    <w:rsid w:val="4ECE2238"/>
    <w:rsid w:val="50A7564A"/>
    <w:rsid w:val="50FB1AAD"/>
    <w:rsid w:val="51DB4B86"/>
    <w:rsid w:val="534D2A61"/>
    <w:rsid w:val="55333C3E"/>
    <w:rsid w:val="5EE004B9"/>
    <w:rsid w:val="64CA39A1"/>
    <w:rsid w:val="6B023067"/>
    <w:rsid w:val="6C4A05C8"/>
    <w:rsid w:val="72734D90"/>
    <w:rsid w:val="79E7B28D"/>
    <w:rsid w:val="7C4E5B9F"/>
    <w:rsid w:val="7D380D29"/>
    <w:rsid w:val="7DD87FAA"/>
    <w:rsid w:val="7F9F20EE"/>
    <w:rsid w:val="9E3A10E2"/>
    <w:rsid w:val="F2E1F9D4"/>
    <w:rsid w:val="F7880819"/>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nhideWhenUsed="0" w:uiPriority="99" w:name="header"/>
    <w:lsdException w:qFormat="1" w:unhideWhenUsed="0"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99"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99"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iPriority="59"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3">
    <w:name w:val="heading 1"/>
    <w:basedOn w:val="1"/>
    <w:next w:val="1"/>
    <w:link w:val="24"/>
    <w:qFormat/>
    <w:uiPriority w:val="9"/>
    <w:pPr>
      <w:keepNext/>
      <w:keepLines/>
      <w:spacing w:before="340" w:after="330" w:line="578" w:lineRule="auto"/>
      <w:outlineLvl w:val="0"/>
    </w:pPr>
    <w:rPr>
      <w:b/>
      <w:bCs/>
      <w:kern w:val="44"/>
      <w:sz w:val="44"/>
      <w:szCs w:val="44"/>
    </w:rPr>
  </w:style>
  <w:style w:type="paragraph" w:styleId="4">
    <w:name w:val="heading 2"/>
    <w:basedOn w:val="1"/>
    <w:next w:val="1"/>
    <w:link w:val="25"/>
    <w:unhideWhenUsed/>
    <w:qFormat/>
    <w:uiPriority w:val="9"/>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5">
    <w:name w:val="heading 3"/>
    <w:basedOn w:val="1"/>
    <w:next w:val="1"/>
    <w:link w:val="28"/>
    <w:unhideWhenUsed/>
    <w:qFormat/>
    <w:uiPriority w:val="9"/>
    <w:pPr>
      <w:keepNext/>
      <w:keepLines/>
      <w:spacing w:before="260" w:after="260" w:line="416" w:lineRule="auto"/>
      <w:outlineLvl w:val="2"/>
    </w:pPr>
    <w:rPr>
      <w:b/>
      <w:bCs/>
      <w:sz w:val="32"/>
      <w:szCs w:val="32"/>
    </w:rPr>
  </w:style>
  <w:style w:type="character" w:default="1" w:styleId="13">
    <w:name w:val="Default Paragraph Font"/>
    <w:semiHidden/>
    <w:unhideWhenUsed/>
    <w:qFormat/>
    <w:uiPriority w:val="1"/>
  </w:style>
  <w:style w:type="table" w:default="1" w:styleId="12">
    <w:name w:val="Normal Table"/>
    <w:semiHidden/>
    <w:unhideWhenUsed/>
    <w:qFormat/>
    <w:uiPriority w:val="99"/>
    <w:tblPr>
      <w:tblCellMar>
        <w:top w:w="0" w:type="dxa"/>
        <w:left w:w="108" w:type="dxa"/>
        <w:bottom w:w="0" w:type="dxa"/>
        <w:right w:w="108" w:type="dxa"/>
      </w:tblCellMar>
    </w:tblPr>
  </w:style>
  <w:style w:type="paragraph" w:styleId="2">
    <w:name w:val="Body Text"/>
    <w:basedOn w:val="1"/>
    <w:link w:val="21"/>
    <w:qFormat/>
    <w:uiPriority w:val="99"/>
    <w:pPr>
      <w:spacing w:beforeLines="30"/>
    </w:pPr>
    <w:rPr>
      <w:rFonts w:ascii="仿宋_GB2312" w:eastAsia="仿宋_GB2312"/>
      <w:kern w:val="0"/>
      <w:sz w:val="30"/>
    </w:rPr>
  </w:style>
  <w:style w:type="paragraph" w:styleId="6">
    <w:name w:val="toc 3"/>
    <w:basedOn w:val="1"/>
    <w:next w:val="1"/>
    <w:unhideWhenUsed/>
    <w:qFormat/>
    <w:uiPriority w:val="39"/>
    <w:pPr>
      <w:tabs>
        <w:tab w:val="right" w:leader="dot" w:pos="8296"/>
      </w:tabs>
      <w:ind w:left="840" w:leftChars="400"/>
    </w:pPr>
  </w:style>
  <w:style w:type="paragraph" w:styleId="7">
    <w:name w:val="Balloon Text"/>
    <w:basedOn w:val="1"/>
    <w:link w:val="27"/>
    <w:semiHidden/>
    <w:unhideWhenUsed/>
    <w:qFormat/>
    <w:uiPriority w:val="99"/>
    <w:rPr>
      <w:sz w:val="18"/>
      <w:szCs w:val="18"/>
    </w:rPr>
  </w:style>
  <w:style w:type="paragraph" w:styleId="8">
    <w:name w:val="footer"/>
    <w:basedOn w:val="1"/>
    <w:link w:val="19"/>
    <w:qFormat/>
    <w:uiPriority w:val="99"/>
    <w:pPr>
      <w:tabs>
        <w:tab w:val="center" w:pos="4153"/>
        <w:tab w:val="right" w:pos="8306"/>
      </w:tabs>
      <w:snapToGrid w:val="0"/>
      <w:jc w:val="left"/>
    </w:pPr>
    <w:rPr>
      <w:rFonts w:ascii="Calibri" w:hAnsi="Calibri"/>
      <w:kern w:val="0"/>
      <w:sz w:val="18"/>
      <w:szCs w:val="18"/>
    </w:rPr>
  </w:style>
  <w:style w:type="paragraph" w:styleId="9">
    <w:name w:val="header"/>
    <w:basedOn w:val="1"/>
    <w:link w:val="17"/>
    <w:semiHidden/>
    <w:qFormat/>
    <w:uiPriority w:val="99"/>
    <w:pPr>
      <w:pBdr>
        <w:bottom w:val="single" w:color="auto" w:sz="6" w:space="1"/>
      </w:pBdr>
      <w:tabs>
        <w:tab w:val="center" w:pos="4153"/>
        <w:tab w:val="right" w:pos="8306"/>
      </w:tabs>
      <w:snapToGrid w:val="0"/>
      <w:jc w:val="center"/>
    </w:pPr>
    <w:rPr>
      <w:rFonts w:ascii="Calibri" w:hAnsi="Calibri"/>
      <w:kern w:val="0"/>
      <w:sz w:val="18"/>
      <w:szCs w:val="18"/>
    </w:rPr>
  </w:style>
  <w:style w:type="paragraph" w:styleId="10">
    <w:name w:val="toc 1"/>
    <w:basedOn w:val="1"/>
    <w:next w:val="1"/>
    <w:unhideWhenUsed/>
    <w:qFormat/>
    <w:uiPriority w:val="39"/>
    <w:pPr>
      <w:tabs>
        <w:tab w:val="right" w:leader="dot" w:pos="8296"/>
      </w:tabs>
      <w:spacing w:before="93"/>
      <w:jc w:val="center"/>
    </w:pPr>
    <w:rPr>
      <w:rFonts w:ascii="仿宋" w:hAnsi="仿宋" w:eastAsia="仿宋"/>
      <w:sz w:val="28"/>
      <w:szCs w:val="28"/>
    </w:rPr>
  </w:style>
  <w:style w:type="paragraph" w:styleId="11">
    <w:name w:val="toc 2"/>
    <w:basedOn w:val="1"/>
    <w:next w:val="1"/>
    <w:unhideWhenUsed/>
    <w:qFormat/>
    <w:uiPriority w:val="39"/>
    <w:pPr>
      <w:tabs>
        <w:tab w:val="right" w:leader="dot" w:pos="8296"/>
      </w:tabs>
      <w:ind w:left="420" w:leftChars="200"/>
    </w:pPr>
  </w:style>
  <w:style w:type="character" w:styleId="14">
    <w:name w:val="Strong"/>
    <w:basedOn w:val="13"/>
    <w:qFormat/>
    <w:uiPriority w:val="99"/>
    <w:rPr>
      <w:b/>
    </w:rPr>
  </w:style>
  <w:style w:type="character" w:styleId="15">
    <w:name w:val="Hyperlink"/>
    <w:basedOn w:val="13"/>
    <w:unhideWhenUsed/>
    <w:qFormat/>
    <w:uiPriority w:val="99"/>
    <w:rPr>
      <w:color w:val="0000FF" w:themeColor="hyperlink"/>
      <w:u w:val="single"/>
    </w:rPr>
  </w:style>
  <w:style w:type="character" w:customStyle="1" w:styleId="16">
    <w:name w:val="Header Char"/>
    <w:basedOn w:val="13"/>
    <w:semiHidden/>
    <w:qFormat/>
    <w:uiPriority w:val="99"/>
    <w:rPr>
      <w:rFonts w:ascii="Times New Roman" w:hAnsi="Times New Roman"/>
      <w:sz w:val="18"/>
      <w:szCs w:val="18"/>
    </w:rPr>
  </w:style>
  <w:style w:type="character" w:customStyle="1" w:styleId="17">
    <w:name w:val="页眉 Char"/>
    <w:link w:val="9"/>
    <w:semiHidden/>
    <w:qFormat/>
    <w:locked/>
    <w:uiPriority w:val="99"/>
    <w:rPr>
      <w:sz w:val="18"/>
    </w:rPr>
  </w:style>
  <w:style w:type="character" w:customStyle="1" w:styleId="18">
    <w:name w:val="Footer Char"/>
    <w:basedOn w:val="13"/>
    <w:semiHidden/>
    <w:qFormat/>
    <w:uiPriority w:val="99"/>
    <w:rPr>
      <w:rFonts w:ascii="Times New Roman" w:hAnsi="Times New Roman"/>
      <w:sz w:val="18"/>
      <w:szCs w:val="18"/>
    </w:rPr>
  </w:style>
  <w:style w:type="character" w:customStyle="1" w:styleId="19">
    <w:name w:val="页脚 Char"/>
    <w:link w:val="8"/>
    <w:qFormat/>
    <w:locked/>
    <w:uiPriority w:val="99"/>
    <w:rPr>
      <w:sz w:val="18"/>
    </w:rPr>
  </w:style>
  <w:style w:type="character" w:customStyle="1" w:styleId="20">
    <w:name w:val="Body Text Char"/>
    <w:basedOn w:val="13"/>
    <w:semiHidden/>
    <w:qFormat/>
    <w:uiPriority w:val="99"/>
    <w:rPr>
      <w:rFonts w:ascii="Times New Roman" w:hAnsi="Times New Roman"/>
      <w:szCs w:val="24"/>
    </w:rPr>
  </w:style>
  <w:style w:type="character" w:customStyle="1" w:styleId="21">
    <w:name w:val="正文文本 Char"/>
    <w:link w:val="2"/>
    <w:qFormat/>
    <w:locked/>
    <w:uiPriority w:val="99"/>
    <w:rPr>
      <w:rFonts w:ascii="仿宋_GB2312" w:hAnsi="Times New Roman" w:eastAsia="仿宋_GB2312"/>
      <w:sz w:val="24"/>
    </w:rPr>
  </w:style>
  <w:style w:type="paragraph" w:customStyle="1" w:styleId="22">
    <w:name w:val="Default"/>
    <w:qFormat/>
    <w:uiPriority w:val="99"/>
    <w:pPr>
      <w:widowControl w:val="0"/>
      <w:autoSpaceDE w:val="0"/>
      <w:autoSpaceDN w:val="0"/>
      <w:adjustRightInd w:val="0"/>
    </w:pPr>
    <w:rPr>
      <w:rFonts w:ascii="仿宋" w:hAnsi="Calibri" w:eastAsia="仿宋" w:cs="仿宋"/>
      <w:color w:val="000000"/>
      <w:sz w:val="24"/>
      <w:szCs w:val="24"/>
      <w:lang w:val="en-US" w:eastAsia="zh-CN" w:bidi="ar-SA"/>
    </w:rPr>
  </w:style>
  <w:style w:type="paragraph" w:styleId="23">
    <w:name w:val="List Paragraph"/>
    <w:basedOn w:val="1"/>
    <w:qFormat/>
    <w:uiPriority w:val="34"/>
    <w:pPr>
      <w:ind w:firstLine="420" w:firstLineChars="200"/>
    </w:pPr>
  </w:style>
  <w:style w:type="character" w:customStyle="1" w:styleId="24">
    <w:name w:val="标题 1 Char"/>
    <w:basedOn w:val="13"/>
    <w:link w:val="3"/>
    <w:qFormat/>
    <w:uiPriority w:val="9"/>
    <w:rPr>
      <w:rFonts w:ascii="Times New Roman" w:hAnsi="Times New Roman"/>
      <w:b/>
      <w:bCs/>
      <w:kern w:val="44"/>
      <w:sz w:val="44"/>
      <w:szCs w:val="44"/>
    </w:rPr>
  </w:style>
  <w:style w:type="character" w:customStyle="1" w:styleId="25">
    <w:name w:val="标题 2 Char"/>
    <w:basedOn w:val="13"/>
    <w:link w:val="4"/>
    <w:qFormat/>
    <w:uiPriority w:val="9"/>
    <w:rPr>
      <w:rFonts w:asciiTheme="majorHAnsi" w:hAnsiTheme="majorHAnsi" w:eastAsiaTheme="majorEastAsia" w:cstheme="majorBidi"/>
      <w:b/>
      <w:bCs/>
      <w:kern w:val="2"/>
      <w:sz w:val="32"/>
      <w:szCs w:val="32"/>
    </w:rPr>
  </w:style>
  <w:style w:type="paragraph" w:customStyle="1" w:styleId="26">
    <w:name w:val="TOC 标题1"/>
    <w:basedOn w:val="3"/>
    <w:next w:val="1"/>
    <w:unhideWhenUsed/>
    <w:qFormat/>
    <w:uiPriority w:val="39"/>
    <w:pPr>
      <w:widowControl/>
      <w:spacing w:before="480" w:after="0" w:line="276" w:lineRule="auto"/>
      <w:jc w:val="left"/>
      <w:outlineLvl w:val="9"/>
    </w:pPr>
    <w:rPr>
      <w:rFonts w:asciiTheme="majorHAnsi" w:hAnsiTheme="majorHAnsi" w:eastAsiaTheme="majorEastAsia" w:cstheme="majorBidi"/>
      <w:color w:val="366091" w:themeColor="accent1" w:themeShade="BF"/>
      <w:kern w:val="0"/>
      <w:sz w:val="28"/>
      <w:szCs w:val="28"/>
    </w:rPr>
  </w:style>
  <w:style w:type="character" w:customStyle="1" w:styleId="27">
    <w:name w:val="批注框文本 Char"/>
    <w:basedOn w:val="13"/>
    <w:link w:val="7"/>
    <w:semiHidden/>
    <w:qFormat/>
    <w:uiPriority w:val="99"/>
    <w:rPr>
      <w:rFonts w:ascii="Times New Roman" w:hAnsi="Times New Roman"/>
      <w:kern w:val="2"/>
      <w:sz w:val="18"/>
      <w:szCs w:val="18"/>
    </w:rPr>
  </w:style>
  <w:style w:type="character" w:customStyle="1" w:styleId="28">
    <w:name w:val="标题 3 Char"/>
    <w:basedOn w:val="13"/>
    <w:link w:val="5"/>
    <w:qFormat/>
    <w:uiPriority w:val="9"/>
    <w:rPr>
      <w:rFonts w:ascii="Times New Roman" w:hAnsi="Times New Roman"/>
      <w:b/>
      <w:bCs/>
      <w:kern w:val="2"/>
      <w:sz w:val="32"/>
      <w:szCs w:val="32"/>
    </w:rPr>
  </w:style>
  <w:style w:type="paragraph" w:customStyle="1" w:styleId="29">
    <w:name w:val="TOC 标题2"/>
    <w:basedOn w:val="3"/>
    <w:next w:val="1"/>
    <w:unhideWhenUsed/>
    <w:qFormat/>
    <w:uiPriority w:val="39"/>
    <w:pPr>
      <w:widowControl/>
      <w:spacing w:before="480" w:after="0" w:line="276" w:lineRule="auto"/>
      <w:jc w:val="left"/>
      <w:outlineLvl w:val="9"/>
    </w:pPr>
    <w:rPr>
      <w:rFonts w:asciiTheme="majorHAnsi" w:hAnsiTheme="majorHAnsi" w:eastAsiaTheme="majorEastAsia" w:cstheme="majorBidi"/>
      <w:color w:val="366091" w:themeColor="accent1" w:themeShade="BF"/>
      <w:kern w:val="0"/>
      <w:sz w:val="28"/>
      <w:szCs w:val="28"/>
    </w:rPr>
  </w:style>
</w:styles>
</file>

<file path=word/_rels/document.xml.rels><?xml version="1.0" encoding="UTF-8" standalone="yes"?>
<Relationships xmlns="http://schemas.openxmlformats.org/package/2006/relationships"><Relationship Id="rId9" Type="http://schemas.openxmlformats.org/officeDocument/2006/relationships/chart" Target="charts/chart4.xml"/><Relationship Id="rId8" Type="http://schemas.openxmlformats.org/officeDocument/2006/relationships/chart" Target="charts/chart3.xml"/><Relationship Id="rId7" Type="http://schemas.openxmlformats.org/officeDocument/2006/relationships/chart" Target="charts/chart2.xml"/><Relationship Id="rId6" Type="http://schemas.openxmlformats.org/officeDocument/2006/relationships/chart" Target="charts/chart1.xml"/><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8" Type="http://schemas.openxmlformats.org/officeDocument/2006/relationships/fontTable" Target="fontTable.xml"/><Relationship Id="rId17" Type="http://schemas.openxmlformats.org/officeDocument/2006/relationships/numbering" Target="numbering.xml"/><Relationship Id="rId16" Type="http://schemas.openxmlformats.org/officeDocument/2006/relationships/image" Target="media/image3.png"/><Relationship Id="rId15" Type="http://schemas.openxmlformats.org/officeDocument/2006/relationships/image" Target="media/image2.png"/><Relationship Id="rId14" Type="http://schemas.openxmlformats.org/officeDocument/2006/relationships/image" Target="media/image1.png"/><Relationship Id="rId13" Type="http://schemas.openxmlformats.org/officeDocument/2006/relationships/chart" Target="charts/chart8.xml"/><Relationship Id="rId12" Type="http://schemas.openxmlformats.org/officeDocument/2006/relationships/chart" Target="charts/chart7.xml"/><Relationship Id="rId11" Type="http://schemas.openxmlformats.org/officeDocument/2006/relationships/chart" Target="charts/chart6.xml"/><Relationship Id="rId10" Type="http://schemas.openxmlformats.org/officeDocument/2006/relationships/chart" Target="charts/chart5.xml"/><Relationship Id="rId1" Type="http://schemas.openxmlformats.org/officeDocument/2006/relationships/styles" Target="styles.xml"/></Relationships>
</file>

<file path=word/charts/_rels/chart1.xml.rels><?xml version="1.0" encoding="UTF-8" standalone="yes"?>
<Relationships xmlns="http://schemas.openxmlformats.org/package/2006/relationships"><Relationship Id="rId1" Type="http://schemas.openxmlformats.org/officeDocument/2006/relationships/oleObject" Target="file:///C:\Users\Administrator\Desktop\2021&#24180;&#20915;&#31639;\&#38468;&#20214;4&#65306;2021&#24180;&#20915;&#31639;&#20844;&#24320;&#38468;&#22270;(&#27169;&#26495;)&#20165;&#20379;&#21442;&#32771;.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Administrator\Desktop\2021&#24180;&#20915;&#31639;\&#38468;&#20214;4&#65306;2021&#24180;&#20915;&#31639;&#20844;&#24320;&#38468;&#22270;(&#27169;&#26495;)&#20165;&#20379;&#21442;&#32771;.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Administrator\Desktop\2021&#24180;&#20915;&#31639;\&#38468;&#20214;4&#65306;2021&#24180;&#20915;&#31639;&#20844;&#24320;&#38468;&#22270;(&#27169;&#26495;)&#20165;&#20379;&#21442;&#32771;.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Users\Administrator\Desktop\2021&#24180;&#20915;&#31639;\&#38468;&#20214;4&#65306;2021&#24180;&#20915;&#31639;&#20844;&#24320;&#38468;&#22270;(&#27169;&#26495;)&#20165;&#20379;&#21442;&#32771;.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Users\Administrator\Desktop\2021&#24180;&#20915;&#31639;\&#38468;&#20214;4&#65306;2021&#24180;&#20915;&#31639;&#20844;&#24320;&#38468;&#22270;(&#27169;&#26495;)&#20165;&#20379;&#21442;&#32771;.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C:\Users\Administrator\Desktop\2021&#24180;&#20915;&#31639;\&#38468;&#20214;4&#65306;2021&#24180;&#20915;&#31639;&#20844;&#24320;&#38468;&#22270;(&#27169;&#26495;)&#20165;&#20379;&#21442;&#32771;.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C:\Users\Administrator\Desktop\2021&#24180;&#20915;&#31639;\&#38468;&#20214;4&#65306;2021&#24180;&#20915;&#31639;&#20844;&#24320;&#38468;&#22270;(&#27169;&#26495;)&#20165;&#20379;&#21442;&#32771;.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C:\Users\Administrator\Desktop\2021&#24180;&#20915;&#31639;\&#38468;&#20214;4&#65306;2021&#24180;&#20915;&#31639;&#20844;&#24320;&#38468;&#22270;(&#27169;&#26495;)&#20165;&#20379;&#21442;&#32771;.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a:defRPr lang="zh-CN" sz="1800" b="1" i="0" u="none" strike="noStrike" kern="1200" baseline="0">
                <a:solidFill>
                  <a:schemeClr val="dk1"/>
                </a:solidFill>
                <a:latin typeface="+mn-lt"/>
                <a:ea typeface="+mn-ea"/>
                <a:cs typeface="+mn-cs"/>
              </a:defRPr>
            </a:pPr>
            <a:r>
              <a:rPr lang="zh-CN"/>
              <a:t>图</a:t>
            </a:r>
            <a:r>
              <a:rPr lang="en-US"/>
              <a:t>1</a:t>
            </a:r>
            <a:r>
              <a:rPr lang="zh-CN"/>
              <a:t>：收入决算总计变动情况图</a:t>
            </a:r>
            <a:endParaRPr lang="zh-CN"/>
          </a:p>
        </c:rich>
      </c:tx>
      <c:layout/>
      <c:overlay val="0"/>
    </c:title>
    <c:autoTitleDeleted val="0"/>
    <c:plotArea>
      <c:layout/>
      <c:barChart>
        <c:barDir val="col"/>
        <c:grouping val="clustered"/>
        <c:varyColors val="0"/>
        <c:ser>
          <c:idx val="0"/>
          <c:order val="0"/>
          <c:tx>
            <c:strRef>
              <c:f>'[附件4：2021年决算公开附图(模板)仅供参考.xlsx]收入决算总体变动情况图1'!$C$13</c:f>
              <c:strCache>
                <c:ptCount val="1"/>
                <c:pt idx="0">
                  <c:v>金额</c:v>
                </c:pt>
              </c:strCache>
            </c:strRef>
          </c:tx>
          <c:invertIfNegative val="0"/>
          <c:dPt>
            <c:idx val="1"/>
            <c:invertIfNegative val="0"/>
            <c:bubble3D val="0"/>
            <c:spPr>
              <a:solidFill>
                <a:schemeClr val="accent2"/>
              </a:solidFill>
              <a:ln w="25400" cap="flat" cmpd="sng" algn="ctr">
                <a:solidFill>
                  <a:schemeClr val="accent2">
                    <a:shade val="50000"/>
                  </a:schemeClr>
                </a:solidFill>
                <a:prstDash val="solid"/>
              </a:ln>
              <a:effectLst/>
            </c:spPr>
          </c:dPt>
          <c:dLbls>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dk1"/>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15:leaderLines/>
              </c:ext>
            </c:extLst>
          </c:dLbls>
          <c:cat>
            <c:strRef>
              <c:f>'[附件4：2021年决算公开附图(模板)仅供参考.xlsx]收入决算总体变动情况图1'!$B$14:$B$15</c:f>
              <c:strCache>
                <c:ptCount val="2"/>
                <c:pt idx="0">
                  <c:v>2021年</c:v>
                </c:pt>
                <c:pt idx="1">
                  <c:v>2020年</c:v>
                </c:pt>
              </c:strCache>
            </c:strRef>
          </c:cat>
          <c:val>
            <c:numRef>
              <c:f>'[附件4：2021年决算公开附图(模板)仅供参考.xlsx]收入决算总体变动情况图1'!$C$14:$C$15</c:f>
              <c:numCache>
                <c:formatCode>#,##0.00</c:formatCode>
                <c:ptCount val="2"/>
                <c:pt idx="0">
                  <c:v>2451851.79</c:v>
                </c:pt>
                <c:pt idx="1">
                  <c:v>2112359.78</c:v>
                </c:pt>
              </c:numCache>
            </c:numRef>
          </c:val>
        </c:ser>
        <c:dLbls>
          <c:showLegendKey val="0"/>
          <c:showVal val="1"/>
          <c:showCatName val="0"/>
          <c:showSerName val="0"/>
          <c:showPercent val="0"/>
          <c:showBubbleSize val="0"/>
        </c:dLbls>
        <c:gapWidth val="150"/>
        <c:axId val="73265920"/>
        <c:axId val="73267456"/>
      </c:barChart>
      <c:catAx>
        <c:axId val="73265920"/>
        <c:scaling>
          <c:orientation val="minMax"/>
        </c:scaling>
        <c:delete val="0"/>
        <c:axPos val="b"/>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dk1"/>
                </a:solidFill>
                <a:latin typeface="+mn-lt"/>
                <a:ea typeface="+mn-ea"/>
                <a:cs typeface="+mn-cs"/>
              </a:defRPr>
            </a:pPr>
          </a:p>
        </c:txPr>
        <c:crossAx val="73267456"/>
        <c:crosses val="autoZero"/>
        <c:auto val="1"/>
        <c:lblAlgn val="ctr"/>
        <c:lblOffset val="100"/>
        <c:noMultiLvlLbl val="0"/>
      </c:catAx>
      <c:valAx>
        <c:axId val="73267456"/>
        <c:scaling>
          <c:orientation val="minMax"/>
        </c:scaling>
        <c:delete val="0"/>
        <c:axPos val="l"/>
        <c:majorGridlines/>
        <c:numFmt formatCode="#,##0.00"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dk1"/>
                </a:solidFill>
                <a:latin typeface="+mn-lt"/>
                <a:ea typeface="+mn-ea"/>
                <a:cs typeface="+mn-cs"/>
              </a:defRPr>
            </a:pPr>
          </a:p>
        </c:txPr>
        <c:crossAx val="73265920"/>
        <c:crosses val="autoZero"/>
        <c:crossBetween val="between"/>
      </c:valAx>
      <c:spPr>
        <a:gradFill rotWithShape="1">
          <a:gsLst>
            <a:gs pos="0">
              <a:schemeClr val="dk1">
                <a:tint val="50000"/>
                <a:satMod val="300000"/>
              </a:schemeClr>
            </a:gs>
            <a:gs pos="35000">
              <a:schemeClr val="dk1">
                <a:tint val="37000"/>
                <a:satMod val="300000"/>
              </a:schemeClr>
            </a:gs>
            <a:gs pos="100000">
              <a:schemeClr val="dk1">
                <a:tint val="15000"/>
                <a:satMod val="350000"/>
              </a:schemeClr>
            </a:gs>
          </a:gsLst>
          <a:lin ang="16200000" scaled="1"/>
        </a:gradFill>
        <a:ln w="9525" cap="flat" cmpd="sng" algn="ctr">
          <a:solidFill>
            <a:schemeClr val="dk1">
              <a:shade val="95000"/>
              <a:satMod val="105000"/>
            </a:schemeClr>
          </a:solidFill>
          <a:prstDash val="solid"/>
        </a:ln>
        <a:effectLst>
          <a:outerShdw blurRad="40000" dist="20000" dir="5400000" rotWithShape="0">
            <a:srgbClr val="000000">
              <a:alpha val="38000"/>
            </a:srgbClr>
          </a:outerShdw>
        </a:effectLst>
      </c:spPr>
    </c:plotArea>
    <c:legend>
      <c:legendPos val="r"/>
      <c:layout/>
      <c:overlay val="0"/>
      <c:txPr>
        <a:bodyPr rot="0" spcFirstLastPara="0" vertOverflow="ellipsis" vert="horz" wrap="square" anchor="ctr" anchorCtr="1"/>
        <a:lstStyle/>
        <a:p>
          <a:pPr>
            <a:defRPr lang="zh-CN" sz="1000" b="0" i="0" u="none" strike="noStrike" kern="1200" baseline="0">
              <a:solidFill>
                <a:schemeClr val="dk1"/>
              </a:solidFill>
              <a:latin typeface="+mn-lt"/>
              <a:ea typeface="+mn-ea"/>
              <a:cs typeface="+mn-cs"/>
            </a:defRPr>
          </a:pPr>
        </a:p>
      </c:txPr>
    </c:legend>
    <c:plotVisOnly val="1"/>
    <c:dispBlanksAs val="gap"/>
    <c:showDLblsOverMax val="0"/>
  </c:chart>
  <c:spPr>
    <a:gradFill rotWithShape="1">
      <a:gsLst>
        <a:gs pos="0">
          <a:schemeClr val="accent3">
            <a:tint val="50000"/>
            <a:satMod val="300000"/>
          </a:schemeClr>
        </a:gs>
        <a:gs pos="35000">
          <a:schemeClr val="accent3">
            <a:tint val="37000"/>
            <a:satMod val="300000"/>
          </a:schemeClr>
        </a:gs>
        <a:gs pos="100000">
          <a:schemeClr val="accent3">
            <a:tint val="15000"/>
            <a:satMod val="350000"/>
          </a:schemeClr>
        </a:gs>
      </a:gsLst>
      <a:lin ang="16200000" scaled="1"/>
    </a:gradFill>
    <a:ln w="9525" cap="flat" cmpd="sng" algn="ctr">
      <a:solidFill>
        <a:schemeClr val="accent3">
          <a:shade val="95000"/>
          <a:satMod val="105000"/>
        </a:schemeClr>
      </a:solidFill>
      <a:prstDash val="solid"/>
      <a:round/>
    </a:ln>
    <a:effectLst>
      <a:outerShdw blurRad="40000" dist="20000" dir="5400000" rotWithShape="0">
        <a:srgbClr val="000000">
          <a:alpha val="38000"/>
        </a:srgbClr>
      </a:outerShdw>
    </a:effectLst>
  </c:spPr>
  <c:txPr>
    <a:bodyPr/>
    <a:lstStyle/>
    <a:p>
      <a:pPr>
        <a:defRPr lang="zh-CN">
          <a:solidFill>
            <a:schemeClr val="dk1"/>
          </a:solidFill>
          <a:latin typeface="+mn-lt"/>
          <a:ea typeface="+mn-ea"/>
          <a:cs typeface="+mn-cs"/>
        </a:defRPr>
      </a:pPr>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a:defRPr lang="zh-CN" sz="1800" b="1" i="0" u="none" strike="noStrike" kern="1200" baseline="0">
                <a:solidFill>
                  <a:schemeClr val="dk1"/>
                </a:solidFill>
                <a:latin typeface="+mn-lt"/>
                <a:ea typeface="+mn-ea"/>
                <a:cs typeface="+mn-cs"/>
              </a:defRPr>
            </a:pPr>
            <a:r>
              <a:rPr lang="zh-CN"/>
              <a:t>图</a:t>
            </a:r>
            <a:r>
              <a:rPr lang="en-US"/>
              <a:t>1</a:t>
            </a:r>
            <a:r>
              <a:rPr lang="zh-CN"/>
              <a:t>：支出决算总计变动情况图</a:t>
            </a:r>
            <a:endParaRPr lang="zh-CN"/>
          </a:p>
        </c:rich>
      </c:tx>
      <c:layout/>
      <c:overlay val="0"/>
    </c:title>
    <c:autoTitleDeleted val="0"/>
    <c:plotArea>
      <c:layout/>
      <c:barChart>
        <c:barDir val="col"/>
        <c:grouping val="clustered"/>
        <c:varyColors val="0"/>
        <c:ser>
          <c:idx val="0"/>
          <c:order val="0"/>
          <c:tx>
            <c:strRef>
              <c:f>'[附件4：2021年决算公开附图(模板)仅供参考.xlsx]收入决算总体变动情况图1'!$C$13</c:f>
              <c:strCache>
                <c:ptCount val="1"/>
                <c:pt idx="0">
                  <c:v>金额</c:v>
                </c:pt>
              </c:strCache>
            </c:strRef>
          </c:tx>
          <c:invertIfNegative val="0"/>
          <c:dPt>
            <c:idx val="1"/>
            <c:invertIfNegative val="0"/>
            <c:bubble3D val="0"/>
            <c:spPr>
              <a:solidFill>
                <a:schemeClr val="accent2"/>
              </a:solidFill>
              <a:ln w="25400" cap="flat" cmpd="sng" algn="ctr">
                <a:solidFill>
                  <a:schemeClr val="accent2">
                    <a:shade val="50000"/>
                  </a:schemeClr>
                </a:solidFill>
                <a:prstDash val="solid"/>
              </a:ln>
              <a:effectLst/>
            </c:spPr>
          </c:dPt>
          <c:dLbls>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dk1"/>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15:leaderLines/>
              </c:ext>
            </c:extLst>
          </c:dLbls>
          <c:cat>
            <c:strRef>
              <c:f>'[附件4：2021年决算公开附图(模板)仅供参考.xlsx]收入决算总体变动情况图1'!$B$14:$B$15</c:f>
              <c:strCache>
                <c:ptCount val="2"/>
                <c:pt idx="0">
                  <c:v>2021年</c:v>
                </c:pt>
                <c:pt idx="1">
                  <c:v>2020年</c:v>
                </c:pt>
              </c:strCache>
            </c:strRef>
          </c:cat>
          <c:val>
            <c:numRef>
              <c:f>'[附件4：2021年决算公开附图(模板)仅供参考.xlsx]收入决算总体变动情况图1'!$C$14:$C$15</c:f>
              <c:numCache>
                <c:formatCode>#,##0.00</c:formatCode>
                <c:ptCount val="2"/>
                <c:pt idx="0">
                  <c:v>2987750.5</c:v>
                </c:pt>
                <c:pt idx="1">
                  <c:v>2257359.78</c:v>
                </c:pt>
              </c:numCache>
            </c:numRef>
          </c:val>
        </c:ser>
        <c:dLbls>
          <c:showLegendKey val="0"/>
          <c:showVal val="1"/>
          <c:showCatName val="0"/>
          <c:showSerName val="0"/>
          <c:showPercent val="0"/>
          <c:showBubbleSize val="0"/>
        </c:dLbls>
        <c:gapWidth val="150"/>
        <c:axId val="73265920"/>
        <c:axId val="73267456"/>
      </c:barChart>
      <c:catAx>
        <c:axId val="73265920"/>
        <c:scaling>
          <c:orientation val="minMax"/>
        </c:scaling>
        <c:delete val="0"/>
        <c:axPos val="b"/>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dk1"/>
                </a:solidFill>
                <a:latin typeface="+mn-lt"/>
                <a:ea typeface="+mn-ea"/>
                <a:cs typeface="+mn-cs"/>
              </a:defRPr>
            </a:pPr>
          </a:p>
        </c:txPr>
        <c:crossAx val="73267456"/>
        <c:crosses val="autoZero"/>
        <c:auto val="1"/>
        <c:lblAlgn val="ctr"/>
        <c:lblOffset val="100"/>
        <c:noMultiLvlLbl val="0"/>
      </c:catAx>
      <c:valAx>
        <c:axId val="73267456"/>
        <c:scaling>
          <c:orientation val="minMax"/>
        </c:scaling>
        <c:delete val="0"/>
        <c:axPos val="l"/>
        <c:majorGridlines/>
        <c:numFmt formatCode="#,##0.00"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dk1"/>
                </a:solidFill>
                <a:latin typeface="+mn-lt"/>
                <a:ea typeface="+mn-ea"/>
                <a:cs typeface="+mn-cs"/>
              </a:defRPr>
            </a:pPr>
          </a:p>
        </c:txPr>
        <c:crossAx val="73265920"/>
        <c:crosses val="autoZero"/>
        <c:crossBetween val="between"/>
      </c:valAx>
      <c:spPr>
        <a:gradFill rotWithShape="1">
          <a:gsLst>
            <a:gs pos="0">
              <a:schemeClr val="dk1">
                <a:tint val="50000"/>
                <a:satMod val="300000"/>
              </a:schemeClr>
            </a:gs>
            <a:gs pos="35000">
              <a:schemeClr val="dk1">
                <a:tint val="37000"/>
                <a:satMod val="300000"/>
              </a:schemeClr>
            </a:gs>
            <a:gs pos="100000">
              <a:schemeClr val="dk1">
                <a:tint val="15000"/>
                <a:satMod val="350000"/>
              </a:schemeClr>
            </a:gs>
          </a:gsLst>
          <a:lin ang="16200000" scaled="1"/>
        </a:gradFill>
        <a:ln w="9525" cap="flat" cmpd="sng" algn="ctr">
          <a:solidFill>
            <a:schemeClr val="dk1">
              <a:shade val="95000"/>
              <a:satMod val="105000"/>
            </a:schemeClr>
          </a:solidFill>
          <a:prstDash val="solid"/>
        </a:ln>
        <a:effectLst>
          <a:outerShdw blurRad="40000" dist="20000" dir="5400000" rotWithShape="0">
            <a:srgbClr val="000000">
              <a:alpha val="38000"/>
            </a:srgbClr>
          </a:outerShdw>
        </a:effectLst>
      </c:spPr>
    </c:plotArea>
    <c:legend>
      <c:legendPos val="r"/>
      <c:layout/>
      <c:overlay val="0"/>
      <c:txPr>
        <a:bodyPr rot="0" spcFirstLastPara="0" vertOverflow="ellipsis" vert="horz" wrap="square" anchor="ctr" anchorCtr="1"/>
        <a:lstStyle/>
        <a:p>
          <a:pPr>
            <a:defRPr lang="zh-CN" sz="1000" b="0" i="0" u="none" strike="noStrike" kern="1200" baseline="0">
              <a:solidFill>
                <a:schemeClr val="dk1"/>
              </a:solidFill>
              <a:latin typeface="+mn-lt"/>
              <a:ea typeface="+mn-ea"/>
              <a:cs typeface="+mn-cs"/>
            </a:defRPr>
          </a:pPr>
        </a:p>
      </c:txPr>
    </c:legend>
    <c:plotVisOnly val="1"/>
    <c:dispBlanksAs val="gap"/>
    <c:showDLblsOverMax val="0"/>
  </c:chart>
  <c:spPr>
    <a:gradFill rotWithShape="1">
      <a:gsLst>
        <a:gs pos="0">
          <a:schemeClr val="accent3">
            <a:tint val="50000"/>
            <a:satMod val="300000"/>
          </a:schemeClr>
        </a:gs>
        <a:gs pos="35000">
          <a:schemeClr val="accent3">
            <a:tint val="37000"/>
            <a:satMod val="300000"/>
          </a:schemeClr>
        </a:gs>
        <a:gs pos="100000">
          <a:schemeClr val="accent3">
            <a:tint val="15000"/>
            <a:satMod val="350000"/>
          </a:schemeClr>
        </a:gs>
      </a:gsLst>
      <a:lin ang="16200000" scaled="1"/>
    </a:gradFill>
    <a:ln w="9525" cap="flat" cmpd="sng" algn="ctr">
      <a:solidFill>
        <a:schemeClr val="accent3">
          <a:shade val="95000"/>
          <a:satMod val="105000"/>
        </a:schemeClr>
      </a:solidFill>
      <a:prstDash val="solid"/>
      <a:round/>
    </a:ln>
    <a:effectLst>
      <a:outerShdw blurRad="40000" dist="20000" dir="5400000" rotWithShape="0">
        <a:srgbClr val="000000">
          <a:alpha val="38000"/>
        </a:srgbClr>
      </a:outerShdw>
    </a:effectLst>
  </c:spPr>
  <c:txPr>
    <a:bodyPr/>
    <a:lstStyle/>
    <a:p>
      <a:pPr>
        <a:defRPr lang="zh-CN">
          <a:solidFill>
            <a:schemeClr val="dk1"/>
          </a:solidFill>
          <a:latin typeface="+mn-lt"/>
          <a:ea typeface="+mn-ea"/>
          <a:cs typeface="+mn-cs"/>
        </a:defRPr>
      </a:pPr>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a:defRPr lang="zh-CN" sz="1800" b="1" i="0" u="none" strike="noStrike" kern="1200" baseline="0">
                <a:solidFill>
                  <a:schemeClr val="dk1"/>
                </a:solidFill>
                <a:latin typeface="+mn-lt"/>
                <a:ea typeface="+mn-ea"/>
                <a:cs typeface="+mn-cs"/>
              </a:defRPr>
            </a:pPr>
            <a:r>
              <a:rPr lang="zh-CN"/>
              <a:t>图</a:t>
            </a:r>
            <a:r>
              <a:rPr lang="en-US"/>
              <a:t>2</a:t>
            </a:r>
            <a:r>
              <a:rPr lang="zh-CN"/>
              <a:t>：</a:t>
            </a:r>
            <a:r>
              <a:rPr lang="en-US"/>
              <a:t>2021</a:t>
            </a:r>
            <a:r>
              <a:rPr lang="zh-CN"/>
              <a:t>年收入决算结构图</a:t>
            </a:r>
            <a:endParaRPr lang="zh-CN"/>
          </a:p>
        </c:rich>
      </c:tx>
      <c:layout/>
      <c:overlay val="0"/>
    </c:title>
    <c:autoTitleDeleted val="0"/>
    <c:plotArea>
      <c:layout/>
      <c:pieChart>
        <c:varyColors val="1"/>
        <c:ser>
          <c:idx val="0"/>
          <c:order val="0"/>
          <c:tx>
            <c:strRef>
              <c:f>'[附件4：2021年决算公开附图(模板)仅供参考.xlsx]收入决算结构图2'!$B$6</c:f>
              <c:strCache>
                <c:ptCount val="1"/>
                <c:pt idx="0">
                  <c:v>占比</c:v>
                </c:pt>
              </c:strCache>
            </c:strRef>
          </c:tx>
          <c:explosion val="0"/>
          <c:dPt>
            <c:idx val="0"/>
            <c:bubble3D val="0"/>
          </c:dPt>
          <c:dPt>
            <c:idx val="1"/>
            <c:bubble3D val="0"/>
          </c:dPt>
          <c:dPt>
            <c:idx val="2"/>
            <c:bubble3D val="0"/>
          </c:dPt>
          <c:dPt>
            <c:idx val="3"/>
            <c:bubble3D val="0"/>
          </c:dPt>
          <c:dLbls>
            <c:dLbl>
              <c:idx val="1"/>
              <c:layout>
                <c:manualLayout>
                  <c:x val="-0.0167753458752465"/>
                  <c:y val="-0.0412493660885495"/>
                </c:manualLayout>
              </c:layout>
              <c:dLblPos val="bestFit"/>
              <c:showLegendKey val="0"/>
              <c:showVal val="1"/>
              <c:showCatName val="0"/>
              <c:showSerName val="0"/>
              <c:showPercent val="0"/>
              <c:showBubbleSize val="0"/>
              <c:extLst>
                <c:ext xmlns:c15="http://schemas.microsoft.com/office/drawing/2012/chart" uri="{CE6537A1-D6FC-4f65-9D91-7224C49458BB}">
                  <c15:layout/>
                </c:ext>
              </c:extLst>
            </c:dLbl>
            <c:dLbl>
              <c:idx val="2"/>
              <c:layout>
                <c:manualLayout>
                  <c:x val="0.0750471494345391"/>
                  <c:y val="-0.0162085918724544"/>
                </c:manualLayout>
              </c:layout>
              <c:dLblPos val="bestFit"/>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dk1"/>
                    </a:solidFill>
                    <a:latin typeface="+mn-lt"/>
                    <a:ea typeface="+mn-ea"/>
                    <a:cs typeface="+mn-cs"/>
                  </a:defRPr>
                </a:pPr>
              </a:p>
            </c:txPr>
            <c:dLblPos val="bestFit"/>
            <c:showLegendKey val="0"/>
            <c:showVal val="1"/>
            <c:showCatName val="0"/>
            <c:showSerName val="0"/>
            <c:showPercent val="0"/>
            <c:showBubbleSize val="0"/>
            <c:showLeaderLines val="1"/>
            <c:extLst>
              <c:ext xmlns:c15="http://schemas.microsoft.com/office/drawing/2012/chart" uri="{CE6537A1-D6FC-4f65-9D91-7224C49458BB}">
                <c15:layout/>
                <c15:showLeaderLines val="1"/>
                <c15:leaderLines/>
              </c:ext>
            </c:extLst>
          </c:dLbls>
          <c:cat>
            <c:strRef>
              <c:f>'[附件4：2021年决算公开附图(模板)仅供参考.xlsx]收入决算结构图2'!$A$7:$A$10</c:f>
              <c:strCache>
                <c:ptCount val="4"/>
                <c:pt idx="0">
                  <c:v>一般公共预算财政拨款收入298.78万元</c:v>
                </c:pt>
                <c:pt idx="1">
                  <c:v>政府性基金预算财政拨款0万元</c:v>
                </c:pt>
                <c:pt idx="2">
                  <c:v>事业收入0万元</c:v>
                </c:pt>
                <c:pt idx="3">
                  <c:v>其他收入0万元</c:v>
                </c:pt>
              </c:strCache>
            </c:strRef>
          </c:cat>
          <c:val>
            <c:numRef>
              <c:f>'[附件4：2021年决算公开附图(模板)仅供参考.xlsx]收入决算结构图2'!$B$7:$B$10</c:f>
              <c:numCache>
                <c:formatCode>0.00%</c:formatCode>
                <c:ptCount val="4"/>
                <c:pt idx="0">
                  <c:v>1</c:v>
                </c:pt>
                <c:pt idx="1">
                  <c:v>0</c:v>
                </c:pt>
                <c:pt idx="2">
                  <c:v>0</c:v>
                </c:pt>
                <c:pt idx="3">
                  <c:v>0</c:v>
                </c:pt>
              </c:numCache>
            </c:numRef>
          </c:val>
        </c:ser>
        <c:dLbls>
          <c:showLegendKey val="0"/>
          <c:showVal val="1"/>
          <c:showCatName val="0"/>
          <c:showSerName val="0"/>
          <c:showPercent val="0"/>
          <c:showBubbleSize val="0"/>
          <c:showLeaderLines val="1"/>
        </c:dLbls>
        <c:firstSliceAng val="15"/>
      </c:pieChart>
      <c:spPr>
        <a:noFill/>
        <a:ln>
          <a:noFill/>
        </a:ln>
        <a:effectLst/>
      </c:spPr>
    </c:plotArea>
    <c:legend>
      <c:legendPos val="r"/>
      <c:layout/>
      <c:overlay val="0"/>
      <c:txPr>
        <a:bodyPr rot="0" spcFirstLastPara="0" vertOverflow="ellipsis" vert="horz" wrap="square" anchor="ctr" anchorCtr="1"/>
        <a:lstStyle/>
        <a:p>
          <a:pPr>
            <a:defRPr lang="zh-CN" sz="1000" b="0" i="0" u="none" strike="noStrike" kern="1200" baseline="0">
              <a:solidFill>
                <a:schemeClr val="dk1"/>
              </a:solidFill>
              <a:latin typeface="+mn-lt"/>
              <a:ea typeface="+mn-ea"/>
              <a:cs typeface="+mn-cs"/>
            </a:defRPr>
          </a:pPr>
        </a:p>
      </c:txPr>
    </c:legend>
    <c:plotVisOnly val="1"/>
    <c:dispBlanksAs val="gap"/>
    <c:showDLblsOverMax val="0"/>
  </c:chart>
  <c:spPr>
    <a:gradFill rotWithShape="1">
      <a:gsLst>
        <a:gs pos="0">
          <a:schemeClr val="accent3">
            <a:tint val="50000"/>
            <a:satMod val="300000"/>
          </a:schemeClr>
        </a:gs>
        <a:gs pos="35000">
          <a:schemeClr val="accent3">
            <a:tint val="37000"/>
            <a:satMod val="300000"/>
          </a:schemeClr>
        </a:gs>
        <a:gs pos="100000">
          <a:schemeClr val="accent3">
            <a:tint val="15000"/>
            <a:satMod val="350000"/>
          </a:schemeClr>
        </a:gs>
      </a:gsLst>
      <a:lin ang="16200000" scaled="1"/>
    </a:gradFill>
    <a:ln w="9525" cap="flat" cmpd="sng" algn="ctr">
      <a:solidFill>
        <a:schemeClr val="accent3">
          <a:shade val="95000"/>
          <a:satMod val="105000"/>
        </a:schemeClr>
      </a:solidFill>
      <a:prstDash val="solid"/>
      <a:round/>
    </a:ln>
    <a:effectLst>
      <a:outerShdw blurRad="40000" dist="20000" dir="5400000" rotWithShape="0">
        <a:srgbClr val="000000">
          <a:alpha val="38000"/>
        </a:srgbClr>
      </a:outerShdw>
    </a:effectLst>
  </c:spPr>
  <c:txPr>
    <a:bodyPr/>
    <a:lstStyle/>
    <a:p>
      <a:pPr>
        <a:defRPr lang="zh-CN">
          <a:solidFill>
            <a:schemeClr val="dk1"/>
          </a:solidFill>
          <a:latin typeface="+mn-lt"/>
          <a:ea typeface="+mn-ea"/>
          <a:cs typeface="+mn-cs"/>
        </a:defRPr>
      </a:pPr>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a:defRPr lang="zh-CN" sz="1800" b="1" i="0" u="none" strike="noStrike" kern="1200" baseline="0">
                <a:solidFill>
                  <a:schemeClr val="dk1"/>
                </a:solidFill>
                <a:latin typeface="+mn-lt"/>
                <a:ea typeface="+mn-ea"/>
                <a:cs typeface="+mn-cs"/>
              </a:defRPr>
            </a:pPr>
            <a:r>
              <a:rPr lang="zh-CN"/>
              <a:t>图</a:t>
            </a:r>
            <a:r>
              <a:rPr lang="en-US"/>
              <a:t>3</a:t>
            </a:r>
            <a:r>
              <a:rPr lang="zh-CN"/>
              <a:t>：</a:t>
            </a:r>
            <a:r>
              <a:rPr lang="en-US"/>
              <a:t>2021</a:t>
            </a:r>
            <a:r>
              <a:rPr lang="zh-CN"/>
              <a:t>年支出决算结构图</a:t>
            </a:r>
            <a:endParaRPr lang="zh-CN"/>
          </a:p>
        </c:rich>
      </c:tx>
      <c:layout>
        <c:manualLayout>
          <c:xMode val="edge"/>
          <c:yMode val="edge"/>
          <c:x val="0.224852767962309"/>
          <c:y val="0.0234604105571848"/>
        </c:manualLayout>
      </c:layout>
      <c:overlay val="0"/>
    </c:title>
    <c:autoTitleDeleted val="0"/>
    <c:plotArea>
      <c:layout/>
      <c:pieChart>
        <c:varyColors val="1"/>
        <c:ser>
          <c:idx val="0"/>
          <c:order val="0"/>
          <c:tx>
            <c:strRef>
              <c:f>'[附件4：2021年决算公开附图(模板)仅供参考.xlsx]支出决算结构图3'!$B$9</c:f>
              <c:strCache>
                <c:ptCount val="1"/>
                <c:pt idx="0">
                  <c:v>占比</c:v>
                </c:pt>
              </c:strCache>
            </c:strRef>
          </c:tx>
          <c:explosion val="0"/>
          <c:dPt>
            <c:idx val="0"/>
            <c:bubble3D val="0"/>
          </c:dPt>
          <c:dPt>
            <c:idx val="1"/>
            <c:bubble3D val="0"/>
          </c:dPt>
          <c:dLbls>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dk1"/>
                    </a:solidFill>
                    <a:latin typeface="+mn-lt"/>
                    <a:ea typeface="+mn-ea"/>
                    <a:cs typeface="+mn-cs"/>
                  </a:defRPr>
                </a:pPr>
              </a:p>
            </c:txPr>
            <c:dLblPos val="bestFit"/>
            <c:showLegendKey val="0"/>
            <c:showVal val="1"/>
            <c:showCatName val="0"/>
            <c:showSerName val="0"/>
            <c:showPercent val="0"/>
            <c:showBubbleSize val="0"/>
            <c:showLeaderLines val="1"/>
            <c:extLst>
              <c:ext xmlns:c15="http://schemas.microsoft.com/office/drawing/2012/chart" uri="{CE6537A1-D6FC-4f65-9D91-7224C49458BB}">
                <c15:layout/>
                <c15:showLeaderLines val="1"/>
                <c15:leaderLines/>
              </c:ext>
            </c:extLst>
          </c:dLbls>
          <c:cat>
            <c:strRef>
              <c:f>'[附件4：2021年决算公开附图(模板)仅供参考.xlsx]支出决算结构图3'!$A$10:$A$11</c:f>
              <c:strCache>
                <c:ptCount val="2"/>
                <c:pt idx="0">
                  <c:v>基本支出117.98万元</c:v>
                </c:pt>
                <c:pt idx="1">
                  <c:v>项目支出180.8万元</c:v>
                </c:pt>
              </c:strCache>
            </c:strRef>
          </c:cat>
          <c:val>
            <c:numRef>
              <c:f>'[附件4：2021年决算公开附图(模板)仅供参考.xlsx]支出决算结构图3'!$B$10:$B$11</c:f>
              <c:numCache>
                <c:formatCode>0.00%</c:formatCode>
                <c:ptCount val="2"/>
                <c:pt idx="0">
                  <c:v>0.395</c:v>
                </c:pt>
                <c:pt idx="1">
                  <c:v>0.605</c:v>
                </c:pt>
              </c:numCache>
            </c:numRef>
          </c:val>
        </c:ser>
        <c:dLbls>
          <c:showLegendKey val="0"/>
          <c:showVal val="1"/>
          <c:showCatName val="0"/>
          <c:showSerName val="0"/>
          <c:showPercent val="0"/>
          <c:showBubbleSize val="0"/>
          <c:showLeaderLines val="1"/>
        </c:dLbls>
        <c:firstSliceAng val="15"/>
      </c:pieChart>
      <c:spPr>
        <a:noFill/>
        <a:ln>
          <a:noFill/>
        </a:ln>
        <a:effectLst/>
      </c:spPr>
    </c:plotArea>
    <c:legend>
      <c:legendPos val="r"/>
      <c:layout/>
      <c:overlay val="0"/>
      <c:txPr>
        <a:bodyPr rot="0" spcFirstLastPara="0" vertOverflow="ellipsis" vert="horz" wrap="square" anchor="ctr" anchorCtr="1"/>
        <a:lstStyle/>
        <a:p>
          <a:pPr>
            <a:defRPr lang="zh-CN" sz="1000" b="0" i="0" u="none" strike="noStrike" kern="1200" baseline="0">
              <a:solidFill>
                <a:schemeClr val="dk1"/>
              </a:solidFill>
              <a:latin typeface="+mn-lt"/>
              <a:ea typeface="+mn-ea"/>
              <a:cs typeface="+mn-cs"/>
            </a:defRPr>
          </a:pPr>
        </a:p>
      </c:txPr>
    </c:legend>
    <c:plotVisOnly val="1"/>
    <c:dispBlanksAs val="gap"/>
    <c:showDLblsOverMax val="0"/>
  </c:chart>
  <c:spPr>
    <a:gradFill rotWithShape="1">
      <a:gsLst>
        <a:gs pos="0">
          <a:schemeClr val="accent3">
            <a:tint val="50000"/>
            <a:satMod val="300000"/>
          </a:schemeClr>
        </a:gs>
        <a:gs pos="35000">
          <a:schemeClr val="accent3">
            <a:tint val="37000"/>
            <a:satMod val="300000"/>
          </a:schemeClr>
        </a:gs>
        <a:gs pos="100000">
          <a:schemeClr val="accent3">
            <a:tint val="15000"/>
            <a:satMod val="350000"/>
          </a:schemeClr>
        </a:gs>
      </a:gsLst>
      <a:lin ang="16200000" scaled="1"/>
    </a:gradFill>
    <a:ln w="9525" cap="flat" cmpd="sng" algn="ctr">
      <a:solidFill>
        <a:schemeClr val="accent3">
          <a:shade val="95000"/>
          <a:satMod val="105000"/>
        </a:schemeClr>
      </a:solidFill>
      <a:prstDash val="solid"/>
      <a:round/>
    </a:ln>
    <a:effectLst>
      <a:outerShdw blurRad="40000" dist="20000" dir="5400000" rotWithShape="0">
        <a:srgbClr val="000000">
          <a:alpha val="38000"/>
        </a:srgbClr>
      </a:outerShdw>
    </a:effectLst>
  </c:spPr>
  <c:txPr>
    <a:bodyPr/>
    <a:lstStyle/>
    <a:p>
      <a:pPr>
        <a:defRPr lang="zh-CN">
          <a:solidFill>
            <a:schemeClr val="dk1"/>
          </a:solidFill>
          <a:latin typeface="+mn-lt"/>
          <a:ea typeface="+mn-ea"/>
          <a:cs typeface="+mn-cs"/>
        </a:defRPr>
      </a:pPr>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a:defRPr lang="zh-CN" sz="1800" b="1" i="0" u="none" strike="noStrike" kern="1200" baseline="0">
                <a:solidFill>
                  <a:schemeClr val="dk1"/>
                </a:solidFill>
                <a:latin typeface="+mn-lt"/>
                <a:ea typeface="+mn-ea"/>
                <a:cs typeface="+mn-cs"/>
              </a:defRPr>
            </a:pPr>
            <a:r>
              <a:rPr lang="zh-CN" altLang="en-US"/>
              <a:t>图</a:t>
            </a:r>
            <a:r>
              <a:rPr lang="en-US" altLang="zh-CN"/>
              <a:t>4</a:t>
            </a:r>
            <a:r>
              <a:rPr lang="zh-CN" altLang="en-US"/>
              <a:t>：财政拨款收入决算总计变动情况图</a:t>
            </a:r>
            <a:endParaRPr lang="zh-CN" altLang="en-US"/>
          </a:p>
        </c:rich>
      </c:tx>
      <c:layout/>
      <c:overlay val="0"/>
    </c:title>
    <c:autoTitleDeleted val="0"/>
    <c:plotArea>
      <c:layout/>
      <c:barChart>
        <c:barDir val="col"/>
        <c:grouping val="clustered"/>
        <c:varyColors val="0"/>
        <c:ser>
          <c:idx val="0"/>
          <c:order val="0"/>
          <c:tx>
            <c:strRef>
              <c:f>'[附件4：2021年决算公开附图(模板)仅供参考.xlsx]财政拨款收、支决算总计变动情况图4'!$C$4</c:f>
              <c:strCache>
                <c:ptCount val="1"/>
                <c:pt idx="0">
                  <c:v>金额</c:v>
                </c:pt>
              </c:strCache>
            </c:strRef>
          </c:tx>
          <c:invertIfNegative val="0"/>
          <c:dPt>
            <c:idx val="1"/>
            <c:invertIfNegative val="0"/>
            <c:bubble3D val="0"/>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w="9525" cap="flat" cmpd="sng" algn="ctr">
                <a:solidFill>
                  <a:schemeClr val="accent2">
                    <a:shade val="95000"/>
                    <a:satMod val="105000"/>
                  </a:schemeClr>
                </a:solidFill>
                <a:prstDash val="solid"/>
              </a:ln>
              <a:effectLst>
                <a:outerShdw blurRad="40000" dist="23000" dir="5400000" rotWithShape="0">
                  <a:srgbClr val="000000">
                    <a:alpha val="35000"/>
                  </a:srgbClr>
                </a:outerShdw>
              </a:effectLst>
            </c:spPr>
          </c:dPt>
          <c:dLbls>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dk1"/>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15:leaderLines/>
              </c:ext>
            </c:extLst>
          </c:dLbls>
          <c:cat>
            <c:strRef>
              <c:f>'[附件4：2021年决算公开附图(模板)仅供参考.xlsx]财政拨款收、支决算总计变动情况图4'!$B$5:$B$6</c:f>
              <c:strCache>
                <c:ptCount val="2"/>
                <c:pt idx="0">
                  <c:v>2021年</c:v>
                </c:pt>
                <c:pt idx="1">
                  <c:v>2020年</c:v>
                </c:pt>
              </c:strCache>
            </c:strRef>
          </c:cat>
          <c:val>
            <c:numRef>
              <c:f>'[附件4：2021年决算公开附图(模板)仅供参考.xlsx]财政拨款收、支决算总计变动情况图4'!$C$5:$C$6</c:f>
              <c:numCache>
                <c:formatCode>#,##0.00</c:formatCode>
                <c:ptCount val="2"/>
                <c:pt idx="0">
                  <c:v>2848998.5</c:v>
                </c:pt>
                <c:pt idx="1">
                  <c:v>1882823.58</c:v>
                </c:pt>
              </c:numCache>
            </c:numRef>
          </c:val>
        </c:ser>
        <c:dLbls>
          <c:showLegendKey val="0"/>
          <c:showVal val="1"/>
          <c:showCatName val="0"/>
          <c:showSerName val="0"/>
          <c:showPercent val="0"/>
          <c:showBubbleSize val="0"/>
        </c:dLbls>
        <c:gapWidth val="150"/>
        <c:axId val="91223168"/>
        <c:axId val="91224704"/>
      </c:barChart>
      <c:catAx>
        <c:axId val="91223168"/>
        <c:scaling>
          <c:orientation val="minMax"/>
        </c:scaling>
        <c:delete val="0"/>
        <c:axPos val="b"/>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dk1"/>
                </a:solidFill>
                <a:latin typeface="+mn-lt"/>
                <a:ea typeface="+mn-ea"/>
                <a:cs typeface="+mn-cs"/>
              </a:defRPr>
            </a:pPr>
          </a:p>
        </c:txPr>
        <c:crossAx val="91224704"/>
        <c:crosses val="autoZero"/>
        <c:auto val="1"/>
        <c:lblAlgn val="ctr"/>
        <c:lblOffset val="100"/>
        <c:noMultiLvlLbl val="0"/>
      </c:catAx>
      <c:valAx>
        <c:axId val="91224704"/>
        <c:scaling>
          <c:orientation val="minMax"/>
        </c:scaling>
        <c:delete val="0"/>
        <c:axPos val="l"/>
        <c:majorGridlines/>
        <c:numFmt formatCode="#,##0.00"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dk1"/>
                </a:solidFill>
                <a:latin typeface="+mn-lt"/>
                <a:ea typeface="+mn-ea"/>
                <a:cs typeface="+mn-cs"/>
              </a:defRPr>
            </a:pPr>
          </a:p>
        </c:txPr>
        <c:crossAx val="91223168"/>
        <c:crosses val="autoZero"/>
        <c:crossBetween val="between"/>
      </c:valAx>
      <c:spPr>
        <a:gradFill rotWithShape="1">
          <a:gsLst>
            <a:gs pos="0">
              <a:schemeClr val="dk1">
                <a:tint val="50000"/>
                <a:satMod val="300000"/>
              </a:schemeClr>
            </a:gs>
            <a:gs pos="35000">
              <a:schemeClr val="dk1">
                <a:tint val="37000"/>
                <a:satMod val="300000"/>
              </a:schemeClr>
            </a:gs>
            <a:gs pos="100000">
              <a:schemeClr val="dk1">
                <a:tint val="15000"/>
                <a:satMod val="350000"/>
              </a:schemeClr>
            </a:gs>
          </a:gsLst>
          <a:lin ang="16200000" scaled="1"/>
        </a:gradFill>
        <a:ln w="9525" cap="flat" cmpd="sng" algn="ctr">
          <a:solidFill>
            <a:schemeClr val="dk1">
              <a:shade val="95000"/>
              <a:satMod val="105000"/>
            </a:schemeClr>
          </a:solidFill>
          <a:prstDash val="solid"/>
        </a:ln>
        <a:effectLst>
          <a:outerShdw blurRad="40000" dist="20000" dir="5400000" rotWithShape="0">
            <a:srgbClr val="000000">
              <a:alpha val="38000"/>
            </a:srgbClr>
          </a:outerShdw>
        </a:effectLst>
      </c:spPr>
    </c:plotArea>
    <c:legend>
      <c:legendPos val="r"/>
      <c:layout/>
      <c:overlay val="0"/>
      <c:txPr>
        <a:bodyPr rot="0" spcFirstLastPara="0" vertOverflow="ellipsis" vert="horz" wrap="square" anchor="ctr" anchorCtr="1"/>
        <a:lstStyle/>
        <a:p>
          <a:pPr>
            <a:defRPr lang="zh-CN" sz="1000" b="0" i="0" u="none" strike="noStrike" kern="1200" baseline="0">
              <a:solidFill>
                <a:schemeClr val="dk1"/>
              </a:solidFill>
              <a:latin typeface="+mn-lt"/>
              <a:ea typeface="+mn-ea"/>
              <a:cs typeface="+mn-cs"/>
            </a:defRPr>
          </a:pPr>
        </a:p>
      </c:txPr>
    </c:legend>
    <c:plotVisOnly val="1"/>
    <c:dispBlanksAs val="gap"/>
    <c:showDLblsOverMax val="0"/>
  </c:chart>
  <c:spPr>
    <a:gradFill rotWithShape="1">
      <a:gsLst>
        <a:gs pos="0">
          <a:schemeClr val="accent3">
            <a:tint val="50000"/>
            <a:satMod val="300000"/>
          </a:schemeClr>
        </a:gs>
        <a:gs pos="35000">
          <a:schemeClr val="accent3">
            <a:tint val="37000"/>
            <a:satMod val="300000"/>
          </a:schemeClr>
        </a:gs>
        <a:gs pos="100000">
          <a:schemeClr val="accent3">
            <a:tint val="15000"/>
            <a:satMod val="350000"/>
          </a:schemeClr>
        </a:gs>
      </a:gsLst>
      <a:lin ang="16200000" scaled="1"/>
    </a:gradFill>
    <a:ln w="9525" cap="flat" cmpd="sng" algn="ctr">
      <a:solidFill>
        <a:schemeClr val="accent3">
          <a:shade val="95000"/>
          <a:satMod val="105000"/>
        </a:schemeClr>
      </a:solidFill>
      <a:prstDash val="solid"/>
      <a:round/>
    </a:ln>
    <a:effectLst>
      <a:outerShdw blurRad="40000" dist="20000" dir="5400000" rotWithShape="0">
        <a:srgbClr val="000000">
          <a:alpha val="38000"/>
        </a:srgbClr>
      </a:outerShdw>
    </a:effectLst>
  </c:spPr>
  <c:txPr>
    <a:bodyPr/>
    <a:lstStyle/>
    <a:p>
      <a:pPr>
        <a:defRPr lang="zh-CN">
          <a:solidFill>
            <a:schemeClr val="dk1"/>
          </a:solidFill>
          <a:latin typeface="+mn-lt"/>
          <a:ea typeface="+mn-ea"/>
          <a:cs typeface="+mn-cs"/>
        </a:defRPr>
      </a:pPr>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a:defRPr lang="zh-CN" sz="1800" b="1" i="0" u="none" strike="noStrike" kern="1200" baseline="0">
                <a:solidFill>
                  <a:schemeClr val="dk1"/>
                </a:solidFill>
                <a:latin typeface="+mn-lt"/>
                <a:ea typeface="+mn-ea"/>
                <a:cs typeface="+mn-cs"/>
              </a:defRPr>
            </a:pPr>
            <a:r>
              <a:rPr lang="zh-CN" altLang="en-US"/>
              <a:t>图</a:t>
            </a:r>
            <a:r>
              <a:rPr lang="en-US" altLang="zh-CN"/>
              <a:t>4</a:t>
            </a:r>
            <a:r>
              <a:rPr lang="zh-CN" altLang="en-US"/>
              <a:t>：财政拨款支出决算总计变动情况图</a:t>
            </a:r>
            <a:endParaRPr lang="zh-CN" altLang="en-US"/>
          </a:p>
        </c:rich>
      </c:tx>
      <c:layout/>
      <c:overlay val="0"/>
    </c:title>
    <c:autoTitleDeleted val="0"/>
    <c:plotArea>
      <c:layout/>
      <c:barChart>
        <c:barDir val="col"/>
        <c:grouping val="clustered"/>
        <c:varyColors val="0"/>
        <c:ser>
          <c:idx val="0"/>
          <c:order val="0"/>
          <c:tx>
            <c:strRef>
              <c:f>'[附件4：2021年决算公开附图(模板)仅供参考.xlsx]财政拨款收、支决算总计变动情况图4'!$C$4</c:f>
              <c:strCache>
                <c:ptCount val="1"/>
                <c:pt idx="0">
                  <c:v>金额</c:v>
                </c:pt>
              </c:strCache>
            </c:strRef>
          </c:tx>
          <c:invertIfNegative val="0"/>
          <c:dPt>
            <c:idx val="1"/>
            <c:invertIfNegative val="0"/>
            <c:bubble3D val="0"/>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w="9525" cap="flat" cmpd="sng" algn="ctr">
                <a:solidFill>
                  <a:schemeClr val="accent2">
                    <a:shade val="95000"/>
                    <a:satMod val="105000"/>
                  </a:schemeClr>
                </a:solidFill>
                <a:prstDash val="solid"/>
              </a:ln>
              <a:effectLst>
                <a:outerShdw blurRad="40000" dist="23000" dir="5400000" rotWithShape="0">
                  <a:srgbClr val="000000">
                    <a:alpha val="35000"/>
                  </a:srgbClr>
                </a:outerShdw>
              </a:effectLst>
            </c:spPr>
          </c:dPt>
          <c:dLbls>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dk1"/>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15:leaderLines/>
              </c:ext>
            </c:extLst>
          </c:dLbls>
          <c:cat>
            <c:strRef>
              <c:f>'[附件4：2021年决算公开附图(模板)仅供参考.xlsx]财政拨款收、支决算总计变动情况图4'!$B$5:$B$6</c:f>
              <c:strCache>
                <c:ptCount val="2"/>
                <c:pt idx="0">
                  <c:v>2021年</c:v>
                </c:pt>
                <c:pt idx="1">
                  <c:v>2020年</c:v>
                </c:pt>
              </c:strCache>
            </c:strRef>
          </c:cat>
          <c:val>
            <c:numRef>
              <c:f>'[附件4：2021年决算公开附图(模板)仅供参考.xlsx]财政拨款收、支决算总计变动情况图4'!$C$5:$C$6</c:f>
              <c:numCache>
                <c:formatCode>#,##0.00</c:formatCode>
                <c:ptCount val="2"/>
                <c:pt idx="0">
                  <c:v>2987750.5</c:v>
                </c:pt>
                <c:pt idx="1">
                  <c:v>2033635.43</c:v>
                </c:pt>
              </c:numCache>
            </c:numRef>
          </c:val>
        </c:ser>
        <c:dLbls>
          <c:showLegendKey val="0"/>
          <c:showVal val="1"/>
          <c:showCatName val="0"/>
          <c:showSerName val="0"/>
          <c:showPercent val="0"/>
          <c:showBubbleSize val="0"/>
        </c:dLbls>
        <c:gapWidth val="150"/>
        <c:axId val="91223168"/>
        <c:axId val="91224704"/>
      </c:barChart>
      <c:catAx>
        <c:axId val="91223168"/>
        <c:scaling>
          <c:orientation val="minMax"/>
        </c:scaling>
        <c:delete val="0"/>
        <c:axPos val="b"/>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dk1"/>
                </a:solidFill>
                <a:latin typeface="+mn-lt"/>
                <a:ea typeface="+mn-ea"/>
                <a:cs typeface="+mn-cs"/>
              </a:defRPr>
            </a:pPr>
          </a:p>
        </c:txPr>
        <c:crossAx val="91224704"/>
        <c:crosses val="autoZero"/>
        <c:auto val="1"/>
        <c:lblAlgn val="ctr"/>
        <c:lblOffset val="100"/>
        <c:noMultiLvlLbl val="0"/>
      </c:catAx>
      <c:valAx>
        <c:axId val="91224704"/>
        <c:scaling>
          <c:orientation val="minMax"/>
        </c:scaling>
        <c:delete val="0"/>
        <c:axPos val="l"/>
        <c:majorGridlines/>
        <c:numFmt formatCode="#,##0.00"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dk1"/>
                </a:solidFill>
                <a:latin typeface="+mn-lt"/>
                <a:ea typeface="+mn-ea"/>
                <a:cs typeface="+mn-cs"/>
              </a:defRPr>
            </a:pPr>
          </a:p>
        </c:txPr>
        <c:crossAx val="91223168"/>
        <c:crosses val="autoZero"/>
        <c:crossBetween val="between"/>
      </c:valAx>
      <c:spPr>
        <a:gradFill rotWithShape="1">
          <a:gsLst>
            <a:gs pos="0">
              <a:schemeClr val="dk1">
                <a:tint val="50000"/>
                <a:satMod val="300000"/>
              </a:schemeClr>
            </a:gs>
            <a:gs pos="35000">
              <a:schemeClr val="dk1">
                <a:tint val="37000"/>
                <a:satMod val="300000"/>
              </a:schemeClr>
            </a:gs>
            <a:gs pos="100000">
              <a:schemeClr val="dk1">
                <a:tint val="15000"/>
                <a:satMod val="350000"/>
              </a:schemeClr>
            </a:gs>
          </a:gsLst>
          <a:lin ang="16200000" scaled="1"/>
        </a:gradFill>
        <a:ln w="9525" cap="flat" cmpd="sng" algn="ctr">
          <a:solidFill>
            <a:schemeClr val="dk1">
              <a:shade val="95000"/>
              <a:satMod val="105000"/>
            </a:schemeClr>
          </a:solidFill>
          <a:prstDash val="solid"/>
        </a:ln>
        <a:effectLst>
          <a:outerShdw blurRad="40000" dist="20000" dir="5400000" rotWithShape="0">
            <a:srgbClr val="000000">
              <a:alpha val="38000"/>
            </a:srgbClr>
          </a:outerShdw>
        </a:effectLst>
      </c:spPr>
    </c:plotArea>
    <c:legend>
      <c:legendPos val="r"/>
      <c:layout/>
      <c:overlay val="0"/>
      <c:txPr>
        <a:bodyPr rot="0" spcFirstLastPara="0" vertOverflow="ellipsis" vert="horz" wrap="square" anchor="ctr" anchorCtr="1"/>
        <a:lstStyle/>
        <a:p>
          <a:pPr>
            <a:defRPr lang="zh-CN" sz="1000" b="0" i="0" u="none" strike="noStrike" kern="1200" baseline="0">
              <a:solidFill>
                <a:schemeClr val="dk1"/>
              </a:solidFill>
              <a:latin typeface="+mn-lt"/>
              <a:ea typeface="+mn-ea"/>
              <a:cs typeface="+mn-cs"/>
            </a:defRPr>
          </a:pPr>
        </a:p>
      </c:txPr>
    </c:legend>
    <c:plotVisOnly val="1"/>
    <c:dispBlanksAs val="gap"/>
    <c:showDLblsOverMax val="0"/>
  </c:chart>
  <c:spPr>
    <a:gradFill rotWithShape="1">
      <a:gsLst>
        <a:gs pos="0">
          <a:schemeClr val="accent3">
            <a:tint val="50000"/>
            <a:satMod val="300000"/>
          </a:schemeClr>
        </a:gs>
        <a:gs pos="35000">
          <a:schemeClr val="accent3">
            <a:tint val="37000"/>
            <a:satMod val="300000"/>
          </a:schemeClr>
        </a:gs>
        <a:gs pos="100000">
          <a:schemeClr val="accent3">
            <a:tint val="15000"/>
            <a:satMod val="350000"/>
          </a:schemeClr>
        </a:gs>
      </a:gsLst>
      <a:lin ang="16200000" scaled="1"/>
    </a:gradFill>
    <a:ln w="9525" cap="flat" cmpd="sng" algn="ctr">
      <a:solidFill>
        <a:schemeClr val="accent3">
          <a:shade val="95000"/>
          <a:satMod val="105000"/>
        </a:schemeClr>
      </a:solidFill>
      <a:prstDash val="solid"/>
      <a:round/>
    </a:ln>
    <a:effectLst>
      <a:outerShdw blurRad="40000" dist="20000" dir="5400000" rotWithShape="0">
        <a:srgbClr val="000000">
          <a:alpha val="38000"/>
        </a:srgbClr>
      </a:outerShdw>
    </a:effectLst>
  </c:spPr>
  <c:txPr>
    <a:bodyPr/>
    <a:lstStyle/>
    <a:p>
      <a:pPr>
        <a:defRPr lang="zh-CN">
          <a:solidFill>
            <a:schemeClr val="dk1"/>
          </a:solidFill>
          <a:latin typeface="+mn-lt"/>
          <a:ea typeface="+mn-ea"/>
          <a:cs typeface="+mn-cs"/>
        </a:defRPr>
      </a:pPr>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a:defRPr lang="zh-CN" sz="1800" b="1" i="0" u="none" strike="noStrike" kern="1200" baseline="0">
                <a:solidFill>
                  <a:schemeClr val="dk1"/>
                </a:solidFill>
                <a:latin typeface="+mn-lt"/>
                <a:ea typeface="+mn-ea"/>
                <a:cs typeface="+mn-cs"/>
              </a:defRPr>
            </a:pPr>
            <a:r>
              <a:rPr lang="zh-CN" altLang="en-US"/>
              <a:t>图</a:t>
            </a:r>
            <a:r>
              <a:rPr lang="en-US" altLang="zh-CN"/>
              <a:t>5</a:t>
            </a:r>
            <a:r>
              <a:rPr lang="zh-CN" altLang="en-US"/>
              <a:t>：一般公共预算财政拨款支出决算       变动情况图</a:t>
            </a:r>
            <a:endParaRPr lang="zh-CN" altLang="en-US"/>
          </a:p>
        </c:rich>
      </c:tx>
      <c:layout/>
      <c:overlay val="0"/>
    </c:title>
    <c:autoTitleDeleted val="0"/>
    <c:plotArea>
      <c:layout/>
      <c:barChart>
        <c:barDir val="col"/>
        <c:grouping val="clustered"/>
        <c:varyColors val="0"/>
        <c:ser>
          <c:idx val="0"/>
          <c:order val="0"/>
          <c:tx>
            <c:strRef>
              <c:f>'[附件4：2021年决算公开附图(模板)仅供参考.xlsx]一般公共预算财政拨款支出决算变动图5'!$C$4</c:f>
              <c:strCache>
                <c:ptCount val="1"/>
                <c:pt idx="0">
                  <c:v>金额</c:v>
                </c:pt>
              </c:strCache>
            </c:strRef>
          </c:tx>
          <c:invertIfNegative val="0"/>
          <c:dPt>
            <c:idx val="1"/>
            <c:invertIfNegative val="0"/>
            <c:bubble3D val="0"/>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w="9525" cap="flat" cmpd="sng" algn="ctr">
                <a:solidFill>
                  <a:schemeClr val="accent2">
                    <a:shade val="95000"/>
                    <a:satMod val="105000"/>
                  </a:schemeClr>
                </a:solidFill>
                <a:prstDash val="solid"/>
              </a:ln>
              <a:effectLst>
                <a:outerShdw blurRad="40000" dist="23000" dir="5400000" rotWithShape="0">
                  <a:srgbClr val="000000">
                    <a:alpha val="35000"/>
                  </a:srgbClr>
                </a:outerShdw>
              </a:effectLst>
            </c:spPr>
          </c:dPt>
          <c:dLbls>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dk1"/>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15:leaderLines/>
              </c:ext>
            </c:extLst>
          </c:dLbls>
          <c:cat>
            <c:strRef>
              <c:f>'[附件4：2021年决算公开附图(模板)仅供参考.xlsx]一般公共预算财政拨款支出决算变动图5'!$B$5:$B$6</c:f>
              <c:strCache>
                <c:ptCount val="2"/>
                <c:pt idx="0">
                  <c:v>2021年</c:v>
                </c:pt>
                <c:pt idx="1">
                  <c:v>2020年</c:v>
                </c:pt>
              </c:strCache>
            </c:strRef>
          </c:cat>
          <c:val>
            <c:numRef>
              <c:f>'[附件4：2021年决算公开附图(模板)仅供参考.xlsx]一般公共预算财政拨款支出决算变动图5'!$C$5:$C$6</c:f>
              <c:numCache>
                <c:formatCode>#,##0.00</c:formatCode>
                <c:ptCount val="2"/>
                <c:pt idx="0">
                  <c:v>2987750.5</c:v>
                </c:pt>
                <c:pt idx="1">
                  <c:v>2033625.43</c:v>
                </c:pt>
              </c:numCache>
            </c:numRef>
          </c:val>
        </c:ser>
        <c:dLbls>
          <c:showLegendKey val="0"/>
          <c:showVal val="1"/>
          <c:showCatName val="0"/>
          <c:showSerName val="0"/>
          <c:showPercent val="0"/>
          <c:showBubbleSize val="0"/>
        </c:dLbls>
        <c:gapWidth val="150"/>
        <c:axId val="91241856"/>
        <c:axId val="91268224"/>
      </c:barChart>
      <c:catAx>
        <c:axId val="91241856"/>
        <c:scaling>
          <c:orientation val="minMax"/>
        </c:scaling>
        <c:delete val="0"/>
        <c:axPos val="b"/>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dk1"/>
                </a:solidFill>
                <a:latin typeface="+mn-lt"/>
                <a:ea typeface="+mn-ea"/>
                <a:cs typeface="+mn-cs"/>
              </a:defRPr>
            </a:pPr>
          </a:p>
        </c:txPr>
        <c:crossAx val="91268224"/>
        <c:crosses val="autoZero"/>
        <c:auto val="1"/>
        <c:lblAlgn val="ctr"/>
        <c:lblOffset val="100"/>
        <c:noMultiLvlLbl val="0"/>
      </c:catAx>
      <c:valAx>
        <c:axId val="91268224"/>
        <c:scaling>
          <c:orientation val="minMax"/>
        </c:scaling>
        <c:delete val="0"/>
        <c:axPos val="l"/>
        <c:majorGridlines/>
        <c:numFmt formatCode="#,##0.00"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dk1"/>
                </a:solidFill>
                <a:latin typeface="+mn-lt"/>
                <a:ea typeface="+mn-ea"/>
                <a:cs typeface="+mn-cs"/>
              </a:defRPr>
            </a:pPr>
          </a:p>
        </c:txPr>
        <c:crossAx val="91241856"/>
        <c:crosses val="autoZero"/>
        <c:crossBetween val="between"/>
      </c:valAx>
      <c:spPr>
        <a:gradFill rotWithShape="1">
          <a:gsLst>
            <a:gs pos="0">
              <a:schemeClr val="dk1">
                <a:tint val="50000"/>
                <a:satMod val="300000"/>
              </a:schemeClr>
            </a:gs>
            <a:gs pos="35000">
              <a:schemeClr val="dk1">
                <a:tint val="37000"/>
                <a:satMod val="300000"/>
              </a:schemeClr>
            </a:gs>
            <a:gs pos="100000">
              <a:schemeClr val="dk1">
                <a:tint val="15000"/>
                <a:satMod val="350000"/>
              </a:schemeClr>
            </a:gs>
          </a:gsLst>
          <a:lin ang="16200000" scaled="1"/>
        </a:gradFill>
        <a:ln w="9525" cap="flat" cmpd="sng" algn="ctr">
          <a:solidFill>
            <a:schemeClr val="dk1">
              <a:shade val="95000"/>
              <a:satMod val="105000"/>
            </a:schemeClr>
          </a:solidFill>
          <a:prstDash val="solid"/>
        </a:ln>
        <a:effectLst>
          <a:outerShdw blurRad="40000" dist="20000" dir="5400000" rotWithShape="0">
            <a:srgbClr val="000000">
              <a:alpha val="38000"/>
            </a:srgbClr>
          </a:outerShdw>
        </a:effectLst>
      </c:spPr>
    </c:plotArea>
    <c:legend>
      <c:legendPos val="r"/>
      <c:layout/>
      <c:overlay val="0"/>
      <c:txPr>
        <a:bodyPr rot="0" spcFirstLastPara="0" vertOverflow="ellipsis" vert="horz" wrap="square" anchor="ctr" anchorCtr="1"/>
        <a:lstStyle/>
        <a:p>
          <a:pPr>
            <a:defRPr lang="zh-CN" sz="1000" b="0" i="0" u="none" strike="noStrike" kern="1200" baseline="0">
              <a:solidFill>
                <a:schemeClr val="dk1"/>
              </a:solidFill>
              <a:latin typeface="+mn-lt"/>
              <a:ea typeface="+mn-ea"/>
              <a:cs typeface="+mn-cs"/>
            </a:defRPr>
          </a:pPr>
        </a:p>
      </c:txPr>
    </c:legend>
    <c:plotVisOnly val="1"/>
    <c:dispBlanksAs val="gap"/>
    <c:showDLblsOverMax val="0"/>
  </c:chart>
  <c:spPr>
    <a:gradFill rotWithShape="1">
      <a:gsLst>
        <a:gs pos="0">
          <a:schemeClr val="accent3">
            <a:tint val="50000"/>
            <a:satMod val="300000"/>
          </a:schemeClr>
        </a:gs>
        <a:gs pos="35000">
          <a:schemeClr val="accent3">
            <a:tint val="37000"/>
            <a:satMod val="300000"/>
          </a:schemeClr>
        </a:gs>
        <a:gs pos="100000">
          <a:schemeClr val="accent3">
            <a:tint val="15000"/>
            <a:satMod val="350000"/>
          </a:schemeClr>
        </a:gs>
      </a:gsLst>
      <a:lin ang="16200000" scaled="1"/>
    </a:gradFill>
    <a:ln w="9525" cap="flat" cmpd="sng" algn="ctr">
      <a:solidFill>
        <a:schemeClr val="accent3">
          <a:shade val="95000"/>
          <a:satMod val="105000"/>
        </a:schemeClr>
      </a:solidFill>
      <a:prstDash val="solid"/>
      <a:round/>
    </a:ln>
    <a:effectLst>
      <a:outerShdw blurRad="40000" dist="20000" dir="5400000" rotWithShape="0">
        <a:srgbClr val="000000">
          <a:alpha val="38000"/>
        </a:srgbClr>
      </a:outerShdw>
    </a:effectLst>
  </c:spPr>
  <c:txPr>
    <a:bodyPr/>
    <a:lstStyle/>
    <a:p>
      <a:pPr>
        <a:defRPr lang="zh-CN">
          <a:solidFill>
            <a:schemeClr val="dk1"/>
          </a:solidFill>
          <a:latin typeface="+mn-lt"/>
          <a:ea typeface="+mn-ea"/>
          <a:cs typeface="+mn-cs"/>
        </a:defRPr>
      </a:pPr>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a:defRPr lang="zh-CN" sz="1800" b="1" i="0" u="none" strike="noStrike" kern="1200" baseline="0">
                <a:solidFill>
                  <a:schemeClr val="dk1"/>
                </a:solidFill>
                <a:latin typeface="+mn-lt"/>
                <a:ea typeface="+mn-ea"/>
                <a:cs typeface="+mn-cs"/>
              </a:defRPr>
            </a:pPr>
            <a:r>
              <a:rPr lang="zh-CN" altLang="en-US"/>
              <a:t>图</a:t>
            </a:r>
            <a:r>
              <a:rPr lang="en-US" altLang="zh-CN"/>
              <a:t>6</a:t>
            </a:r>
            <a:r>
              <a:rPr lang="zh-CN" altLang="en-US"/>
              <a:t>：一般公共预算财政拨款支出决算结构图</a:t>
            </a:r>
            <a:endParaRPr lang="zh-CN" altLang="en-US"/>
          </a:p>
        </c:rich>
      </c:tx>
      <c:layout/>
      <c:overlay val="0"/>
    </c:title>
    <c:autoTitleDeleted val="0"/>
    <c:plotArea>
      <c:layout/>
      <c:pieChart>
        <c:varyColors val="1"/>
        <c:ser>
          <c:idx val="0"/>
          <c:order val="0"/>
          <c:tx>
            <c:strRef>
              <c:f>'[附件4：2021年决算公开附图(模板)仅供参考.xlsx]一般公共预算财政拨款支出决算结构图6'!$C$18</c:f>
              <c:strCache>
                <c:ptCount val="1"/>
                <c:pt idx="0">
                  <c:v>占比</c:v>
                </c:pt>
              </c:strCache>
            </c:strRef>
          </c:tx>
          <c:explosion val="0"/>
          <c:dPt>
            <c:idx val="0"/>
            <c:bubble3D val="0"/>
          </c:dPt>
          <c:dPt>
            <c:idx val="1"/>
            <c:bubble3D val="0"/>
          </c:dPt>
          <c:dPt>
            <c:idx val="2"/>
            <c:bubble3D val="0"/>
          </c:dPt>
          <c:dPt>
            <c:idx val="3"/>
            <c:bubble3D val="0"/>
          </c:dPt>
          <c:dPt>
            <c:idx val="4"/>
            <c:bubble3D val="0"/>
          </c:dPt>
          <c:dPt>
            <c:idx val="5"/>
            <c:bubble3D val="0"/>
          </c:dPt>
          <c:dPt>
            <c:idx val="6"/>
            <c:bubble3D val="0"/>
          </c:dPt>
          <c:dLbls>
            <c:dLbl>
              <c:idx val="5"/>
              <c:layout>
                <c:manualLayout>
                  <c:x val="0.0569634882148239"/>
                  <c:y val="-0.0231827518809166"/>
                </c:manualLayout>
              </c:layout>
              <c:dLblPos val="bestFit"/>
              <c:showLegendKey val="0"/>
              <c:showVal val="1"/>
              <c:showCatName val="0"/>
              <c:showSerName val="0"/>
              <c:showPercent val="0"/>
              <c:showBubbleSize val="0"/>
              <c:extLst>
                <c:ext xmlns:c15="http://schemas.microsoft.com/office/drawing/2012/chart" uri="{CE6537A1-D6FC-4f65-9D91-7224C49458BB}">
                  <c15:layout/>
                </c:ext>
              </c:extLst>
            </c:dLbl>
            <c:dLbl>
              <c:idx val="6"/>
              <c:layout>
                <c:manualLayout>
                  <c:x val="-0.00305024618798017"/>
                  <c:y val="0.119045485645333"/>
                </c:manualLayout>
              </c:layout>
              <c:dLblPos val="bestFit"/>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dk1"/>
                    </a:solidFill>
                    <a:latin typeface="+mn-lt"/>
                    <a:ea typeface="+mn-ea"/>
                    <a:cs typeface="+mn-cs"/>
                  </a:defRPr>
                </a:pPr>
              </a:p>
            </c:txPr>
            <c:dLblPos val="bestFit"/>
            <c:showLegendKey val="0"/>
            <c:showVal val="1"/>
            <c:showCatName val="0"/>
            <c:showSerName val="0"/>
            <c:showPercent val="0"/>
            <c:showBubbleSize val="0"/>
            <c:showLeaderLines val="1"/>
            <c:extLst>
              <c:ext xmlns:c15="http://schemas.microsoft.com/office/drawing/2012/chart" uri="{CE6537A1-D6FC-4f65-9D91-7224C49458BB}">
                <c15:layout/>
                <c15:showLeaderLines val="1"/>
                <c15:leaderLines/>
              </c:ext>
            </c:extLst>
          </c:dLbls>
          <c:cat>
            <c:strRef>
              <c:f>'[附件4：2021年决算公开附图(模板)仅供参考.xlsx]一般公共预算财政拨款支出决算结构图6'!$B$19:$B$25</c:f>
              <c:strCache>
                <c:ptCount val="7"/>
                <c:pt idx="0">
                  <c:v>其他支出</c:v>
                </c:pt>
                <c:pt idx="1">
                  <c:v>教育支出</c:v>
                </c:pt>
                <c:pt idx="2">
                  <c:v>文化旅游体育与传媒支出</c:v>
                </c:pt>
                <c:pt idx="3">
                  <c:v>社会保障和就业支出</c:v>
                </c:pt>
                <c:pt idx="4">
                  <c:v>卫生健康支出</c:v>
                </c:pt>
                <c:pt idx="5">
                  <c:v>农林水支出</c:v>
                </c:pt>
                <c:pt idx="6">
                  <c:v>住房保障支出</c:v>
                </c:pt>
              </c:strCache>
            </c:strRef>
          </c:cat>
          <c:val>
            <c:numRef>
              <c:f>'[附件4：2021年决算公开附图(模板)仅供参考.xlsx]一般公共预算财政拨款支出决算结构图6'!$C$19:$C$25</c:f>
              <c:numCache>
                <c:formatCode>0.00%</c:formatCode>
                <c:ptCount val="7"/>
                <c:pt idx="0">
                  <c:v>0</c:v>
                </c:pt>
                <c:pt idx="1">
                  <c:v>0.9584</c:v>
                </c:pt>
                <c:pt idx="2">
                  <c:v>2.61387603920544e-5</c:v>
                </c:pt>
                <c:pt idx="3">
                  <c:v>0.0221</c:v>
                </c:pt>
                <c:pt idx="4">
                  <c:v>0.0057</c:v>
                </c:pt>
                <c:pt idx="5">
                  <c:v>0</c:v>
                </c:pt>
                <c:pt idx="6">
                  <c:v>0.0139</c:v>
                </c:pt>
              </c:numCache>
            </c:numRef>
          </c:val>
        </c:ser>
        <c:dLbls>
          <c:showLegendKey val="0"/>
          <c:showVal val="0"/>
          <c:showCatName val="0"/>
          <c:showSerName val="0"/>
          <c:showPercent val="0"/>
          <c:showBubbleSize val="0"/>
          <c:showLeaderLines val="1"/>
        </c:dLbls>
        <c:firstSliceAng val="15"/>
      </c:pieChart>
      <c:spPr>
        <a:noFill/>
        <a:ln>
          <a:noFill/>
        </a:ln>
        <a:effectLst/>
      </c:spPr>
    </c:plotArea>
    <c:legend>
      <c:legendPos val="r"/>
      <c:layout/>
      <c:overlay val="0"/>
      <c:txPr>
        <a:bodyPr rot="0" spcFirstLastPara="0" vertOverflow="ellipsis" vert="horz" wrap="square" anchor="ctr" anchorCtr="1"/>
        <a:lstStyle/>
        <a:p>
          <a:pPr>
            <a:defRPr lang="zh-CN" sz="1000" b="0" i="0" u="none" strike="noStrike" kern="1200" baseline="0">
              <a:solidFill>
                <a:schemeClr val="dk1"/>
              </a:solidFill>
              <a:latin typeface="+mn-lt"/>
              <a:ea typeface="+mn-ea"/>
              <a:cs typeface="+mn-cs"/>
            </a:defRPr>
          </a:pPr>
        </a:p>
      </c:txPr>
    </c:legend>
    <c:plotVisOnly val="1"/>
    <c:dispBlanksAs val="gap"/>
    <c:showDLblsOverMax val="0"/>
  </c:chart>
  <c:spPr>
    <a:gradFill rotWithShape="1">
      <a:gsLst>
        <a:gs pos="0">
          <a:schemeClr val="accent3">
            <a:tint val="50000"/>
            <a:satMod val="300000"/>
          </a:schemeClr>
        </a:gs>
        <a:gs pos="35000">
          <a:schemeClr val="accent3">
            <a:tint val="37000"/>
            <a:satMod val="300000"/>
          </a:schemeClr>
        </a:gs>
        <a:gs pos="100000">
          <a:schemeClr val="accent3">
            <a:tint val="15000"/>
            <a:satMod val="350000"/>
          </a:schemeClr>
        </a:gs>
      </a:gsLst>
      <a:lin ang="16200000" scaled="1"/>
    </a:gradFill>
    <a:ln w="9525" cap="flat" cmpd="sng" algn="ctr">
      <a:solidFill>
        <a:schemeClr val="accent3">
          <a:shade val="95000"/>
          <a:satMod val="105000"/>
        </a:schemeClr>
      </a:solidFill>
      <a:prstDash val="solid"/>
      <a:round/>
    </a:ln>
    <a:effectLst>
      <a:outerShdw blurRad="40000" dist="20000" dir="5400000" rotWithShape="0">
        <a:srgbClr val="000000">
          <a:alpha val="38000"/>
        </a:srgbClr>
      </a:outerShdw>
    </a:effectLst>
  </c:spPr>
  <c:txPr>
    <a:bodyPr/>
    <a:lstStyle/>
    <a:p>
      <a:pPr>
        <a:defRPr lang="zh-CN">
          <a:solidFill>
            <a:schemeClr val="dk1"/>
          </a:solidFill>
          <a:latin typeface="+mn-lt"/>
          <a:ea typeface="+mn-ea"/>
          <a:cs typeface="+mn-cs"/>
        </a:defRPr>
      </a:pPr>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Company>四川省财政厅</Company>
  <Pages>22</Pages>
  <Words>6300</Words>
  <Characters>6744</Characters>
  <Lines>41</Lines>
  <Paragraphs>11</Paragraphs>
  <TotalTime>5</TotalTime>
  <ScaleCrop>false</ScaleCrop>
  <LinksUpToDate>false</LinksUpToDate>
  <CharactersWithSpaces>6776</CharactersWithSpaces>
  <Application>WPS Office_11.1.0.12978_F1E327BC-269C-435d-A152-05C5408002CA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2022-09-13T01:18:00Z</dcterms:created>
  <dc:creator>曹颖</dc:creator>
  <cp:lastModifiedBy>Administrator</cp:lastModifiedBy>
  <cp:lastPrinted>2022-08-06T02:23:00Z</cp:lastPrinted>
  <dcterms:modified xsi:type="dcterms:W3CDTF">2022-12-06T03:45:52Z</dcterms:modified>
  <dc:title>四川省***</dc:title>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2052-11.1.0.12978</vt:lpwstr>
  </property>
  <property fmtid="{D5CDD505-2E9C-101B-9397-08002B2CF9AE}" pid="3" name="ICV">
    <vt:lpwstr>D68D00B98E3D4E858E8051B3B76A6F32</vt:lpwstr>
  </property>
</Properties>
</file>