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ascii="方正小标宋简体" w:hAnsi="宋体" w:eastAsia="方正小标宋简体"/>
          <w:sz w:val="72"/>
          <w:szCs w:val="72"/>
        </w:rPr>
      </w:pPr>
      <w:bookmarkStart w:id="0" w:name="_Toc15306267"/>
    </w:p>
    <w:p>
      <w:pPr>
        <w:spacing w:line="600" w:lineRule="exact"/>
        <w:jc w:val="center"/>
        <w:outlineLvl w:val="0"/>
        <w:rPr>
          <w:rFonts w:ascii="方正小标宋简体" w:hAnsi="宋体" w:eastAsia="方正小标宋简体"/>
          <w:sz w:val="72"/>
          <w:szCs w:val="72"/>
        </w:rPr>
      </w:pPr>
    </w:p>
    <w:p>
      <w:pPr>
        <w:spacing w:line="600" w:lineRule="exact"/>
        <w:jc w:val="center"/>
        <w:outlineLvl w:val="0"/>
        <w:rPr>
          <w:rFonts w:ascii="方正小标宋简体" w:hAnsi="宋体" w:eastAsia="方正小标宋简体"/>
          <w:sz w:val="72"/>
          <w:szCs w:val="72"/>
        </w:rPr>
      </w:pPr>
    </w:p>
    <w:p>
      <w:pPr>
        <w:spacing w:line="600" w:lineRule="exact"/>
        <w:jc w:val="center"/>
        <w:outlineLvl w:val="0"/>
        <w:rPr>
          <w:rFonts w:ascii="方正小标宋简体" w:hAnsi="宋体" w:eastAsia="方正小标宋简体"/>
          <w:sz w:val="72"/>
          <w:szCs w:val="72"/>
        </w:rPr>
      </w:pPr>
    </w:p>
    <w:p>
      <w:pPr>
        <w:adjustRightInd w:val="0"/>
        <w:snapToGrid w:val="0"/>
        <w:spacing w:line="360" w:lineRule="auto"/>
        <w:jc w:val="center"/>
        <w:outlineLvl w:val="0"/>
        <w:rPr>
          <w:rFonts w:ascii="方正小标宋简体" w:hAnsi="方正小标宋简体" w:eastAsia="方正小标宋简体" w:cs="方正小标宋简体"/>
          <w:sz w:val="52"/>
          <w:szCs w:val="52"/>
        </w:rPr>
      </w:pPr>
      <w:bookmarkStart w:id="1" w:name="_Toc15396475"/>
      <w:bookmarkStart w:id="2" w:name="_Toc15396597"/>
      <w:bookmarkStart w:id="3" w:name="_Toc15378441"/>
      <w:bookmarkStart w:id="4" w:name="_Toc15377193"/>
      <w:bookmarkStart w:id="5" w:name="_Toc15377425"/>
      <w:r>
        <w:rPr>
          <w:rFonts w:hint="eastAsia" w:ascii="方正小标宋简体" w:hAnsi="方正小标宋简体" w:eastAsia="方正小标宋简体" w:cs="方正小标宋简体"/>
          <w:sz w:val="52"/>
          <w:szCs w:val="52"/>
        </w:rPr>
        <w:t>2021年度</w:t>
      </w:r>
      <w:bookmarkEnd w:id="1"/>
      <w:bookmarkEnd w:id="2"/>
      <w:bookmarkEnd w:id="3"/>
      <w:bookmarkEnd w:id="4"/>
      <w:bookmarkEnd w:id="5"/>
    </w:p>
    <w:p>
      <w:pPr>
        <w:adjustRightInd w:val="0"/>
        <w:snapToGrid w:val="0"/>
        <w:jc w:val="center"/>
        <w:outlineLvl w:val="0"/>
        <w:rPr>
          <w:rFonts w:hint="eastAsia" w:ascii="方正小标宋简体" w:hAnsi="方正小标宋简体" w:eastAsia="方正小标宋简体" w:cs="方正小标宋简体"/>
          <w:sz w:val="52"/>
          <w:szCs w:val="52"/>
          <w:lang w:eastAsia="zh-CN"/>
        </w:rPr>
      </w:pPr>
      <w:bookmarkStart w:id="6" w:name="_Toc15377426"/>
      <w:bookmarkStart w:id="7" w:name="_Toc15396598"/>
      <w:bookmarkStart w:id="8" w:name="_Toc15396476"/>
      <w:bookmarkStart w:id="9" w:name="_Toc15378442"/>
      <w:bookmarkStart w:id="10" w:name="_Toc15377194"/>
      <w:r>
        <w:rPr>
          <w:rFonts w:hint="eastAsia" w:ascii="方正小标宋简体" w:hAnsi="方正小标宋简体" w:eastAsia="方正小标宋简体" w:cs="方正小标宋简体"/>
          <w:sz w:val="52"/>
          <w:szCs w:val="52"/>
        </w:rPr>
        <w:t>乐山市市中区</w:t>
      </w:r>
      <w:bookmarkEnd w:id="0"/>
      <w:bookmarkEnd w:id="6"/>
      <w:bookmarkEnd w:id="7"/>
      <w:bookmarkEnd w:id="8"/>
      <w:bookmarkEnd w:id="9"/>
      <w:bookmarkEnd w:id="10"/>
      <w:r>
        <w:rPr>
          <w:rFonts w:hint="eastAsia" w:ascii="方正小标宋简体" w:hAnsi="方正小标宋简体" w:eastAsia="方正小标宋简体" w:cs="方正小标宋简体"/>
          <w:sz w:val="52"/>
          <w:szCs w:val="52"/>
          <w:lang w:eastAsia="zh-CN"/>
        </w:rPr>
        <w:t>荔德小学</w:t>
      </w:r>
    </w:p>
    <w:p>
      <w:pPr>
        <w:adjustRightInd w:val="0"/>
        <w:snapToGrid w:val="0"/>
        <w:spacing w:line="360" w:lineRule="auto"/>
        <w:jc w:val="center"/>
        <w:outlineLvl w:val="0"/>
        <w:rPr>
          <w:rFonts w:hint="eastAsia" w:ascii="方正小标宋简体" w:hAnsi="宋体" w:eastAsia="方正小标宋简体"/>
          <w:sz w:val="52"/>
          <w:szCs w:val="52"/>
          <w:lang w:eastAsia="zh-CN"/>
        </w:rPr>
      </w:pPr>
      <w:r>
        <w:rPr>
          <w:rFonts w:hint="eastAsia" w:ascii="方正小标宋简体" w:hAnsi="宋体" w:eastAsia="方正小标宋简体"/>
          <w:sz w:val="52"/>
          <w:szCs w:val="52"/>
          <w:lang w:eastAsia="zh-CN"/>
        </w:rPr>
        <w:t>单位决算</w:t>
      </w:r>
    </w:p>
    <w:p>
      <w:pPr>
        <w:widowControl/>
        <w:jc w:val="center"/>
        <w:rPr>
          <w:rFonts w:ascii="黑体" w:hAnsi="黑体" w:eastAsia="黑体"/>
          <w:sz w:val="48"/>
          <w:szCs w:val="48"/>
        </w:rPr>
      </w:pPr>
      <w:r>
        <w:rPr>
          <w:rFonts w:ascii="方正小标宋简体" w:hAnsi="宋体" w:eastAsia="方正小标宋简体"/>
          <w:sz w:val="36"/>
          <w:szCs w:val="36"/>
        </w:rPr>
        <w:br w:type="page"/>
      </w:r>
      <w:r>
        <w:rPr>
          <w:rFonts w:hint="eastAsia" w:ascii="黑体" w:hAnsi="黑体" w:eastAsia="黑体"/>
          <w:sz w:val="48"/>
          <w:szCs w:val="48"/>
        </w:rPr>
        <w:t>目录</w:t>
      </w:r>
    </w:p>
    <w:p>
      <w:pPr>
        <w:widowControl/>
        <w:jc w:val="center"/>
        <w:rPr>
          <w:rFonts w:ascii="黑体" w:hAnsi="黑体" w:eastAsia="黑体" w:cstheme="minorBidi"/>
          <w:sz w:val="28"/>
          <w:szCs w:val="28"/>
        </w:rPr>
      </w:pPr>
    </w:p>
    <w:p>
      <w:pPr>
        <w:pStyle w:val="10"/>
      </w:pPr>
      <w:r>
        <w:rPr>
          <w:rFonts w:hint="eastAsia"/>
        </w:rPr>
        <w:t>公开时间：2022年 月 日</w:t>
      </w:r>
    </w:p>
    <w:p/>
    <w:p>
      <w:pPr>
        <w:pStyle w:val="10"/>
        <w:adjustRightInd w:val="0"/>
        <w:snapToGrid w:val="0"/>
        <w:spacing w:before="0" w:line="440" w:lineRule="exact"/>
        <w:jc w:val="left"/>
        <w:rPr>
          <w:rFonts w:cstheme="minorBidi"/>
          <w:sz w:val="24"/>
          <w:szCs w:val="24"/>
        </w:rPr>
      </w:pPr>
      <w:r>
        <w:rPr>
          <w:rFonts w:hint="eastAsia"/>
          <w:sz w:val="24"/>
        </w:rPr>
        <w:t>第一部分</w:t>
      </w:r>
      <w:r>
        <w:rPr>
          <w:sz w:val="24"/>
        </w:rPr>
        <w:t xml:space="preserve"> </w:t>
      </w:r>
      <w:r>
        <w:rPr>
          <w:rFonts w:hint="eastAsia"/>
          <w:sz w:val="24"/>
        </w:rPr>
        <w:t>单位概况</w:t>
      </w:r>
    </w:p>
    <w:p>
      <w:pPr>
        <w:pStyle w:val="11"/>
        <w:adjustRightInd w:val="0"/>
        <w:snapToGrid w:val="0"/>
        <w:spacing w:line="440" w:lineRule="exact"/>
        <w:jc w:val="left"/>
        <w:rPr>
          <w:rFonts w:hint="eastAsia" w:eastAsia="宋体"/>
          <w:sz w:val="24"/>
          <w:lang w:eastAsia="zh-CN"/>
        </w:rPr>
      </w:pPr>
      <w:r>
        <w:rPr>
          <w:rFonts w:hint="eastAsia"/>
          <w:sz w:val="24"/>
        </w:rPr>
        <w:t xml:space="preserve">一、职能简介 </w:t>
      </w:r>
      <w:r>
        <w:rPr>
          <w:rFonts w:hint="eastAsia" w:ascii="宋体" w:hAnsi="宋体" w:cs="宋体"/>
          <w:sz w:val="24"/>
        </w:rPr>
        <w:t>……………………………………………………………………</w:t>
      </w:r>
      <w:r>
        <w:rPr>
          <w:rFonts w:hint="eastAsia" w:ascii="宋体" w:hAnsi="宋体" w:cs="宋体"/>
          <w:sz w:val="24"/>
          <w:lang w:val="en-US" w:eastAsia="zh-CN"/>
        </w:rPr>
        <w:t>4</w:t>
      </w:r>
    </w:p>
    <w:p>
      <w:pPr>
        <w:pStyle w:val="11"/>
        <w:adjustRightInd w:val="0"/>
        <w:snapToGrid w:val="0"/>
        <w:spacing w:line="440" w:lineRule="exact"/>
        <w:jc w:val="left"/>
        <w:rPr>
          <w:rFonts w:hint="eastAsia" w:eastAsia="宋体" w:asciiTheme="minorEastAsia" w:hAnsiTheme="minorEastAsia" w:cstheme="minorEastAsia"/>
          <w:sz w:val="24"/>
          <w:lang w:eastAsia="zh-CN"/>
        </w:rPr>
      </w:pPr>
      <w:r>
        <w:rPr>
          <w:rFonts w:hint="eastAsia" w:asciiTheme="minorEastAsia" w:hAnsiTheme="minorEastAsia" w:eastAsiaTheme="minorEastAsia" w:cstheme="minorEastAsia"/>
          <w:sz w:val="24"/>
        </w:rPr>
        <w:t>二、2021年重点工作完成情况</w:t>
      </w:r>
      <w:r>
        <w:rPr>
          <w:rFonts w:hint="eastAsia" w:ascii="宋体" w:hAnsi="宋体" w:cs="宋体"/>
          <w:sz w:val="24"/>
        </w:rPr>
        <w:t>…………………………………………………</w:t>
      </w:r>
      <w:r>
        <w:rPr>
          <w:rFonts w:hint="eastAsia" w:ascii="宋体" w:hAnsi="宋体" w:cs="宋体"/>
          <w:sz w:val="24"/>
          <w:lang w:val="en-US" w:eastAsia="zh-CN"/>
        </w:rPr>
        <w:t>4</w:t>
      </w:r>
    </w:p>
    <w:p>
      <w:pPr>
        <w:pStyle w:val="10"/>
        <w:adjustRightInd w:val="0"/>
        <w:snapToGrid w:val="0"/>
        <w:spacing w:before="0" w:line="440" w:lineRule="exact"/>
        <w:jc w:val="left"/>
        <w:rPr>
          <w:rFonts w:hint="default" w:eastAsia="仿宋"/>
          <w:sz w:val="24"/>
          <w:szCs w:val="24"/>
          <w:lang w:val="en-US" w:eastAsia="zh-CN"/>
        </w:rPr>
      </w:pPr>
      <w:r>
        <w:rPr>
          <w:rFonts w:hint="eastAsia"/>
          <w:sz w:val="24"/>
        </w:rPr>
        <w:t>第二部分 2021年度单位决算情况说明</w:t>
      </w:r>
      <w:r>
        <w:rPr>
          <w:rFonts w:hint="eastAsia" w:ascii="宋体" w:hAnsi="宋体" w:cs="宋体"/>
          <w:sz w:val="24"/>
        </w:rPr>
        <w:t>…………………………………………</w:t>
      </w:r>
      <w:r>
        <w:rPr>
          <w:rFonts w:hint="eastAsia" w:ascii="宋体" w:hAnsi="宋体" w:cs="宋体"/>
          <w:sz w:val="24"/>
          <w:lang w:val="en-US" w:eastAsia="zh-CN"/>
        </w:rPr>
        <w:t xml:space="preserve">  5</w:t>
      </w:r>
    </w:p>
    <w:p>
      <w:pPr>
        <w:pStyle w:val="11"/>
        <w:adjustRightInd w:val="0"/>
        <w:snapToGrid w:val="0"/>
        <w:spacing w:line="440" w:lineRule="exact"/>
        <w:jc w:val="left"/>
        <w:rPr>
          <w:rFonts w:hint="default" w:ascii="宋体" w:hAnsi="宋体" w:cs="宋体"/>
          <w:sz w:val="24"/>
          <w:lang w:val="en-US" w:eastAsia="zh-CN"/>
        </w:rPr>
      </w:pPr>
      <w:r>
        <w:rPr>
          <w:rFonts w:hint="eastAsia"/>
          <w:sz w:val="24"/>
        </w:rPr>
        <w:t>一、收入支出决算总体情况说明</w:t>
      </w:r>
      <w:r>
        <w:rPr>
          <w:rFonts w:hint="eastAsia" w:ascii="宋体" w:hAnsi="宋体" w:cs="宋体"/>
          <w:sz w:val="24"/>
        </w:rPr>
        <w:t>……………………………………………</w:t>
      </w:r>
      <w:r>
        <w:rPr>
          <w:rFonts w:hint="eastAsia" w:ascii="宋体" w:hAnsi="宋体" w:cs="宋体"/>
          <w:sz w:val="24"/>
          <w:lang w:val="en-US" w:eastAsia="zh-CN"/>
        </w:rPr>
        <w:t xml:space="preserve">  5</w:t>
      </w:r>
    </w:p>
    <w:p>
      <w:pPr>
        <w:pStyle w:val="11"/>
        <w:adjustRightInd w:val="0"/>
        <w:snapToGrid w:val="0"/>
        <w:spacing w:line="440" w:lineRule="exact"/>
        <w:jc w:val="left"/>
        <w:rPr>
          <w:rFonts w:hint="default" w:ascii="仿宋" w:hAnsi="仿宋" w:eastAsia="宋体" w:cstheme="minorBidi"/>
          <w:sz w:val="24"/>
          <w:lang w:val="en-US" w:eastAsia="zh-CN"/>
        </w:rPr>
      </w:pPr>
      <w:r>
        <w:rPr>
          <w:rFonts w:hint="eastAsia"/>
          <w:sz w:val="24"/>
        </w:rPr>
        <w:t>二、收入决算情况说明</w:t>
      </w:r>
      <w:r>
        <w:rPr>
          <w:rFonts w:hint="eastAsia" w:ascii="宋体" w:hAnsi="宋体" w:cs="宋体"/>
          <w:sz w:val="24"/>
        </w:rPr>
        <w:t>………………………………………………………</w:t>
      </w:r>
      <w:r>
        <w:rPr>
          <w:rFonts w:hint="eastAsia" w:ascii="宋体" w:hAnsi="宋体" w:cs="宋体"/>
          <w:sz w:val="24"/>
          <w:lang w:val="en-US" w:eastAsia="zh-CN"/>
        </w:rPr>
        <w:t>5-6</w:t>
      </w:r>
    </w:p>
    <w:p>
      <w:pPr>
        <w:pStyle w:val="11"/>
        <w:adjustRightInd w:val="0"/>
        <w:snapToGrid w:val="0"/>
        <w:spacing w:line="440" w:lineRule="exact"/>
        <w:jc w:val="left"/>
        <w:rPr>
          <w:rFonts w:hint="default" w:ascii="仿宋" w:hAnsi="仿宋" w:eastAsia="宋体" w:cstheme="minorBidi"/>
          <w:sz w:val="24"/>
          <w:lang w:val="en-US" w:eastAsia="zh-CN"/>
        </w:rPr>
      </w:pPr>
      <w:r>
        <w:rPr>
          <w:rFonts w:hint="eastAsia"/>
          <w:sz w:val="24"/>
        </w:rPr>
        <w:t>三、支出决算情况说明</w:t>
      </w:r>
      <w:r>
        <w:rPr>
          <w:rFonts w:hint="eastAsia" w:ascii="宋体" w:hAnsi="宋体" w:cs="宋体"/>
          <w:sz w:val="24"/>
        </w:rPr>
        <w:t>………………………………………………………</w:t>
      </w:r>
      <w:r>
        <w:rPr>
          <w:rFonts w:hint="eastAsia" w:ascii="宋体" w:hAnsi="宋体" w:cs="宋体"/>
          <w:sz w:val="24"/>
          <w:lang w:val="en-US" w:eastAsia="zh-CN"/>
        </w:rPr>
        <w:t>6-7</w:t>
      </w:r>
    </w:p>
    <w:p>
      <w:pPr>
        <w:pStyle w:val="11"/>
        <w:adjustRightInd w:val="0"/>
        <w:snapToGrid w:val="0"/>
        <w:spacing w:line="440" w:lineRule="exact"/>
        <w:jc w:val="left"/>
        <w:rPr>
          <w:rFonts w:hint="default" w:ascii="仿宋" w:hAnsi="仿宋" w:eastAsia="宋体" w:cstheme="minorBidi"/>
          <w:sz w:val="24"/>
          <w:lang w:val="en-US" w:eastAsia="zh-CN"/>
        </w:rPr>
      </w:pPr>
      <w:r>
        <w:rPr>
          <w:rFonts w:hint="eastAsia"/>
          <w:sz w:val="24"/>
        </w:rPr>
        <w:t>四、财政拨款收入支出决算总体情况说明</w:t>
      </w:r>
      <w:r>
        <w:rPr>
          <w:rFonts w:hint="eastAsia" w:ascii="宋体" w:hAnsi="宋体" w:cs="宋体"/>
          <w:sz w:val="24"/>
        </w:rPr>
        <w:t>…………………………………</w:t>
      </w:r>
      <w:r>
        <w:rPr>
          <w:rFonts w:hint="eastAsia" w:ascii="宋体" w:hAnsi="宋体" w:cs="宋体"/>
          <w:sz w:val="24"/>
          <w:lang w:val="en-US" w:eastAsia="zh-CN"/>
        </w:rPr>
        <w:t>7-8</w:t>
      </w:r>
    </w:p>
    <w:p>
      <w:pPr>
        <w:pStyle w:val="11"/>
        <w:adjustRightInd w:val="0"/>
        <w:snapToGrid w:val="0"/>
        <w:spacing w:line="440" w:lineRule="exact"/>
        <w:jc w:val="left"/>
        <w:rPr>
          <w:rFonts w:hint="default" w:ascii="仿宋" w:hAnsi="仿宋" w:eastAsia="宋体" w:cstheme="minorBidi"/>
          <w:sz w:val="24"/>
          <w:lang w:val="en-US" w:eastAsia="zh-CN"/>
        </w:rPr>
      </w:pPr>
      <w:r>
        <w:rPr>
          <w:rFonts w:hint="eastAsia"/>
          <w:sz w:val="24"/>
        </w:rPr>
        <w:t>五、一般公共预算财政拨款支出决算情况说明</w:t>
      </w:r>
      <w:r>
        <w:rPr>
          <w:rFonts w:hint="eastAsia" w:ascii="宋体" w:hAnsi="宋体" w:cs="宋体"/>
          <w:sz w:val="24"/>
        </w:rPr>
        <w:t>……………………………</w:t>
      </w:r>
      <w:r>
        <w:rPr>
          <w:rFonts w:hint="eastAsia" w:ascii="宋体" w:hAnsi="宋体" w:cs="宋体"/>
          <w:sz w:val="24"/>
          <w:lang w:val="en-US" w:eastAsia="zh-CN"/>
        </w:rPr>
        <w:t>8-11</w:t>
      </w:r>
    </w:p>
    <w:p>
      <w:pPr>
        <w:pStyle w:val="11"/>
        <w:adjustRightInd w:val="0"/>
        <w:snapToGrid w:val="0"/>
        <w:spacing w:line="440" w:lineRule="exact"/>
        <w:jc w:val="left"/>
        <w:rPr>
          <w:rFonts w:hint="default" w:ascii="仿宋" w:hAnsi="仿宋" w:eastAsia="宋体" w:cstheme="minorBidi"/>
          <w:sz w:val="24"/>
          <w:lang w:val="en-US" w:eastAsia="zh-CN"/>
        </w:rPr>
      </w:pPr>
      <w:r>
        <w:rPr>
          <w:rFonts w:hint="eastAsia"/>
          <w:sz w:val="24"/>
        </w:rPr>
        <w:t>六、一般公共预算财政拨款基本支出决算情况说明</w:t>
      </w:r>
      <w:r>
        <w:rPr>
          <w:rFonts w:hint="eastAsia" w:ascii="宋体" w:hAnsi="宋体" w:cs="宋体"/>
          <w:sz w:val="24"/>
        </w:rPr>
        <w:t>……………………</w:t>
      </w:r>
      <w:r>
        <w:rPr>
          <w:rFonts w:hint="eastAsia" w:ascii="宋体" w:hAnsi="宋体" w:cs="宋体"/>
          <w:sz w:val="24"/>
          <w:lang w:val="en-US" w:eastAsia="zh-CN"/>
        </w:rPr>
        <w:t>11-12</w:t>
      </w:r>
    </w:p>
    <w:p>
      <w:pPr>
        <w:pStyle w:val="11"/>
        <w:adjustRightInd w:val="0"/>
        <w:snapToGrid w:val="0"/>
        <w:spacing w:line="440" w:lineRule="exact"/>
        <w:jc w:val="left"/>
        <w:rPr>
          <w:rFonts w:hint="default" w:ascii="仿宋" w:hAnsi="仿宋" w:eastAsia="宋体" w:cstheme="minorBidi"/>
          <w:sz w:val="24"/>
          <w:lang w:val="en-US" w:eastAsia="zh-CN"/>
        </w:rPr>
      </w:pPr>
      <w:r>
        <w:rPr>
          <w:rFonts w:hint="eastAsia"/>
          <w:sz w:val="24"/>
        </w:rPr>
        <w:t xml:space="preserve">七、“三公”经费财政拨款支出决算情况说明 </w:t>
      </w:r>
      <w:r>
        <w:rPr>
          <w:rFonts w:hint="eastAsia" w:ascii="宋体" w:hAnsi="宋体" w:cs="宋体"/>
          <w:sz w:val="24"/>
        </w:rPr>
        <w:t>…………………………</w:t>
      </w:r>
      <w:r>
        <w:rPr>
          <w:rFonts w:hint="eastAsia" w:ascii="宋体" w:hAnsi="宋体" w:cs="宋体"/>
          <w:sz w:val="24"/>
          <w:lang w:val="en-US" w:eastAsia="zh-CN"/>
        </w:rPr>
        <w:t>12-13</w:t>
      </w:r>
    </w:p>
    <w:p>
      <w:pPr>
        <w:pStyle w:val="11"/>
        <w:adjustRightInd w:val="0"/>
        <w:snapToGrid w:val="0"/>
        <w:spacing w:line="440" w:lineRule="exact"/>
        <w:jc w:val="left"/>
        <w:rPr>
          <w:rFonts w:hint="default" w:ascii="仿宋" w:hAnsi="仿宋" w:eastAsia="宋体" w:cstheme="minorBidi"/>
          <w:sz w:val="24"/>
          <w:lang w:val="en-US" w:eastAsia="zh-CN"/>
        </w:rPr>
      </w:pPr>
      <w:r>
        <w:rPr>
          <w:rFonts w:hint="eastAsia"/>
          <w:sz w:val="24"/>
        </w:rPr>
        <w:t>八、政府性基金预算支出决算情况说明</w:t>
      </w:r>
      <w:r>
        <w:rPr>
          <w:rFonts w:hint="eastAsia" w:ascii="宋体" w:hAnsi="宋体" w:cs="宋体"/>
          <w:sz w:val="24"/>
        </w:rPr>
        <w:t>……………………………………</w:t>
      </w:r>
      <w:r>
        <w:rPr>
          <w:rFonts w:hint="eastAsia" w:ascii="宋体" w:hAnsi="宋体" w:cs="宋体"/>
          <w:sz w:val="24"/>
          <w:lang w:val="en-US" w:eastAsia="zh-CN"/>
        </w:rPr>
        <w:t>13</w:t>
      </w:r>
    </w:p>
    <w:p>
      <w:pPr>
        <w:pStyle w:val="11"/>
        <w:adjustRightInd w:val="0"/>
        <w:snapToGrid w:val="0"/>
        <w:spacing w:line="440" w:lineRule="exact"/>
        <w:jc w:val="left"/>
        <w:rPr>
          <w:rFonts w:hint="default" w:eastAsia="宋体"/>
          <w:sz w:val="24"/>
          <w:lang w:val="en-US" w:eastAsia="zh-CN"/>
        </w:rPr>
      </w:pPr>
      <w:r>
        <w:rPr>
          <w:rFonts w:hint="eastAsia"/>
          <w:sz w:val="24"/>
        </w:rPr>
        <w:t>九、国有资本经营预算支出决算情况说明</w:t>
      </w:r>
      <w:r>
        <w:rPr>
          <w:rFonts w:hint="eastAsia" w:ascii="宋体" w:hAnsi="宋体" w:cs="宋体"/>
          <w:sz w:val="24"/>
        </w:rPr>
        <w:t>…………………………………</w:t>
      </w:r>
      <w:r>
        <w:rPr>
          <w:rFonts w:hint="eastAsia" w:ascii="宋体" w:hAnsi="宋体" w:cs="宋体"/>
          <w:sz w:val="24"/>
          <w:lang w:val="en-US" w:eastAsia="zh-CN"/>
        </w:rPr>
        <w:t>13</w:t>
      </w:r>
    </w:p>
    <w:p>
      <w:pPr>
        <w:pStyle w:val="11"/>
        <w:adjustRightInd w:val="0"/>
        <w:snapToGrid w:val="0"/>
        <w:spacing w:line="440" w:lineRule="exact"/>
        <w:jc w:val="left"/>
        <w:rPr>
          <w:rFonts w:hint="default" w:eastAsia="宋体"/>
          <w:sz w:val="24"/>
          <w:lang w:val="en-US" w:eastAsia="zh-CN"/>
        </w:rPr>
      </w:pPr>
      <w:r>
        <w:rPr>
          <w:rFonts w:hint="eastAsia"/>
          <w:sz w:val="24"/>
        </w:rPr>
        <w:t>十、其他重要事项的情况说明</w:t>
      </w:r>
      <w:r>
        <w:rPr>
          <w:rFonts w:hint="eastAsia" w:ascii="宋体" w:hAnsi="宋体" w:cs="宋体"/>
          <w:sz w:val="24"/>
        </w:rPr>
        <w:t>…………………………………………</w:t>
      </w:r>
      <w:r>
        <w:rPr>
          <w:rFonts w:hint="eastAsia" w:ascii="宋体" w:hAnsi="宋体" w:cs="宋体"/>
          <w:sz w:val="24"/>
          <w:lang w:val="en-US" w:eastAsia="zh-CN"/>
        </w:rPr>
        <w:t xml:space="preserve">  13</w:t>
      </w:r>
      <w:bookmarkStart w:id="66" w:name="_GoBack"/>
      <w:bookmarkEnd w:id="66"/>
      <w:r>
        <w:rPr>
          <w:rFonts w:hint="eastAsia" w:ascii="宋体" w:hAnsi="宋体" w:cs="宋体"/>
          <w:sz w:val="24"/>
          <w:lang w:val="en-US" w:eastAsia="zh-CN"/>
        </w:rPr>
        <w:t>-17</w:t>
      </w:r>
    </w:p>
    <w:p>
      <w:pPr>
        <w:pStyle w:val="10"/>
        <w:adjustRightInd w:val="0"/>
        <w:snapToGrid w:val="0"/>
        <w:spacing w:before="0" w:line="440" w:lineRule="exact"/>
        <w:jc w:val="left"/>
        <w:rPr>
          <w:rFonts w:hint="default" w:eastAsia="仿宋" w:cstheme="minorBidi"/>
          <w:sz w:val="24"/>
          <w:szCs w:val="24"/>
          <w:lang w:val="en-US" w:eastAsia="zh-CN"/>
        </w:rPr>
      </w:pPr>
      <w:r>
        <w:rPr>
          <w:rFonts w:hint="eastAsia"/>
          <w:sz w:val="24"/>
        </w:rPr>
        <w:t>第三部分</w:t>
      </w:r>
      <w:r>
        <w:rPr>
          <w:sz w:val="24"/>
        </w:rPr>
        <w:t xml:space="preserve"> </w:t>
      </w:r>
      <w:r>
        <w:rPr>
          <w:rFonts w:hint="eastAsia"/>
          <w:sz w:val="24"/>
        </w:rPr>
        <w:t xml:space="preserve">名词解释 </w:t>
      </w:r>
      <w:r>
        <w:rPr>
          <w:rFonts w:hint="eastAsia" w:ascii="宋体" w:hAnsi="宋体" w:cs="宋体"/>
          <w:sz w:val="24"/>
        </w:rPr>
        <w:t>…………………………………………………………</w:t>
      </w:r>
      <w:r>
        <w:rPr>
          <w:rFonts w:hint="eastAsia" w:ascii="宋体" w:hAnsi="宋体" w:cs="宋体"/>
          <w:sz w:val="24"/>
          <w:lang w:val="en-US" w:eastAsia="zh-CN"/>
        </w:rPr>
        <w:t xml:space="preserve">  18-20</w:t>
      </w:r>
    </w:p>
    <w:p>
      <w:pPr>
        <w:pStyle w:val="10"/>
        <w:adjustRightInd w:val="0"/>
        <w:snapToGrid w:val="0"/>
        <w:spacing w:before="0" w:line="440" w:lineRule="exact"/>
        <w:jc w:val="left"/>
        <w:rPr>
          <w:rFonts w:hint="default" w:eastAsia="仿宋" w:cstheme="minorBidi"/>
          <w:sz w:val="24"/>
          <w:szCs w:val="24"/>
          <w:lang w:val="en-US" w:eastAsia="zh-CN"/>
        </w:rPr>
      </w:pPr>
      <w:r>
        <w:rPr>
          <w:rFonts w:hint="eastAsia"/>
          <w:sz w:val="24"/>
        </w:rPr>
        <w:t>第四部分</w:t>
      </w:r>
      <w:r>
        <w:rPr>
          <w:sz w:val="24"/>
        </w:rPr>
        <w:t xml:space="preserve"> </w:t>
      </w:r>
      <w:r>
        <w:rPr>
          <w:rFonts w:hint="eastAsia"/>
          <w:sz w:val="24"/>
        </w:rPr>
        <w:t xml:space="preserve">附件 </w:t>
      </w:r>
      <w:r>
        <w:rPr>
          <w:rFonts w:hint="eastAsia" w:ascii="宋体" w:hAnsi="宋体" w:cs="宋体"/>
          <w:sz w:val="24"/>
        </w:rPr>
        <w:t>…………………………………………………………………</w:t>
      </w:r>
      <w:r>
        <w:rPr>
          <w:rFonts w:hint="eastAsia" w:ascii="宋体" w:hAnsi="宋体" w:cs="宋体"/>
          <w:sz w:val="24"/>
          <w:lang w:val="en-US" w:eastAsia="zh-CN"/>
        </w:rPr>
        <w:t>21-27</w:t>
      </w:r>
    </w:p>
    <w:p>
      <w:pPr>
        <w:pStyle w:val="10"/>
        <w:adjustRightInd w:val="0"/>
        <w:snapToGrid w:val="0"/>
        <w:spacing w:before="0" w:line="440" w:lineRule="exact"/>
        <w:jc w:val="left"/>
        <w:rPr>
          <w:rFonts w:hint="default" w:eastAsia="仿宋" w:cstheme="minorBidi"/>
          <w:sz w:val="24"/>
          <w:szCs w:val="24"/>
          <w:lang w:val="en-US" w:eastAsia="zh-CN"/>
        </w:rPr>
      </w:pPr>
      <w:r>
        <w:rPr>
          <w:rFonts w:hint="eastAsia"/>
          <w:sz w:val="24"/>
        </w:rPr>
        <w:t>第五部分</w:t>
      </w:r>
      <w:r>
        <w:rPr>
          <w:sz w:val="24"/>
        </w:rPr>
        <w:t xml:space="preserve"> </w:t>
      </w:r>
      <w:r>
        <w:rPr>
          <w:rFonts w:hint="eastAsia"/>
          <w:sz w:val="24"/>
        </w:rPr>
        <w:t xml:space="preserve">附表 </w:t>
      </w:r>
      <w:r>
        <w:rPr>
          <w:rFonts w:hint="eastAsia" w:ascii="宋体" w:hAnsi="宋体" w:cs="宋体"/>
          <w:sz w:val="24"/>
        </w:rPr>
        <w:t>……………………………………………………………………</w:t>
      </w:r>
      <w:r>
        <w:rPr>
          <w:rFonts w:hint="eastAsia" w:ascii="宋体" w:hAnsi="宋体" w:cs="宋体"/>
          <w:sz w:val="24"/>
          <w:lang w:val="en-US" w:eastAsia="zh-CN"/>
        </w:rPr>
        <w:t>28</w:t>
      </w:r>
    </w:p>
    <w:p>
      <w:pPr>
        <w:pStyle w:val="11"/>
        <w:adjustRightInd w:val="0"/>
        <w:snapToGrid w:val="0"/>
        <w:spacing w:line="440" w:lineRule="exact"/>
        <w:jc w:val="left"/>
        <w:rPr>
          <w:rFonts w:hint="default" w:eastAsia="宋体"/>
          <w:sz w:val="24"/>
          <w:lang w:val="en-US" w:eastAsia="zh-CN"/>
        </w:rPr>
      </w:pPr>
      <w:r>
        <w:rPr>
          <w:rFonts w:hint="eastAsia"/>
          <w:sz w:val="24"/>
        </w:rPr>
        <w:t>一、收入支出决算总表</w:t>
      </w:r>
      <w:r>
        <w:rPr>
          <w:rFonts w:hint="eastAsia" w:ascii="宋体" w:hAnsi="宋体" w:cs="宋体"/>
          <w:sz w:val="24"/>
        </w:rPr>
        <w:t>………………………………………………………</w:t>
      </w:r>
      <w:r>
        <w:rPr>
          <w:rFonts w:hint="eastAsia" w:ascii="宋体" w:hAnsi="宋体" w:cs="宋体"/>
          <w:sz w:val="24"/>
          <w:lang w:val="en-US" w:eastAsia="zh-CN"/>
        </w:rPr>
        <w:t>29</w:t>
      </w:r>
    </w:p>
    <w:p>
      <w:pPr>
        <w:pStyle w:val="11"/>
        <w:adjustRightInd w:val="0"/>
        <w:snapToGrid w:val="0"/>
        <w:spacing w:line="440" w:lineRule="exact"/>
        <w:jc w:val="left"/>
        <w:rPr>
          <w:rFonts w:hint="default" w:eastAsia="宋体"/>
          <w:sz w:val="24"/>
          <w:lang w:val="en-US" w:eastAsia="zh-CN"/>
        </w:rPr>
      </w:pPr>
      <w:r>
        <w:rPr>
          <w:rFonts w:hint="eastAsia"/>
          <w:sz w:val="24"/>
        </w:rPr>
        <w:t>二、收入决算表</w:t>
      </w:r>
      <w:r>
        <w:rPr>
          <w:rFonts w:hint="eastAsia" w:ascii="宋体" w:hAnsi="宋体" w:cs="宋体"/>
          <w:sz w:val="24"/>
        </w:rPr>
        <w:t>………………………………………………………………</w:t>
      </w:r>
      <w:r>
        <w:rPr>
          <w:rFonts w:hint="eastAsia" w:ascii="宋体" w:hAnsi="宋体" w:cs="宋体"/>
          <w:sz w:val="24"/>
          <w:lang w:val="en-US" w:eastAsia="zh-CN"/>
        </w:rPr>
        <w:t>29</w:t>
      </w:r>
    </w:p>
    <w:p>
      <w:pPr>
        <w:pStyle w:val="11"/>
        <w:adjustRightInd w:val="0"/>
        <w:snapToGrid w:val="0"/>
        <w:spacing w:line="440" w:lineRule="exact"/>
        <w:jc w:val="left"/>
        <w:rPr>
          <w:rFonts w:hint="default" w:eastAsia="宋体"/>
          <w:sz w:val="24"/>
          <w:lang w:val="en-US" w:eastAsia="zh-CN"/>
        </w:rPr>
      </w:pPr>
      <w:r>
        <w:rPr>
          <w:rFonts w:hint="eastAsia"/>
          <w:sz w:val="24"/>
        </w:rPr>
        <w:t>三、支出决算表</w:t>
      </w:r>
      <w:r>
        <w:rPr>
          <w:rFonts w:hint="eastAsia" w:ascii="宋体" w:hAnsi="宋体" w:cs="宋体"/>
          <w:sz w:val="24"/>
        </w:rPr>
        <w:t>………………………………………………………………</w:t>
      </w:r>
      <w:r>
        <w:rPr>
          <w:rFonts w:hint="eastAsia" w:ascii="宋体" w:hAnsi="宋体" w:cs="宋体"/>
          <w:sz w:val="24"/>
          <w:lang w:val="en-US" w:eastAsia="zh-CN"/>
        </w:rPr>
        <w:t>30</w:t>
      </w:r>
    </w:p>
    <w:p>
      <w:pPr>
        <w:pStyle w:val="11"/>
        <w:adjustRightInd w:val="0"/>
        <w:snapToGrid w:val="0"/>
        <w:spacing w:line="440" w:lineRule="exact"/>
        <w:jc w:val="left"/>
        <w:rPr>
          <w:rFonts w:hint="default" w:eastAsia="宋体"/>
          <w:sz w:val="24"/>
          <w:lang w:val="en-US" w:eastAsia="zh-CN"/>
        </w:rPr>
      </w:pPr>
      <w:r>
        <w:rPr>
          <w:rFonts w:hint="eastAsia"/>
          <w:sz w:val="24"/>
        </w:rPr>
        <w:t>四、财政拨款收入支出决算总表</w:t>
      </w:r>
      <w:r>
        <w:rPr>
          <w:rFonts w:hint="eastAsia" w:ascii="宋体" w:hAnsi="宋体" w:cs="宋体"/>
          <w:sz w:val="24"/>
        </w:rPr>
        <w:t>……………………………………………</w:t>
      </w:r>
      <w:r>
        <w:rPr>
          <w:rFonts w:hint="eastAsia" w:ascii="宋体" w:hAnsi="宋体" w:cs="宋体"/>
          <w:sz w:val="24"/>
          <w:lang w:val="en-US" w:eastAsia="zh-CN"/>
        </w:rPr>
        <w:t>30</w:t>
      </w:r>
    </w:p>
    <w:p>
      <w:pPr>
        <w:pStyle w:val="11"/>
        <w:adjustRightInd w:val="0"/>
        <w:snapToGrid w:val="0"/>
        <w:spacing w:line="440" w:lineRule="exact"/>
        <w:jc w:val="left"/>
        <w:rPr>
          <w:rFonts w:hint="default" w:eastAsia="宋体"/>
          <w:sz w:val="24"/>
          <w:lang w:val="en-US" w:eastAsia="zh-CN"/>
        </w:rPr>
      </w:pPr>
      <w:r>
        <w:rPr>
          <w:rFonts w:hint="eastAsia"/>
          <w:sz w:val="24"/>
        </w:rPr>
        <w:t>五、财政拨款支出决算明细表</w:t>
      </w:r>
      <w:r>
        <w:rPr>
          <w:rFonts w:hint="eastAsia" w:ascii="宋体" w:hAnsi="宋体" w:cs="宋体"/>
          <w:sz w:val="24"/>
        </w:rPr>
        <w:t>………………………………………………</w:t>
      </w:r>
      <w:r>
        <w:rPr>
          <w:rFonts w:hint="eastAsia" w:ascii="宋体" w:hAnsi="宋体" w:cs="宋体"/>
          <w:sz w:val="24"/>
          <w:lang w:val="en-US" w:eastAsia="zh-CN"/>
        </w:rPr>
        <w:t>31</w:t>
      </w:r>
    </w:p>
    <w:p>
      <w:pPr>
        <w:pStyle w:val="11"/>
        <w:adjustRightInd w:val="0"/>
        <w:snapToGrid w:val="0"/>
        <w:spacing w:line="440" w:lineRule="exact"/>
        <w:jc w:val="left"/>
        <w:rPr>
          <w:rFonts w:hint="default" w:eastAsia="宋体"/>
          <w:sz w:val="24"/>
          <w:lang w:val="en-US" w:eastAsia="zh-CN"/>
        </w:rPr>
      </w:pPr>
      <w:r>
        <w:rPr>
          <w:rFonts w:hint="eastAsia"/>
          <w:sz w:val="24"/>
        </w:rPr>
        <w:t>六、一般公共预算财政拨款支出决算表</w:t>
      </w:r>
      <w:r>
        <w:rPr>
          <w:rFonts w:hint="eastAsia" w:ascii="宋体" w:hAnsi="宋体" w:cs="宋体"/>
          <w:sz w:val="24"/>
        </w:rPr>
        <w:t>……………………………………</w:t>
      </w:r>
      <w:r>
        <w:rPr>
          <w:rFonts w:hint="eastAsia" w:ascii="宋体" w:hAnsi="宋体" w:cs="宋体"/>
          <w:sz w:val="24"/>
          <w:lang w:val="en-US" w:eastAsia="zh-CN"/>
        </w:rPr>
        <w:t>31</w:t>
      </w:r>
    </w:p>
    <w:p>
      <w:pPr>
        <w:pStyle w:val="11"/>
        <w:adjustRightInd w:val="0"/>
        <w:snapToGrid w:val="0"/>
        <w:spacing w:line="440" w:lineRule="exact"/>
        <w:jc w:val="left"/>
        <w:rPr>
          <w:sz w:val="24"/>
        </w:rPr>
      </w:pPr>
      <w:r>
        <w:rPr>
          <w:rFonts w:hint="eastAsia"/>
          <w:sz w:val="24"/>
        </w:rPr>
        <w:t>七、一般公共预算财政拨款支出决算明细表</w:t>
      </w:r>
      <w:r>
        <w:rPr>
          <w:rFonts w:hint="eastAsia" w:ascii="宋体" w:hAnsi="宋体" w:cs="宋体"/>
          <w:sz w:val="24"/>
        </w:rPr>
        <w:t>………………………………</w:t>
      </w:r>
      <w:r>
        <w:rPr>
          <w:rFonts w:hint="eastAsia" w:ascii="宋体" w:hAnsi="宋体" w:cs="宋体"/>
          <w:sz w:val="24"/>
          <w:lang w:val="en-US" w:eastAsia="zh-CN"/>
        </w:rPr>
        <w:t>3</w:t>
      </w:r>
      <w:r>
        <w:rPr>
          <w:rFonts w:hint="eastAsia" w:ascii="宋体" w:hAnsi="宋体" w:cs="宋体"/>
          <w:sz w:val="24"/>
        </w:rPr>
        <w:t>2</w:t>
      </w:r>
    </w:p>
    <w:p>
      <w:pPr>
        <w:pStyle w:val="11"/>
        <w:adjustRightInd w:val="0"/>
        <w:snapToGrid w:val="0"/>
        <w:spacing w:line="440" w:lineRule="exact"/>
        <w:jc w:val="left"/>
        <w:rPr>
          <w:rFonts w:hint="default" w:eastAsia="宋体"/>
          <w:sz w:val="24"/>
          <w:lang w:val="en-US" w:eastAsia="zh-CN"/>
        </w:rPr>
      </w:pPr>
      <w:r>
        <w:rPr>
          <w:rFonts w:hint="eastAsia"/>
          <w:sz w:val="24"/>
        </w:rPr>
        <w:t>八、一般公共预算财政拨款基本支出决算表</w:t>
      </w:r>
      <w:r>
        <w:rPr>
          <w:rFonts w:hint="eastAsia" w:ascii="宋体" w:hAnsi="宋体" w:cs="宋体"/>
          <w:sz w:val="24"/>
        </w:rPr>
        <w:t>………………………………</w:t>
      </w:r>
      <w:r>
        <w:rPr>
          <w:rFonts w:hint="eastAsia" w:ascii="宋体" w:hAnsi="宋体" w:cs="宋体"/>
          <w:sz w:val="24"/>
          <w:lang w:val="en-US" w:eastAsia="zh-CN"/>
        </w:rPr>
        <w:t>33</w:t>
      </w:r>
    </w:p>
    <w:p>
      <w:pPr>
        <w:pStyle w:val="11"/>
        <w:adjustRightInd w:val="0"/>
        <w:snapToGrid w:val="0"/>
        <w:spacing w:line="440" w:lineRule="exact"/>
        <w:jc w:val="left"/>
        <w:rPr>
          <w:rFonts w:hint="default" w:eastAsia="宋体"/>
          <w:sz w:val="24"/>
          <w:lang w:val="en-US" w:eastAsia="zh-CN"/>
        </w:rPr>
      </w:pPr>
      <w:r>
        <w:rPr>
          <w:rFonts w:hint="eastAsia"/>
          <w:sz w:val="24"/>
        </w:rPr>
        <w:t>九、一般公共预算财政拨款项目支出决算表</w:t>
      </w:r>
      <w:r>
        <w:rPr>
          <w:rFonts w:hint="eastAsia" w:ascii="宋体" w:hAnsi="宋体" w:cs="宋体"/>
          <w:sz w:val="24"/>
        </w:rPr>
        <w:t>………………………………</w:t>
      </w:r>
      <w:r>
        <w:rPr>
          <w:rFonts w:hint="eastAsia" w:ascii="宋体" w:hAnsi="宋体" w:cs="宋体"/>
          <w:sz w:val="24"/>
          <w:lang w:val="en-US" w:eastAsia="zh-CN"/>
        </w:rPr>
        <w:t>33</w:t>
      </w:r>
    </w:p>
    <w:p>
      <w:pPr>
        <w:pStyle w:val="11"/>
        <w:adjustRightInd w:val="0"/>
        <w:snapToGrid w:val="0"/>
        <w:spacing w:line="440" w:lineRule="exact"/>
        <w:jc w:val="left"/>
        <w:rPr>
          <w:rFonts w:hint="default" w:eastAsia="宋体"/>
          <w:sz w:val="24"/>
          <w:lang w:val="en-US" w:eastAsia="zh-CN"/>
        </w:rPr>
      </w:pPr>
      <w:r>
        <w:rPr>
          <w:rFonts w:hint="eastAsia"/>
          <w:sz w:val="24"/>
        </w:rPr>
        <w:t>十、一般公共预算财政拨款“三公”经费支出决算表</w:t>
      </w:r>
      <w:r>
        <w:rPr>
          <w:rFonts w:hint="eastAsia" w:ascii="宋体" w:hAnsi="宋体" w:cs="宋体"/>
          <w:sz w:val="24"/>
        </w:rPr>
        <w:t>……………………</w:t>
      </w:r>
      <w:r>
        <w:rPr>
          <w:rFonts w:hint="eastAsia" w:ascii="宋体" w:hAnsi="宋体" w:cs="宋体"/>
          <w:sz w:val="24"/>
          <w:lang w:val="en-US" w:eastAsia="zh-CN"/>
        </w:rPr>
        <w:t>34</w:t>
      </w:r>
    </w:p>
    <w:p>
      <w:pPr>
        <w:pStyle w:val="11"/>
        <w:adjustRightInd w:val="0"/>
        <w:snapToGrid w:val="0"/>
        <w:spacing w:line="440" w:lineRule="exact"/>
        <w:jc w:val="left"/>
        <w:rPr>
          <w:rFonts w:hint="default" w:eastAsia="宋体"/>
          <w:sz w:val="24"/>
          <w:lang w:val="en-US" w:eastAsia="zh-CN"/>
        </w:rPr>
      </w:pPr>
      <w:r>
        <w:rPr>
          <w:rFonts w:hint="eastAsia"/>
          <w:sz w:val="24"/>
        </w:rPr>
        <w:t>十一、政府性基金预算财政拨款收入支出决算表</w:t>
      </w:r>
      <w:r>
        <w:rPr>
          <w:rFonts w:hint="eastAsia" w:ascii="宋体" w:hAnsi="宋体" w:cs="宋体"/>
          <w:sz w:val="24"/>
        </w:rPr>
        <w:t>…………………………</w:t>
      </w:r>
      <w:r>
        <w:rPr>
          <w:rFonts w:hint="eastAsia" w:ascii="宋体" w:hAnsi="宋体" w:cs="宋体"/>
          <w:sz w:val="24"/>
          <w:lang w:val="en-US" w:eastAsia="zh-CN"/>
        </w:rPr>
        <w:t>34</w:t>
      </w:r>
    </w:p>
    <w:p>
      <w:pPr>
        <w:pStyle w:val="11"/>
        <w:adjustRightInd w:val="0"/>
        <w:snapToGrid w:val="0"/>
        <w:spacing w:line="440" w:lineRule="exact"/>
        <w:jc w:val="left"/>
        <w:rPr>
          <w:rFonts w:hint="default" w:eastAsia="宋体"/>
          <w:sz w:val="24"/>
          <w:lang w:val="en-US" w:eastAsia="zh-CN"/>
        </w:rPr>
      </w:pPr>
      <w:r>
        <w:rPr>
          <w:rFonts w:hint="eastAsia"/>
          <w:sz w:val="24"/>
        </w:rPr>
        <w:t>十二、政府性基金预算财政拨款“三公”经费支出决算表</w:t>
      </w:r>
      <w:r>
        <w:rPr>
          <w:rFonts w:hint="eastAsia" w:ascii="宋体" w:hAnsi="宋体" w:cs="宋体"/>
          <w:sz w:val="24"/>
        </w:rPr>
        <w:t>………………</w:t>
      </w:r>
      <w:r>
        <w:rPr>
          <w:rFonts w:hint="eastAsia" w:ascii="宋体" w:hAnsi="宋体" w:cs="宋体"/>
          <w:sz w:val="24"/>
          <w:lang w:val="en-US" w:eastAsia="zh-CN"/>
        </w:rPr>
        <w:t>35</w:t>
      </w:r>
    </w:p>
    <w:p>
      <w:pPr>
        <w:pStyle w:val="11"/>
        <w:adjustRightInd w:val="0"/>
        <w:snapToGrid w:val="0"/>
        <w:spacing w:line="440" w:lineRule="exact"/>
        <w:jc w:val="left"/>
        <w:rPr>
          <w:rFonts w:hint="default" w:eastAsia="宋体"/>
          <w:sz w:val="24"/>
          <w:lang w:val="en-US" w:eastAsia="zh-CN"/>
        </w:rPr>
      </w:pPr>
      <w:r>
        <w:rPr>
          <w:rFonts w:hint="eastAsia"/>
          <w:sz w:val="24"/>
        </w:rPr>
        <w:t>十三、国有资本经营预算财政拨款收入支出决算表</w:t>
      </w:r>
      <w:r>
        <w:rPr>
          <w:rFonts w:hint="eastAsia" w:ascii="宋体" w:hAnsi="宋体" w:cs="宋体"/>
          <w:sz w:val="24"/>
        </w:rPr>
        <w:t>………………………</w:t>
      </w:r>
      <w:r>
        <w:rPr>
          <w:rFonts w:hint="eastAsia" w:ascii="宋体" w:hAnsi="宋体" w:cs="宋体"/>
          <w:sz w:val="24"/>
          <w:lang w:val="en-US" w:eastAsia="zh-CN"/>
        </w:rPr>
        <w:t>35</w:t>
      </w:r>
      <w:r>
        <w:rPr>
          <w:rFonts w:hint="eastAsia"/>
          <w:sz w:val="24"/>
        </w:rPr>
        <w:t>十四、国有资本经营预算财政拨款支出决算表</w:t>
      </w:r>
      <w:r>
        <w:rPr>
          <w:rFonts w:hint="eastAsia" w:ascii="宋体" w:hAnsi="宋体" w:cs="宋体"/>
          <w:sz w:val="24"/>
        </w:rPr>
        <w:t>……………………………</w:t>
      </w:r>
      <w:r>
        <w:rPr>
          <w:rFonts w:hint="eastAsia" w:ascii="宋体" w:hAnsi="宋体" w:cs="宋体"/>
          <w:sz w:val="24"/>
          <w:lang w:val="en-US" w:eastAsia="zh-CN"/>
        </w:rPr>
        <w:t>36</w:t>
      </w:r>
    </w:p>
    <w:p>
      <w:pPr>
        <w:widowControl/>
        <w:adjustRightInd w:val="0"/>
        <w:snapToGrid w:val="0"/>
        <w:spacing w:line="440" w:lineRule="exact"/>
        <w:ind w:firstLine="1320" w:firstLineChars="550"/>
        <w:jc w:val="left"/>
        <w:rPr>
          <w:rFonts w:ascii="仿宋" w:hAnsi="仿宋" w:eastAsia="仿宋"/>
          <w:sz w:val="24"/>
        </w:rPr>
      </w:pPr>
      <w:r>
        <w:rPr>
          <w:rFonts w:ascii="仿宋" w:hAnsi="仿宋" w:eastAsia="仿宋"/>
          <w:sz w:val="24"/>
        </w:rPr>
        <w:t>(注：</w:t>
      </w:r>
      <w:r>
        <w:rPr>
          <w:rFonts w:hint="eastAsia" w:ascii="仿宋" w:hAnsi="仿宋" w:eastAsia="仿宋"/>
          <w:sz w:val="24"/>
        </w:rPr>
        <w:t>请单位根据实际注明页码</w:t>
      </w:r>
      <w:r>
        <w:rPr>
          <w:rFonts w:ascii="仿宋" w:hAnsi="仿宋" w:eastAsia="仿宋"/>
          <w:sz w:val="24"/>
        </w:rPr>
        <w:t>)</w:t>
      </w:r>
    </w:p>
    <w:p>
      <w:pPr>
        <w:widowControl/>
        <w:spacing w:line="440" w:lineRule="exact"/>
        <w:jc w:val="left"/>
        <w:rPr>
          <w:rFonts w:ascii="仿宋" w:hAnsi="仿宋" w:eastAsia="仿宋"/>
          <w:bCs/>
          <w:kern w:val="44"/>
          <w:sz w:val="24"/>
        </w:rPr>
      </w:pPr>
      <w:bookmarkStart w:id="11" w:name="_Toc15377196"/>
      <w:bookmarkStart w:id="12" w:name="_Toc15396599"/>
      <w:r>
        <w:rPr>
          <w:rFonts w:ascii="仿宋" w:hAnsi="仿宋" w:eastAsia="仿宋"/>
          <w:b/>
          <w:sz w:val="24"/>
        </w:rPr>
        <w:br w:type="page"/>
      </w:r>
    </w:p>
    <w:p>
      <w:pPr>
        <w:pStyle w:val="3"/>
        <w:jc w:val="center"/>
        <w:rPr>
          <w:rStyle w:val="24"/>
          <w:rFonts w:ascii="黑体" w:hAnsi="黑体" w:eastAsia="黑体"/>
          <w:b/>
          <w:bCs w:val="0"/>
        </w:rPr>
      </w:pPr>
      <w:r>
        <w:rPr>
          <w:rFonts w:hint="eastAsia" w:ascii="黑体" w:hAnsi="黑体" w:eastAsia="黑体"/>
          <w:b w:val="0"/>
        </w:rPr>
        <w:t>第一部分 单位</w:t>
      </w:r>
      <w:r>
        <w:rPr>
          <w:rStyle w:val="24"/>
          <w:rFonts w:hint="eastAsia" w:ascii="黑体" w:hAnsi="黑体" w:eastAsia="黑体"/>
          <w:b w:val="0"/>
          <w:bCs w:val="0"/>
        </w:rPr>
        <w:t>概况</w:t>
      </w:r>
      <w:bookmarkEnd w:id="11"/>
      <w:bookmarkEnd w:id="12"/>
    </w:p>
    <w:p>
      <w:pPr>
        <w:widowControl/>
        <w:jc w:val="left"/>
        <w:rPr>
          <w:rFonts w:ascii="黑体" w:eastAsia="黑体"/>
          <w:sz w:val="32"/>
          <w:szCs w:val="32"/>
        </w:rPr>
      </w:pPr>
    </w:p>
    <w:p>
      <w:pPr>
        <w:pStyle w:val="4"/>
        <w:numPr>
          <w:ilvl w:val="0"/>
          <w:numId w:val="1"/>
        </w:numPr>
        <w:rPr>
          <w:rStyle w:val="25"/>
          <w:rFonts w:hint="eastAsia" w:ascii="黑体" w:hAnsi="黑体" w:eastAsia="黑体"/>
          <w:b w:val="0"/>
          <w:bCs w:val="0"/>
        </w:rPr>
      </w:pPr>
      <w:bookmarkStart w:id="13" w:name="_Toc15396600"/>
      <w:bookmarkStart w:id="14" w:name="_Toc15377197"/>
      <w:r>
        <w:rPr>
          <w:rStyle w:val="25"/>
          <w:rFonts w:hint="eastAsia" w:ascii="黑体" w:hAnsi="黑体" w:eastAsia="黑体"/>
          <w:b w:val="0"/>
          <w:bCs w:val="0"/>
        </w:rPr>
        <w:t>职能简介</w:t>
      </w:r>
    </w:p>
    <w:p>
      <w:pPr>
        <w:pStyle w:val="2"/>
        <w:adjustRightInd w:val="0"/>
        <w:snapToGrid w:val="0"/>
        <w:spacing w:before="93"/>
        <w:ind w:firstLine="630" w:firstLineChars="210"/>
        <w:outlineLvl w:val="2"/>
        <w:rPr>
          <w:rFonts w:hint="eastAsia" w:ascii="仿宋" w:hAnsi="仿宋" w:eastAsia="仿宋"/>
          <w:bCs/>
          <w:color w:val="000000"/>
          <w:sz w:val="32"/>
          <w:szCs w:val="32"/>
        </w:rPr>
      </w:pPr>
      <w:r>
        <w:rPr>
          <w:rFonts w:hint="eastAsia"/>
          <w:lang w:val="en-US" w:eastAsia="zh-CN"/>
        </w:rPr>
        <w:t xml:space="preserve">   </w:t>
      </w:r>
      <w:r>
        <w:rPr>
          <w:rFonts w:hint="eastAsia" w:ascii="宋体" w:hAnsi="宋体"/>
          <w:bCs/>
          <w:color w:val="000000"/>
          <w:sz w:val="32"/>
          <w:szCs w:val="32"/>
        </w:rPr>
        <w:t>乐山市市中区</w:t>
      </w:r>
      <w:r>
        <w:rPr>
          <w:rFonts w:hint="eastAsia" w:ascii="宋体" w:hAnsi="宋体"/>
          <w:bCs/>
          <w:color w:val="000000"/>
          <w:sz w:val="32"/>
          <w:szCs w:val="32"/>
          <w:lang w:eastAsia="zh-CN"/>
        </w:rPr>
        <w:t>荔德小学</w:t>
      </w:r>
      <w:r>
        <w:rPr>
          <w:rFonts w:hint="eastAsia" w:ascii="宋体" w:hAnsi="宋体"/>
          <w:bCs/>
          <w:color w:val="000000"/>
          <w:sz w:val="32"/>
          <w:szCs w:val="32"/>
        </w:rPr>
        <w:t>是隶属于乐山市市中区教育局的一级预决算单位，属事业单位。其宗旨和业务范围：实施义务教育，促进基础教育发展。</w:t>
      </w:r>
      <w:r>
        <w:rPr>
          <w:rFonts w:hint="eastAsia" w:ascii="宋体" w:hAnsi="宋体"/>
          <w:bCs/>
          <w:color w:val="000000"/>
          <w:sz w:val="32"/>
          <w:szCs w:val="32"/>
          <w:lang w:eastAsia="zh-CN"/>
        </w:rPr>
        <w:t>小学</w:t>
      </w:r>
      <w:r>
        <w:rPr>
          <w:rFonts w:hint="eastAsia" w:ascii="宋体" w:hAnsi="宋体"/>
          <w:bCs/>
          <w:color w:val="000000"/>
          <w:sz w:val="32"/>
          <w:szCs w:val="32"/>
        </w:rPr>
        <w:t>学历教育；主要职责：</w:t>
      </w:r>
      <w:r>
        <w:rPr>
          <w:rFonts w:hint="eastAsia" w:ascii="宋体" w:hAnsi="宋体"/>
          <w:sz w:val="32"/>
          <w:szCs w:val="32"/>
        </w:rPr>
        <w:t>严格遵守国家法律，法规，全面执行党的教育方针，坚持严格管理信守职业道德。立足未来，以人为本，科学施教，启发潜能，追求完善，多元化发展，创造品牌。</w:t>
      </w:r>
    </w:p>
    <w:p>
      <w:pPr>
        <w:pStyle w:val="4"/>
        <w:rPr>
          <w:rFonts w:ascii="黑体" w:hAnsi="黑体" w:eastAsia="黑体"/>
          <w:b w:val="0"/>
        </w:rPr>
      </w:pPr>
      <w:r>
        <w:rPr>
          <w:rFonts w:hint="eastAsia" w:ascii="黑体" w:hAnsi="黑体" w:eastAsia="黑体"/>
          <w:b w:val="0"/>
        </w:rPr>
        <w:t>二、2021年重点工作</w:t>
      </w:r>
      <w:bookmarkEnd w:id="13"/>
      <w:bookmarkEnd w:id="14"/>
      <w:r>
        <w:rPr>
          <w:rFonts w:hint="eastAsia" w:ascii="黑体" w:hAnsi="黑体" w:eastAsia="黑体"/>
          <w:b w:val="0"/>
        </w:rPr>
        <w:t>完成情况</w:t>
      </w:r>
    </w:p>
    <w:p>
      <w:pPr>
        <w:pStyle w:val="2"/>
        <w:adjustRightInd w:val="0"/>
        <w:snapToGrid w:val="0"/>
        <w:spacing w:before="93"/>
        <w:ind w:firstLine="672" w:firstLineChars="210"/>
        <w:outlineLvl w:val="2"/>
        <w:rPr>
          <w:rFonts w:hint="eastAsia" w:ascii="宋体" w:hAnsi="宋体"/>
          <w:sz w:val="32"/>
          <w:szCs w:val="32"/>
        </w:rPr>
      </w:pPr>
      <w:r>
        <w:rPr>
          <w:rFonts w:hint="eastAsia" w:ascii="仿宋" w:hAnsi="仿宋" w:eastAsia="仿宋"/>
          <w:sz w:val="32"/>
          <w:szCs w:val="32"/>
          <w:lang w:val="en-US" w:eastAsia="zh-CN"/>
        </w:rPr>
        <w:t xml:space="preserve">  </w:t>
      </w:r>
      <w:r>
        <w:rPr>
          <w:rFonts w:hint="eastAsia" w:ascii="宋体" w:hAnsi="宋体"/>
          <w:sz w:val="32"/>
          <w:szCs w:val="32"/>
        </w:rPr>
        <w:t>本年度，在各级</w:t>
      </w:r>
      <w:r>
        <w:rPr>
          <w:rFonts w:hint="eastAsia" w:ascii="宋体" w:hAnsi="宋体"/>
          <w:sz w:val="32"/>
          <w:szCs w:val="32"/>
        </w:rPr>
        <w:fldChar w:fldCharType="begin"/>
      </w:r>
      <w:r>
        <w:rPr>
          <w:rFonts w:hint="eastAsia" w:ascii="宋体" w:hAnsi="宋体"/>
          <w:sz w:val="32"/>
          <w:szCs w:val="32"/>
        </w:rPr>
        <w:instrText xml:space="preserve"> HYPERLINK "http://www.5ykj.com/Article/" \t "http://www.5ykj.com/Article/zjbggzhb/_blank" </w:instrText>
      </w:r>
      <w:r>
        <w:rPr>
          <w:rFonts w:hint="eastAsia" w:ascii="宋体" w:hAnsi="宋体"/>
          <w:sz w:val="32"/>
          <w:szCs w:val="32"/>
        </w:rPr>
        <w:fldChar w:fldCharType="separate"/>
      </w:r>
      <w:r>
        <w:rPr>
          <w:rFonts w:hint="eastAsia" w:ascii="宋体" w:hAnsi="宋体"/>
          <w:sz w:val="32"/>
          <w:szCs w:val="32"/>
        </w:rPr>
        <w:t>领导</w:t>
      </w:r>
      <w:r>
        <w:rPr>
          <w:rFonts w:hint="eastAsia" w:ascii="宋体" w:hAnsi="宋体"/>
          <w:sz w:val="32"/>
          <w:szCs w:val="32"/>
        </w:rPr>
        <w:fldChar w:fldCharType="end"/>
      </w:r>
      <w:r>
        <w:rPr>
          <w:rFonts w:hint="eastAsia" w:ascii="宋体" w:hAnsi="宋体"/>
          <w:sz w:val="32"/>
          <w:szCs w:val="32"/>
        </w:rPr>
        <w:t>的亲切关怀和热心</w:t>
      </w:r>
      <w:r>
        <w:rPr>
          <w:rFonts w:hint="eastAsia" w:ascii="宋体" w:hAnsi="宋体"/>
          <w:sz w:val="32"/>
          <w:szCs w:val="32"/>
        </w:rPr>
        <w:fldChar w:fldCharType="begin"/>
      </w:r>
      <w:r>
        <w:rPr>
          <w:rFonts w:hint="eastAsia" w:ascii="宋体" w:hAnsi="宋体"/>
          <w:sz w:val="32"/>
          <w:szCs w:val="32"/>
        </w:rPr>
        <w:instrText xml:space="preserve"> HYPERLINK "http://zw.5ykj.com/" \t "http://www.5ykj.com/Article/zjbggzhb/_blank" </w:instrText>
      </w:r>
      <w:r>
        <w:rPr>
          <w:rFonts w:hint="eastAsia" w:ascii="宋体" w:hAnsi="宋体"/>
          <w:sz w:val="32"/>
          <w:szCs w:val="32"/>
        </w:rPr>
        <w:fldChar w:fldCharType="separate"/>
      </w:r>
      <w:r>
        <w:rPr>
          <w:rFonts w:hint="eastAsia" w:ascii="宋体" w:hAnsi="宋体"/>
          <w:sz w:val="32"/>
          <w:szCs w:val="32"/>
        </w:rPr>
        <w:t>指导</w:t>
      </w:r>
      <w:r>
        <w:rPr>
          <w:rFonts w:hint="eastAsia" w:ascii="宋体" w:hAnsi="宋体"/>
          <w:sz w:val="32"/>
          <w:szCs w:val="32"/>
        </w:rPr>
        <w:fldChar w:fldCharType="end"/>
      </w:r>
      <w:r>
        <w:rPr>
          <w:rFonts w:hint="eastAsia" w:ascii="宋体" w:hAnsi="宋体"/>
          <w:sz w:val="32"/>
          <w:szCs w:val="32"/>
        </w:rPr>
        <w:t>下，乐山市市中区悦来乡学校以党的十九届四中、五中全会、全国两会精神为指针，努力践行社会主义核心价值观，不断巩固“不忘初心、牢记使命”的主题教育成果，牢固树立育人为本的思想，秉承“为学生终身发展和幸福人生奠基”的办学理念，坚持“依法治校、和谐立校、质量兴校、特色强校”的办学思路，全体教职工同舟共济，开拓进取，全面实现让悦来学校学生因学习而快乐，教师因奉献而美丽，学校因特色而精彩的办学目标。</w:t>
      </w:r>
    </w:p>
    <w:p>
      <w:pPr>
        <w:widowControl/>
        <w:jc w:val="left"/>
        <w:rPr>
          <w:rFonts w:ascii="仿宋" w:hAnsi="仿宋" w:eastAsia="仿宋"/>
          <w:kern w:val="0"/>
          <w:sz w:val="32"/>
          <w:szCs w:val="32"/>
        </w:rPr>
      </w:pPr>
      <w:r>
        <w:rPr>
          <w:rFonts w:ascii="仿宋" w:hAnsi="仿宋" w:eastAsia="仿宋"/>
          <w:sz w:val="32"/>
          <w:szCs w:val="32"/>
        </w:rPr>
        <w:br w:type="page"/>
      </w:r>
    </w:p>
    <w:p>
      <w:pPr>
        <w:pStyle w:val="3"/>
        <w:ind w:right="440"/>
        <w:jc w:val="center"/>
        <w:rPr>
          <w:rStyle w:val="24"/>
          <w:rFonts w:ascii="黑体" w:hAnsi="黑体" w:eastAsia="黑体"/>
          <w:b w:val="0"/>
          <w:bCs/>
        </w:rPr>
      </w:pPr>
      <w:bookmarkStart w:id="15" w:name="_Toc15377204"/>
      <w:bookmarkStart w:id="16" w:name="_Toc15396602"/>
      <w:r>
        <w:rPr>
          <w:rFonts w:hint="eastAsia" w:ascii="黑体" w:hAnsi="黑体" w:eastAsia="黑体"/>
          <w:b w:val="0"/>
        </w:rPr>
        <w:t>第二部分 2021年度</w:t>
      </w:r>
      <w:r>
        <w:rPr>
          <w:rStyle w:val="24"/>
          <w:rFonts w:hint="eastAsia" w:ascii="黑体" w:hAnsi="黑体" w:eastAsia="黑体"/>
          <w:b w:val="0"/>
          <w:bCs/>
        </w:rPr>
        <w:t>单位决算情况说明</w:t>
      </w:r>
      <w:bookmarkEnd w:id="15"/>
      <w:bookmarkEnd w:id="16"/>
    </w:p>
    <w:p/>
    <w:p>
      <w:pPr>
        <w:pStyle w:val="23"/>
        <w:numPr>
          <w:ilvl w:val="0"/>
          <w:numId w:val="2"/>
        </w:numPr>
        <w:spacing w:line="600" w:lineRule="exact"/>
        <w:ind w:firstLineChars="0"/>
        <w:outlineLvl w:val="1"/>
        <w:rPr>
          <w:rStyle w:val="25"/>
          <w:rFonts w:ascii="黑体" w:hAnsi="黑体" w:eastAsia="黑体"/>
          <w:b w:val="0"/>
        </w:rPr>
      </w:pPr>
      <w:bookmarkStart w:id="17" w:name="_Toc15396603"/>
      <w:bookmarkStart w:id="18" w:name="_Toc15377205"/>
      <w:r>
        <w:rPr>
          <w:rFonts w:hint="eastAsia" w:ascii="黑体" w:hAnsi="黑体" w:eastAsia="黑体"/>
          <w:sz w:val="32"/>
          <w:szCs w:val="32"/>
        </w:rPr>
        <w:t>收</w:t>
      </w:r>
      <w:r>
        <w:rPr>
          <w:rStyle w:val="25"/>
          <w:rFonts w:hint="eastAsia" w:ascii="黑体" w:hAnsi="黑体" w:eastAsia="黑体"/>
          <w:b w:val="0"/>
        </w:rPr>
        <w:t>入支出决算总体情况说明</w:t>
      </w:r>
      <w:bookmarkEnd w:id="17"/>
      <w:bookmarkEnd w:id="18"/>
    </w:p>
    <w:p>
      <w:pPr>
        <w:pStyle w:val="23"/>
        <w:ind w:firstLine="576" w:firstLineChars="180"/>
        <w:outlineLvl w:val="1"/>
        <w:rPr>
          <w:rFonts w:hint="eastAsia" w:ascii="黑体" w:hAnsi="黑体" w:eastAsia="黑体"/>
          <w:color w:val="000000"/>
          <w:sz w:val="32"/>
          <w:szCs w:val="32"/>
        </w:rPr>
      </w:pPr>
      <w:r>
        <w:rPr>
          <w:rFonts w:hint="eastAsia" w:ascii="黑体" w:hAnsi="黑体" w:eastAsia="黑体"/>
          <w:color w:val="000000"/>
          <w:sz w:val="32"/>
          <w:szCs w:val="32"/>
        </w:rPr>
        <w:t>一、收入支出决算总体情况说明</w:t>
      </w:r>
    </w:p>
    <w:p>
      <w:pPr>
        <w:pStyle w:val="23"/>
        <w:ind w:firstLine="576" w:firstLineChars="180"/>
        <w:outlineLvl w:val="1"/>
        <w:rPr>
          <w:rFonts w:hint="eastAsia" w:ascii="黑体" w:hAnsi="黑体" w:eastAsia="黑体"/>
          <w:color w:val="000000"/>
          <w:sz w:val="32"/>
          <w:szCs w:val="32"/>
        </w:rPr>
      </w:pPr>
      <w:r>
        <w:rPr>
          <w:rFonts w:hint="eastAsia" w:ascii="黑体" w:hAnsi="黑体" w:eastAsia="黑体"/>
          <w:color w:val="000000"/>
          <w:sz w:val="32"/>
          <w:szCs w:val="32"/>
        </w:rPr>
        <w:t>202</w:t>
      </w:r>
      <w:r>
        <w:rPr>
          <w:rFonts w:hint="eastAsia" w:ascii="黑体" w:hAnsi="黑体" w:eastAsia="黑体"/>
          <w:color w:val="000000"/>
          <w:sz w:val="32"/>
          <w:szCs w:val="32"/>
          <w:lang w:val="en-US" w:eastAsia="zh-CN"/>
        </w:rPr>
        <w:t>1</w:t>
      </w:r>
      <w:r>
        <w:rPr>
          <w:rFonts w:hint="eastAsia" w:ascii="黑体" w:hAnsi="黑体" w:eastAsia="黑体"/>
          <w:color w:val="000000"/>
          <w:sz w:val="32"/>
          <w:szCs w:val="32"/>
        </w:rPr>
        <w:t>年度收支、总计</w:t>
      </w:r>
      <w:r>
        <w:rPr>
          <w:rFonts w:hint="eastAsia" w:ascii="黑体" w:hAnsi="黑体" w:eastAsia="黑体"/>
          <w:color w:val="000000"/>
          <w:sz w:val="32"/>
          <w:szCs w:val="32"/>
          <w:lang w:val="en-US" w:eastAsia="zh-CN"/>
        </w:rPr>
        <w:t>396.65</w:t>
      </w:r>
      <w:r>
        <w:rPr>
          <w:rFonts w:hint="eastAsia" w:ascii="黑体" w:hAnsi="黑体" w:eastAsia="黑体"/>
          <w:color w:val="000000"/>
          <w:sz w:val="32"/>
          <w:szCs w:val="32"/>
        </w:rPr>
        <w:t>万元。与20</w:t>
      </w:r>
      <w:r>
        <w:rPr>
          <w:rFonts w:hint="eastAsia" w:ascii="黑体" w:hAnsi="黑体" w:eastAsia="黑体"/>
          <w:color w:val="000000"/>
          <w:sz w:val="32"/>
          <w:szCs w:val="32"/>
          <w:lang w:val="en-US" w:eastAsia="zh-CN"/>
        </w:rPr>
        <w:t>20</w:t>
      </w:r>
      <w:r>
        <w:rPr>
          <w:rFonts w:hint="eastAsia" w:ascii="黑体" w:hAnsi="黑体" w:eastAsia="黑体"/>
          <w:color w:val="000000"/>
          <w:sz w:val="32"/>
          <w:szCs w:val="32"/>
        </w:rPr>
        <w:t>年</w:t>
      </w:r>
      <w:r>
        <w:rPr>
          <w:rFonts w:hint="eastAsia" w:ascii="黑体" w:hAnsi="黑体" w:eastAsia="黑体"/>
          <w:color w:val="000000"/>
          <w:sz w:val="32"/>
          <w:szCs w:val="32"/>
          <w:lang w:val="en-US" w:eastAsia="zh-CN"/>
        </w:rPr>
        <w:t>327.06</w:t>
      </w:r>
      <w:r>
        <w:rPr>
          <w:rFonts w:hint="eastAsia" w:ascii="黑体" w:hAnsi="黑体" w:eastAsia="黑体"/>
          <w:color w:val="000000"/>
          <w:sz w:val="32"/>
          <w:szCs w:val="32"/>
        </w:rPr>
        <w:t>万元相比，收、支总计</w:t>
      </w:r>
      <w:r>
        <w:rPr>
          <w:rFonts w:hint="eastAsia" w:ascii="黑体" w:hAnsi="黑体" w:eastAsia="黑体"/>
          <w:color w:val="000000"/>
          <w:sz w:val="32"/>
          <w:szCs w:val="32"/>
          <w:lang w:eastAsia="zh-CN"/>
        </w:rPr>
        <w:t>增加</w:t>
      </w:r>
      <w:r>
        <w:rPr>
          <w:rFonts w:hint="eastAsia" w:ascii="黑体" w:hAnsi="黑体" w:eastAsia="黑体"/>
          <w:color w:val="000000"/>
          <w:sz w:val="32"/>
          <w:szCs w:val="32"/>
          <w:lang w:val="en-US" w:eastAsia="zh-CN"/>
        </w:rPr>
        <w:t>69.59</w:t>
      </w:r>
      <w:r>
        <w:rPr>
          <w:rFonts w:hint="eastAsia" w:ascii="黑体" w:hAnsi="黑体" w:eastAsia="黑体"/>
          <w:color w:val="000000"/>
          <w:sz w:val="32"/>
          <w:szCs w:val="32"/>
        </w:rPr>
        <w:t>万元，</w:t>
      </w:r>
      <w:r>
        <w:rPr>
          <w:rFonts w:hint="eastAsia" w:ascii="黑体" w:hAnsi="黑体" w:eastAsia="黑体"/>
          <w:color w:val="000000"/>
          <w:sz w:val="32"/>
          <w:szCs w:val="32"/>
          <w:lang w:eastAsia="zh-CN"/>
        </w:rPr>
        <w:t>增加</w:t>
      </w:r>
      <w:r>
        <w:rPr>
          <w:rFonts w:hint="eastAsia" w:ascii="黑体" w:hAnsi="黑体" w:eastAsia="黑体"/>
          <w:color w:val="000000"/>
          <w:sz w:val="32"/>
          <w:szCs w:val="32"/>
          <w:lang w:val="en-US" w:eastAsia="zh-CN"/>
        </w:rPr>
        <w:t>21.28</w:t>
      </w:r>
      <w:r>
        <w:rPr>
          <w:rFonts w:hint="eastAsia" w:ascii="黑体" w:hAnsi="黑体" w:eastAsia="黑体"/>
          <w:color w:val="000000"/>
          <w:sz w:val="32"/>
          <w:szCs w:val="32"/>
        </w:rPr>
        <w:t>%。主要变动原因是</w:t>
      </w:r>
      <w:r>
        <w:rPr>
          <w:rFonts w:hint="eastAsia" w:ascii="黑体" w:hAnsi="黑体" w:eastAsia="黑体"/>
          <w:color w:val="000000"/>
          <w:sz w:val="32"/>
          <w:szCs w:val="32"/>
          <w:lang w:eastAsia="zh-CN"/>
        </w:rPr>
        <w:t>：</w:t>
      </w:r>
      <w:r>
        <w:rPr>
          <w:rFonts w:hint="eastAsia" w:ascii="黑体" w:hAnsi="黑体" w:eastAsia="黑体"/>
          <w:color w:val="000000"/>
          <w:sz w:val="32"/>
          <w:szCs w:val="32"/>
          <w:lang w:val="en-US" w:eastAsia="zh-CN"/>
        </w:rPr>
        <w:t>1、</w:t>
      </w:r>
      <w:r>
        <w:rPr>
          <w:rFonts w:hint="eastAsia" w:ascii="黑体" w:hAnsi="黑体" w:eastAsia="黑体"/>
          <w:color w:val="000000"/>
          <w:sz w:val="32"/>
          <w:szCs w:val="32"/>
          <w:lang w:eastAsia="zh-CN"/>
        </w:rPr>
        <w:t>学校办学规模逐年扩大，学生人数增加较多；</w:t>
      </w:r>
      <w:r>
        <w:rPr>
          <w:rFonts w:hint="eastAsia" w:ascii="黑体" w:hAnsi="黑体" w:eastAsia="黑体"/>
          <w:color w:val="000000"/>
          <w:sz w:val="32"/>
          <w:szCs w:val="32"/>
          <w:lang w:val="en-US" w:eastAsia="zh-CN"/>
        </w:rPr>
        <w:t>2、在职</w:t>
      </w:r>
      <w:r>
        <w:rPr>
          <w:rFonts w:hint="eastAsia" w:ascii="黑体" w:hAnsi="黑体" w:eastAsia="黑体"/>
          <w:color w:val="000000"/>
          <w:sz w:val="32"/>
          <w:szCs w:val="32"/>
        </w:rPr>
        <w:t>人员</w:t>
      </w:r>
      <w:r>
        <w:rPr>
          <w:rFonts w:hint="eastAsia" w:ascii="黑体" w:hAnsi="黑体" w:eastAsia="黑体"/>
          <w:color w:val="000000"/>
          <w:sz w:val="32"/>
          <w:szCs w:val="32"/>
          <w:lang w:eastAsia="zh-CN"/>
        </w:rPr>
        <w:t>工资福利正常增长</w:t>
      </w:r>
      <w:r>
        <w:rPr>
          <w:rFonts w:hint="eastAsia" w:ascii="黑体" w:hAnsi="黑体" w:eastAsia="黑体"/>
          <w:color w:val="000000"/>
          <w:sz w:val="32"/>
          <w:szCs w:val="32"/>
        </w:rPr>
        <w:t>。</w:t>
      </w:r>
    </w:p>
    <w:p>
      <w:pPr>
        <w:pStyle w:val="23"/>
        <w:ind w:firstLine="378" w:firstLineChars="180"/>
        <w:outlineLvl w:val="1"/>
        <w:rPr>
          <w:rFonts w:hint="eastAsia" w:ascii="黑体" w:hAnsi="黑体" w:eastAsia="黑体"/>
          <w:color w:val="000000"/>
          <w:sz w:val="32"/>
          <w:szCs w:val="32"/>
        </w:rPr>
      </w:pPr>
      <w:r>
        <w:drawing>
          <wp:inline distT="0" distB="0" distL="114300" distR="114300">
            <wp:extent cx="5271135" cy="3213100"/>
            <wp:effectExtent l="38735" t="18415" r="43180" b="64135"/>
            <wp:docPr id="4"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spacing w:line="600" w:lineRule="exact"/>
        <w:ind w:firstLine="640" w:firstLineChars="200"/>
        <w:rPr>
          <w:rFonts w:ascii="仿宋" w:hAnsi="仿宋" w:eastAsia="仿宋"/>
          <w:sz w:val="32"/>
          <w:szCs w:val="32"/>
        </w:rPr>
      </w:pPr>
      <w:r>
        <w:rPr>
          <w:rFonts w:hint="eastAsia" w:ascii="仿宋" w:hAnsi="仿宋" w:eastAsia="仿宋"/>
          <w:sz w:val="32"/>
          <w:szCs w:val="32"/>
        </w:rPr>
        <w:t>（图</w:t>
      </w:r>
      <w:r>
        <w:rPr>
          <w:rFonts w:ascii="仿宋" w:hAnsi="仿宋" w:eastAsia="仿宋"/>
          <w:sz w:val="32"/>
          <w:szCs w:val="32"/>
        </w:rPr>
        <w:t>1</w:t>
      </w:r>
      <w:r>
        <w:rPr>
          <w:rFonts w:hint="eastAsia" w:ascii="仿宋" w:hAnsi="仿宋" w:eastAsia="仿宋"/>
          <w:sz w:val="32"/>
          <w:szCs w:val="32"/>
        </w:rPr>
        <w:t>：注：数据来源于财决01表，决算-总计栏，收、支决算总计变动情况图）（柱状图）</w:t>
      </w:r>
    </w:p>
    <w:p>
      <w:pPr>
        <w:spacing w:line="600" w:lineRule="exact"/>
        <w:ind w:firstLine="640" w:firstLineChars="200"/>
        <w:jc w:val="left"/>
        <w:rPr>
          <w:rFonts w:ascii="仿宋_GB2312" w:eastAsia="仿宋_GB2312"/>
          <w:sz w:val="32"/>
          <w:szCs w:val="32"/>
        </w:rPr>
      </w:pPr>
    </w:p>
    <w:p>
      <w:pPr>
        <w:pStyle w:val="23"/>
        <w:numPr>
          <w:ilvl w:val="0"/>
          <w:numId w:val="2"/>
        </w:numPr>
        <w:spacing w:line="600" w:lineRule="exact"/>
        <w:ind w:firstLineChars="0"/>
        <w:outlineLvl w:val="1"/>
        <w:rPr>
          <w:rStyle w:val="25"/>
          <w:rFonts w:ascii="黑体" w:hAnsi="黑体" w:eastAsia="黑体"/>
          <w:b w:val="0"/>
        </w:rPr>
      </w:pPr>
      <w:bookmarkStart w:id="19" w:name="_Toc15377206"/>
      <w:bookmarkStart w:id="20" w:name="_Toc15396604"/>
      <w:r>
        <w:rPr>
          <w:rFonts w:hint="eastAsia" w:ascii="黑体" w:hAnsi="黑体" w:eastAsia="黑体"/>
          <w:sz w:val="32"/>
          <w:szCs w:val="32"/>
        </w:rPr>
        <w:t>收</w:t>
      </w:r>
      <w:r>
        <w:rPr>
          <w:rStyle w:val="25"/>
          <w:rFonts w:hint="eastAsia" w:ascii="黑体" w:hAnsi="黑体" w:eastAsia="黑体"/>
          <w:b w:val="0"/>
        </w:rPr>
        <w:t>入决算情况说明</w:t>
      </w:r>
      <w:bookmarkEnd w:id="19"/>
      <w:bookmarkEnd w:id="20"/>
    </w:p>
    <w:p>
      <w:pPr>
        <w:spacing w:line="600" w:lineRule="exact"/>
        <w:ind w:firstLine="640" w:firstLineChars="200"/>
        <w:outlineLvl w:val="1"/>
        <w:rPr>
          <w:rFonts w:hint="eastAsia" w:ascii="仿宋" w:hAnsi="仿宋" w:eastAsia="仿宋"/>
          <w:sz w:val="32"/>
          <w:szCs w:val="32"/>
          <w:lang w:val="en-US" w:eastAsia="zh-CN"/>
        </w:rPr>
      </w:pPr>
      <w:r>
        <w:rPr>
          <w:rFonts w:ascii="仿宋" w:hAnsi="仿宋" w:eastAsia="仿宋"/>
          <w:sz w:val="32"/>
          <w:szCs w:val="32"/>
        </w:rPr>
        <w:t>20</w:t>
      </w:r>
      <w:r>
        <w:rPr>
          <w:rFonts w:hint="eastAsia" w:ascii="仿宋" w:hAnsi="仿宋" w:eastAsia="仿宋"/>
          <w:sz w:val="32"/>
          <w:szCs w:val="32"/>
        </w:rPr>
        <w:t>21年本年收入合计</w:t>
      </w:r>
      <w:r>
        <w:rPr>
          <w:rFonts w:hint="eastAsia" w:ascii="仿宋" w:hAnsi="仿宋" w:eastAsia="仿宋"/>
          <w:sz w:val="32"/>
          <w:szCs w:val="32"/>
          <w:lang w:val="en-US" w:eastAsia="zh-CN"/>
        </w:rPr>
        <w:t>389.63</w:t>
      </w:r>
      <w:r>
        <w:rPr>
          <w:rFonts w:hint="eastAsia" w:ascii="仿宋" w:hAnsi="仿宋" w:eastAsia="仿宋"/>
          <w:sz w:val="32"/>
          <w:szCs w:val="32"/>
        </w:rPr>
        <w:t>万元，其中：一般公共预算财政拨款收入</w:t>
      </w:r>
      <w:r>
        <w:rPr>
          <w:rFonts w:hint="eastAsia" w:ascii="仿宋" w:hAnsi="仿宋" w:eastAsia="仿宋"/>
          <w:sz w:val="32"/>
          <w:szCs w:val="32"/>
          <w:lang w:val="en-US" w:eastAsia="zh-CN"/>
        </w:rPr>
        <w:t>389.63</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ascii="仿宋" w:hAnsi="仿宋" w:eastAsia="仿宋"/>
          <w:sz w:val="32"/>
          <w:szCs w:val="32"/>
        </w:rPr>
        <w:t>%</w:t>
      </w:r>
      <w:r>
        <w:rPr>
          <w:rFonts w:hint="eastAsia" w:ascii="仿宋" w:hAnsi="仿宋" w:eastAsia="仿宋"/>
          <w:sz w:val="32"/>
          <w:szCs w:val="32"/>
        </w:rPr>
        <w:t>；政府性基金预算财政拨款收入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；国有资本经营预算财政拨款收入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；上级补助收入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；事业收入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；经营收入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；附属单位上缴收入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；其他收入</w:t>
      </w:r>
      <w:r>
        <w:rPr>
          <w:rFonts w:ascii="仿宋" w:hAnsi="仿宋" w:eastAsia="仿宋"/>
          <w:sz w:val="32"/>
          <w:szCs w:val="32"/>
        </w:rPr>
        <w:t>**</w:t>
      </w:r>
      <w:r>
        <w:rPr>
          <w:rFonts w:hint="eastAsia" w:ascii="仿宋" w:hAnsi="仿宋" w:eastAsia="仿宋"/>
          <w:sz w:val="32"/>
          <w:szCs w:val="32"/>
        </w:rPr>
        <w:t>万元，占</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sz w:val="32"/>
          <w:szCs w:val="32"/>
          <w:lang w:val="en-US" w:eastAsia="zh-CN"/>
        </w:rPr>
        <w:t xml:space="preserve">  </w:t>
      </w:r>
    </w:p>
    <w:p>
      <w:pPr>
        <w:pStyle w:val="2"/>
        <w:rPr>
          <w:rFonts w:hint="eastAsia" w:ascii="仿宋" w:hAnsi="仿宋" w:eastAsia="仿宋"/>
          <w:sz w:val="32"/>
          <w:szCs w:val="32"/>
          <w:lang w:val="en-US" w:eastAsia="zh-CN"/>
        </w:rPr>
      </w:pPr>
    </w:p>
    <w:p>
      <w:pPr>
        <w:pStyle w:val="2"/>
        <w:rPr>
          <w:rFonts w:hint="eastAsia" w:ascii="仿宋" w:hAnsi="仿宋" w:eastAsia="仿宋"/>
          <w:sz w:val="32"/>
          <w:szCs w:val="32"/>
          <w:lang w:val="en-US" w:eastAsia="zh-CN"/>
        </w:rPr>
      </w:pPr>
      <w:r>
        <w:drawing>
          <wp:inline distT="0" distB="0" distL="114300" distR="114300">
            <wp:extent cx="5272405" cy="3302635"/>
            <wp:effectExtent l="38735" t="18415" r="41910" b="69850"/>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spacing w:line="600" w:lineRule="exact"/>
        <w:ind w:firstLine="643" w:firstLineChars="200"/>
        <w:outlineLvl w:val="1"/>
        <w:rPr>
          <w:rFonts w:ascii="仿宋" w:hAnsi="仿宋" w:eastAsia="仿宋"/>
          <w:b/>
          <w:sz w:val="32"/>
          <w:szCs w:val="32"/>
        </w:rPr>
      </w:pPr>
      <w:r>
        <w:rPr>
          <w:rFonts w:hint="eastAsia" w:ascii="仿宋" w:hAnsi="仿宋" w:eastAsia="仿宋"/>
          <w:b/>
          <w:sz w:val="32"/>
          <w:szCs w:val="32"/>
        </w:rPr>
        <w:t>（注：数据来源于财决</w:t>
      </w:r>
      <w:r>
        <w:rPr>
          <w:rFonts w:ascii="仿宋" w:hAnsi="仿宋" w:eastAsia="仿宋"/>
          <w:b/>
          <w:sz w:val="32"/>
          <w:szCs w:val="32"/>
        </w:rPr>
        <w:t>01表</w:t>
      </w:r>
      <w:r>
        <w:rPr>
          <w:rFonts w:hint="eastAsia" w:ascii="仿宋" w:hAnsi="仿宋" w:eastAsia="仿宋"/>
          <w:b/>
          <w:sz w:val="32"/>
          <w:szCs w:val="32"/>
        </w:rPr>
        <w:t>，仅罗列本单位涉及的收入。</w:t>
      </w:r>
      <w:r>
        <w:rPr>
          <w:rFonts w:ascii="仿宋" w:hAnsi="仿宋" w:eastAsia="仿宋"/>
          <w:b/>
          <w:sz w:val="32"/>
          <w:szCs w:val="32"/>
        </w:rPr>
        <w:t>）</w:t>
      </w:r>
    </w:p>
    <w:p>
      <w:pPr>
        <w:spacing w:line="600" w:lineRule="exact"/>
        <w:ind w:firstLine="640" w:firstLineChars="200"/>
        <w:outlineLvl w:val="1"/>
        <w:rPr>
          <w:rFonts w:ascii="仿宋" w:hAnsi="仿宋" w:eastAsia="仿宋"/>
          <w:sz w:val="32"/>
          <w:szCs w:val="32"/>
        </w:rPr>
      </w:pPr>
    </w:p>
    <w:p>
      <w:pPr>
        <w:spacing w:line="600" w:lineRule="exact"/>
        <w:ind w:firstLine="640" w:firstLineChars="200"/>
        <w:rPr>
          <w:rFonts w:ascii="仿宋" w:hAnsi="仿宋" w:eastAsia="仿宋"/>
          <w:sz w:val="32"/>
          <w:szCs w:val="32"/>
        </w:rPr>
      </w:pPr>
      <w:r>
        <w:rPr>
          <w:rFonts w:hint="eastAsia" w:ascii="仿宋" w:hAnsi="仿宋" w:eastAsia="仿宋"/>
          <w:sz w:val="32"/>
          <w:szCs w:val="32"/>
        </w:rPr>
        <w:t>（图2：收入决算结构图）（饼状图）</w:t>
      </w:r>
    </w:p>
    <w:p>
      <w:pPr>
        <w:spacing w:line="600" w:lineRule="exact"/>
        <w:ind w:firstLine="640" w:firstLineChars="200"/>
        <w:rPr>
          <w:rFonts w:ascii="仿宋_GB2312" w:eastAsia="仿宋_GB2312"/>
          <w:sz w:val="32"/>
          <w:szCs w:val="32"/>
        </w:rPr>
      </w:pPr>
    </w:p>
    <w:p>
      <w:pPr>
        <w:pStyle w:val="23"/>
        <w:numPr>
          <w:ilvl w:val="0"/>
          <w:numId w:val="2"/>
        </w:numPr>
        <w:spacing w:line="600" w:lineRule="exact"/>
        <w:ind w:firstLineChars="0"/>
        <w:outlineLvl w:val="1"/>
        <w:rPr>
          <w:rStyle w:val="25"/>
          <w:rFonts w:ascii="黑体" w:hAnsi="黑体" w:eastAsia="黑体"/>
          <w:b w:val="0"/>
        </w:rPr>
      </w:pPr>
      <w:bookmarkStart w:id="21" w:name="_Toc15396605"/>
      <w:bookmarkStart w:id="22" w:name="_Toc15377207"/>
      <w:r>
        <w:rPr>
          <w:rFonts w:hint="eastAsia" w:ascii="黑体" w:hAnsi="黑体" w:eastAsia="黑体"/>
          <w:sz w:val="32"/>
          <w:szCs w:val="32"/>
        </w:rPr>
        <w:t>支</w:t>
      </w:r>
      <w:r>
        <w:rPr>
          <w:rStyle w:val="25"/>
          <w:rFonts w:hint="eastAsia" w:ascii="黑体" w:hAnsi="黑体" w:eastAsia="黑体"/>
          <w:b w:val="0"/>
        </w:rPr>
        <w:t>出决算情况说明</w:t>
      </w:r>
      <w:bookmarkEnd w:id="21"/>
      <w:bookmarkEnd w:id="22"/>
    </w:p>
    <w:p>
      <w:pPr>
        <w:spacing w:line="600" w:lineRule="exact"/>
        <w:ind w:firstLine="640" w:firstLineChars="200"/>
        <w:outlineLvl w:val="1"/>
        <w:rPr>
          <w:rFonts w:hint="eastAsia" w:ascii="仿宋" w:hAnsi="仿宋" w:eastAsia="仿宋"/>
          <w:sz w:val="32"/>
          <w:szCs w:val="32"/>
        </w:rPr>
      </w:pPr>
      <w:r>
        <w:rPr>
          <w:rFonts w:ascii="仿宋" w:hAnsi="仿宋" w:eastAsia="仿宋"/>
          <w:sz w:val="32"/>
          <w:szCs w:val="32"/>
        </w:rPr>
        <w:t>20</w:t>
      </w:r>
      <w:r>
        <w:rPr>
          <w:rFonts w:hint="eastAsia" w:ascii="仿宋" w:hAnsi="仿宋" w:eastAsia="仿宋"/>
          <w:sz w:val="32"/>
          <w:szCs w:val="32"/>
        </w:rPr>
        <w:t>21年本年支出合计</w:t>
      </w:r>
      <w:r>
        <w:rPr>
          <w:rFonts w:hint="eastAsia" w:ascii="仿宋" w:hAnsi="仿宋" w:eastAsia="仿宋"/>
          <w:sz w:val="32"/>
          <w:szCs w:val="32"/>
          <w:lang w:val="en-US" w:eastAsia="zh-CN"/>
        </w:rPr>
        <w:t>396.65</w:t>
      </w:r>
      <w:r>
        <w:rPr>
          <w:rFonts w:hint="eastAsia" w:ascii="仿宋" w:hAnsi="仿宋" w:eastAsia="仿宋"/>
          <w:sz w:val="32"/>
          <w:szCs w:val="32"/>
        </w:rPr>
        <w:t>万元，其中：基本支出</w:t>
      </w:r>
      <w:r>
        <w:rPr>
          <w:rFonts w:hint="eastAsia" w:ascii="仿宋" w:hAnsi="仿宋" w:eastAsia="仿宋"/>
          <w:sz w:val="32"/>
          <w:szCs w:val="32"/>
          <w:lang w:val="en-US" w:eastAsia="zh-CN"/>
        </w:rPr>
        <w:t>320.73</w:t>
      </w:r>
      <w:r>
        <w:rPr>
          <w:rFonts w:hint="eastAsia" w:ascii="仿宋" w:hAnsi="仿宋" w:eastAsia="仿宋"/>
          <w:sz w:val="32"/>
          <w:szCs w:val="32"/>
        </w:rPr>
        <w:t>万元，占</w:t>
      </w:r>
      <w:r>
        <w:rPr>
          <w:rFonts w:hint="eastAsia" w:ascii="仿宋" w:hAnsi="仿宋" w:eastAsia="仿宋"/>
          <w:sz w:val="32"/>
          <w:szCs w:val="32"/>
          <w:lang w:val="en-US" w:eastAsia="zh-CN"/>
        </w:rPr>
        <w:t>80.86</w:t>
      </w:r>
      <w:r>
        <w:rPr>
          <w:rFonts w:ascii="仿宋" w:hAnsi="仿宋" w:eastAsia="仿宋"/>
          <w:sz w:val="32"/>
          <w:szCs w:val="32"/>
        </w:rPr>
        <w:t>%</w:t>
      </w:r>
      <w:r>
        <w:rPr>
          <w:rFonts w:hint="eastAsia" w:ascii="仿宋" w:hAnsi="仿宋" w:eastAsia="仿宋"/>
          <w:sz w:val="32"/>
          <w:szCs w:val="32"/>
        </w:rPr>
        <w:t>；项目支出</w:t>
      </w:r>
      <w:r>
        <w:rPr>
          <w:rFonts w:hint="eastAsia" w:ascii="仿宋" w:hAnsi="仿宋" w:eastAsia="仿宋"/>
          <w:sz w:val="32"/>
          <w:szCs w:val="32"/>
          <w:lang w:val="en-US" w:eastAsia="zh-CN"/>
        </w:rPr>
        <w:t>75.92</w:t>
      </w:r>
      <w:r>
        <w:rPr>
          <w:rFonts w:hint="eastAsia" w:ascii="仿宋" w:hAnsi="仿宋" w:eastAsia="仿宋"/>
          <w:sz w:val="32"/>
          <w:szCs w:val="32"/>
        </w:rPr>
        <w:t>万元，占</w:t>
      </w:r>
      <w:r>
        <w:rPr>
          <w:rFonts w:hint="eastAsia" w:ascii="仿宋" w:hAnsi="仿宋" w:eastAsia="仿宋"/>
          <w:sz w:val="32"/>
          <w:szCs w:val="32"/>
          <w:lang w:val="en-US" w:eastAsia="zh-CN"/>
        </w:rPr>
        <w:t>19.14</w:t>
      </w:r>
      <w:r>
        <w:rPr>
          <w:rFonts w:ascii="仿宋" w:hAnsi="仿宋" w:eastAsia="仿宋"/>
          <w:sz w:val="32"/>
          <w:szCs w:val="32"/>
        </w:rPr>
        <w:t>%</w:t>
      </w:r>
      <w:r>
        <w:rPr>
          <w:rFonts w:hint="eastAsia" w:ascii="仿宋" w:hAnsi="仿宋" w:eastAsia="仿宋"/>
          <w:sz w:val="32"/>
          <w:szCs w:val="32"/>
        </w:rPr>
        <w:t>；上缴上级支出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；经营支出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；对附属单位补助支出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w:t>
      </w:r>
    </w:p>
    <w:p>
      <w:pPr>
        <w:pStyle w:val="2"/>
      </w:pPr>
      <w:r>
        <w:drawing>
          <wp:inline distT="0" distB="0" distL="114300" distR="114300">
            <wp:extent cx="5272405" cy="3176270"/>
            <wp:effectExtent l="38735" t="18415" r="41910" b="62865"/>
            <wp:docPr id="5"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spacing w:line="600" w:lineRule="exact"/>
        <w:ind w:firstLine="643" w:firstLineChars="200"/>
        <w:outlineLvl w:val="1"/>
        <w:rPr>
          <w:rFonts w:ascii="仿宋" w:hAnsi="仿宋" w:eastAsia="仿宋"/>
          <w:b/>
          <w:sz w:val="32"/>
          <w:szCs w:val="32"/>
        </w:rPr>
      </w:pPr>
      <w:r>
        <w:rPr>
          <w:rFonts w:hint="eastAsia" w:ascii="仿宋" w:hAnsi="仿宋" w:eastAsia="仿宋"/>
          <w:b/>
          <w:sz w:val="32"/>
          <w:szCs w:val="32"/>
        </w:rPr>
        <w:t>（注：数据来源于财决</w:t>
      </w:r>
      <w:r>
        <w:rPr>
          <w:rFonts w:ascii="仿宋" w:hAnsi="仿宋" w:eastAsia="仿宋"/>
          <w:b/>
          <w:sz w:val="32"/>
          <w:szCs w:val="32"/>
        </w:rPr>
        <w:t>04</w:t>
      </w:r>
      <w:r>
        <w:rPr>
          <w:rFonts w:hint="eastAsia" w:ascii="仿宋" w:hAnsi="仿宋" w:eastAsia="仿宋"/>
          <w:b/>
          <w:sz w:val="32"/>
          <w:szCs w:val="32"/>
        </w:rPr>
        <w:t>表，仅罗列本单位涉及的支出。）</w:t>
      </w:r>
    </w:p>
    <w:p>
      <w:pPr>
        <w:spacing w:line="600" w:lineRule="exact"/>
        <w:ind w:firstLine="640"/>
        <w:rPr>
          <w:rFonts w:ascii="仿宋" w:hAnsi="仿宋" w:eastAsia="仿宋"/>
          <w:sz w:val="32"/>
          <w:szCs w:val="32"/>
          <w:shd w:val="pct10" w:color="auto" w:fill="FFFFFF"/>
        </w:rPr>
      </w:pPr>
    </w:p>
    <w:p>
      <w:pPr>
        <w:spacing w:line="600" w:lineRule="exact"/>
        <w:ind w:firstLine="640" w:firstLineChars="200"/>
        <w:rPr>
          <w:rFonts w:ascii="仿宋" w:hAnsi="仿宋" w:eastAsia="仿宋"/>
          <w:sz w:val="32"/>
          <w:szCs w:val="32"/>
        </w:rPr>
      </w:pPr>
      <w:r>
        <w:rPr>
          <w:rFonts w:hint="eastAsia" w:ascii="仿宋" w:hAnsi="仿宋" w:eastAsia="仿宋"/>
          <w:sz w:val="32"/>
          <w:szCs w:val="32"/>
        </w:rPr>
        <w:t>（图3：支出决算结构图）（饼状图）</w:t>
      </w:r>
    </w:p>
    <w:p>
      <w:pPr>
        <w:spacing w:line="600" w:lineRule="exact"/>
        <w:ind w:firstLine="640" w:firstLineChars="200"/>
        <w:rPr>
          <w:rFonts w:ascii="仿宋_GB2312" w:eastAsia="仿宋_GB2312"/>
          <w:sz w:val="32"/>
          <w:szCs w:val="32"/>
        </w:rPr>
      </w:pPr>
    </w:p>
    <w:p>
      <w:pPr>
        <w:spacing w:line="600" w:lineRule="exact"/>
        <w:ind w:firstLine="640" w:firstLineChars="200"/>
        <w:outlineLvl w:val="1"/>
        <w:rPr>
          <w:rStyle w:val="25"/>
          <w:rFonts w:ascii="黑体" w:hAnsi="黑体" w:eastAsia="黑体"/>
          <w:b w:val="0"/>
        </w:rPr>
      </w:pPr>
      <w:bookmarkStart w:id="23" w:name="_Toc15377208"/>
      <w:bookmarkStart w:id="24" w:name="_Toc15396606"/>
      <w:r>
        <w:rPr>
          <w:rFonts w:hint="eastAsia" w:ascii="黑体" w:hAnsi="黑体" w:eastAsia="黑体"/>
          <w:sz w:val="32"/>
          <w:szCs w:val="32"/>
        </w:rPr>
        <w:t>四、财</w:t>
      </w:r>
      <w:r>
        <w:rPr>
          <w:rStyle w:val="25"/>
          <w:rFonts w:hint="eastAsia" w:ascii="黑体" w:hAnsi="黑体" w:eastAsia="黑体"/>
          <w:b w:val="0"/>
        </w:rPr>
        <w:t>政拨款收入支出决算总体情况说明</w:t>
      </w:r>
      <w:bookmarkEnd w:id="23"/>
      <w:bookmarkEnd w:id="24"/>
    </w:p>
    <w:p>
      <w:pPr>
        <w:spacing w:line="600" w:lineRule="exact"/>
        <w:ind w:firstLine="640"/>
        <w:rPr>
          <w:rFonts w:hint="eastAsia" w:ascii="仿宋" w:hAnsi="仿宋" w:eastAsia="仿宋"/>
          <w:sz w:val="32"/>
          <w:szCs w:val="32"/>
          <w:lang w:val="en-US" w:eastAsia="zh-CN"/>
        </w:rPr>
      </w:pPr>
      <w:r>
        <w:rPr>
          <w:rFonts w:ascii="仿宋" w:hAnsi="仿宋" w:eastAsia="仿宋"/>
          <w:sz w:val="32"/>
          <w:szCs w:val="32"/>
        </w:rPr>
        <w:t>20</w:t>
      </w:r>
      <w:r>
        <w:rPr>
          <w:rFonts w:hint="eastAsia" w:ascii="仿宋" w:hAnsi="仿宋" w:eastAsia="仿宋"/>
          <w:sz w:val="32"/>
          <w:szCs w:val="32"/>
        </w:rPr>
        <w:t>21年财政拨款收、支总计</w:t>
      </w:r>
      <w:r>
        <w:rPr>
          <w:rFonts w:hint="eastAsia" w:ascii="仿宋" w:hAnsi="仿宋" w:eastAsia="仿宋"/>
          <w:sz w:val="32"/>
          <w:szCs w:val="32"/>
          <w:lang w:val="en-US" w:eastAsia="zh-CN"/>
        </w:rPr>
        <w:t>396.65</w:t>
      </w:r>
      <w:r>
        <w:rPr>
          <w:rFonts w:hint="eastAsia" w:ascii="仿宋" w:hAnsi="仿宋" w:eastAsia="仿宋"/>
          <w:sz w:val="32"/>
          <w:szCs w:val="32"/>
        </w:rPr>
        <w:t>万元。与</w:t>
      </w:r>
      <w:r>
        <w:rPr>
          <w:rFonts w:ascii="仿宋" w:hAnsi="仿宋" w:eastAsia="仿宋"/>
          <w:sz w:val="32"/>
          <w:szCs w:val="32"/>
        </w:rPr>
        <w:t>20</w:t>
      </w:r>
      <w:r>
        <w:rPr>
          <w:rFonts w:hint="eastAsia" w:ascii="仿宋" w:hAnsi="仿宋" w:eastAsia="仿宋"/>
          <w:sz w:val="32"/>
          <w:szCs w:val="32"/>
        </w:rPr>
        <w:t>20年</w:t>
      </w:r>
      <w:r>
        <w:rPr>
          <w:rFonts w:hint="eastAsia" w:ascii="仿宋" w:hAnsi="仿宋" w:eastAsia="仿宋"/>
          <w:sz w:val="32"/>
          <w:szCs w:val="32"/>
          <w:lang w:val="en-US" w:eastAsia="zh-CN"/>
        </w:rPr>
        <w:t>327.06万元</w:t>
      </w:r>
      <w:r>
        <w:rPr>
          <w:rFonts w:hint="eastAsia" w:ascii="仿宋" w:hAnsi="仿宋" w:eastAsia="仿宋"/>
          <w:sz w:val="32"/>
          <w:szCs w:val="32"/>
        </w:rPr>
        <w:t>相比，财政拨款收、支总计各增加</w:t>
      </w:r>
      <w:r>
        <w:rPr>
          <w:rFonts w:hint="eastAsia" w:ascii="仿宋" w:hAnsi="仿宋" w:eastAsia="仿宋"/>
          <w:sz w:val="32"/>
          <w:szCs w:val="32"/>
          <w:lang w:val="en-US" w:eastAsia="zh-CN"/>
        </w:rPr>
        <w:t>69.59</w:t>
      </w:r>
      <w:r>
        <w:rPr>
          <w:rFonts w:hint="eastAsia" w:ascii="仿宋" w:hAnsi="仿宋" w:eastAsia="仿宋"/>
          <w:sz w:val="32"/>
          <w:szCs w:val="32"/>
        </w:rPr>
        <w:t>万元，增长</w:t>
      </w:r>
      <w:r>
        <w:rPr>
          <w:rFonts w:hint="eastAsia" w:ascii="仿宋" w:hAnsi="仿宋" w:eastAsia="仿宋"/>
          <w:sz w:val="32"/>
          <w:szCs w:val="32"/>
          <w:lang w:val="en-US" w:eastAsia="zh-CN"/>
        </w:rPr>
        <w:t>21.28</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val="en-US" w:eastAsia="zh-CN"/>
        </w:rPr>
        <w:t>2021年学校学校规模变大、学生增加较多和在职人员工资逐年提高。</w:t>
      </w:r>
    </w:p>
    <w:p>
      <w:pPr>
        <w:spacing w:line="600" w:lineRule="exact"/>
        <w:ind w:firstLine="640"/>
        <w:rPr>
          <w:rFonts w:hint="eastAsia" w:ascii="仿宋" w:hAnsi="仿宋" w:eastAsia="仿宋"/>
          <w:sz w:val="32"/>
          <w:szCs w:val="32"/>
          <w:lang w:val="en-US" w:eastAsia="zh-CN"/>
        </w:rPr>
      </w:pPr>
    </w:p>
    <w:p>
      <w:pPr>
        <w:spacing w:line="600" w:lineRule="exact"/>
        <w:ind w:firstLine="640"/>
        <w:rPr>
          <w:rFonts w:hint="eastAsia" w:ascii="仿宋" w:hAnsi="仿宋" w:eastAsia="仿宋"/>
          <w:sz w:val="32"/>
          <w:szCs w:val="32"/>
          <w:lang w:val="en-US" w:eastAsia="zh-CN"/>
        </w:rPr>
      </w:pPr>
    </w:p>
    <w:p>
      <w:pPr>
        <w:pStyle w:val="2"/>
        <w:rPr>
          <w:rFonts w:hint="eastAsia" w:ascii="仿宋" w:hAnsi="仿宋" w:eastAsia="仿宋"/>
          <w:sz w:val="32"/>
          <w:szCs w:val="32"/>
          <w:lang w:val="en-US" w:eastAsia="zh-CN"/>
        </w:rPr>
      </w:pPr>
      <w:r>
        <w:drawing>
          <wp:inline distT="0" distB="0" distL="114300" distR="114300">
            <wp:extent cx="5270500" cy="3061970"/>
            <wp:effectExtent l="38735" t="18415" r="43815" b="62865"/>
            <wp:docPr id="6"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spacing w:line="600" w:lineRule="exact"/>
        <w:ind w:firstLine="640"/>
        <w:rPr>
          <w:rFonts w:ascii="仿宋" w:hAnsi="仿宋" w:eastAsia="仿宋"/>
          <w:sz w:val="32"/>
          <w:szCs w:val="32"/>
        </w:rPr>
      </w:pPr>
      <w:r>
        <w:rPr>
          <w:rFonts w:hint="eastAsia" w:ascii="仿宋" w:hAnsi="仿宋" w:eastAsia="仿宋"/>
          <w:b/>
          <w:sz w:val="32"/>
          <w:szCs w:val="32"/>
        </w:rPr>
        <w:t>（注：数据来源于财决</w:t>
      </w:r>
      <w:r>
        <w:rPr>
          <w:rFonts w:ascii="仿宋" w:hAnsi="仿宋" w:eastAsia="仿宋"/>
          <w:b/>
          <w:sz w:val="32"/>
          <w:szCs w:val="32"/>
        </w:rPr>
        <w:t>01-</w:t>
      </w:r>
      <w:r>
        <w:rPr>
          <w:rFonts w:hint="eastAsia" w:ascii="仿宋" w:hAnsi="仿宋" w:eastAsia="仿宋"/>
          <w:sz w:val="32"/>
          <w:szCs w:val="32"/>
        </w:rPr>
        <w:t>（图4：财政拨款收、支决算总计变动情况）（柱状图）</w:t>
      </w:r>
    </w:p>
    <w:p>
      <w:pPr>
        <w:spacing w:line="600" w:lineRule="exact"/>
        <w:ind w:firstLine="640"/>
        <w:rPr>
          <w:rFonts w:ascii="仿宋" w:hAnsi="仿宋" w:eastAsia="仿宋"/>
          <w:b/>
          <w:sz w:val="32"/>
          <w:szCs w:val="32"/>
        </w:rPr>
      </w:pPr>
    </w:p>
    <w:p>
      <w:pPr>
        <w:spacing w:line="600" w:lineRule="exact"/>
        <w:ind w:firstLine="640" w:firstLineChars="200"/>
        <w:outlineLvl w:val="1"/>
        <w:rPr>
          <w:rStyle w:val="25"/>
          <w:rFonts w:ascii="黑体" w:hAnsi="黑体" w:eastAsia="黑体"/>
          <w:b w:val="0"/>
        </w:rPr>
      </w:pPr>
      <w:bookmarkStart w:id="25" w:name="_Toc15377209"/>
      <w:bookmarkStart w:id="26" w:name="_Toc15396607"/>
      <w:r>
        <w:rPr>
          <w:rFonts w:hint="eastAsia" w:ascii="黑体" w:hAnsi="黑体" w:eastAsia="黑体"/>
          <w:sz w:val="32"/>
          <w:szCs w:val="32"/>
        </w:rPr>
        <w:t>五、</w:t>
      </w:r>
      <w:r>
        <w:rPr>
          <w:rFonts w:hint="eastAsia" w:ascii="黑体" w:hAnsi="黑体" w:eastAsia="黑体"/>
          <w:b/>
          <w:sz w:val="32"/>
          <w:szCs w:val="32"/>
        </w:rPr>
        <w:t>一</w:t>
      </w:r>
      <w:r>
        <w:rPr>
          <w:rStyle w:val="25"/>
          <w:rFonts w:hint="eastAsia" w:ascii="黑体" w:hAnsi="黑体" w:eastAsia="黑体"/>
          <w:b w:val="0"/>
        </w:rPr>
        <w:t>般公共预算财政拨款支出决算情况说明</w:t>
      </w:r>
      <w:bookmarkEnd w:id="25"/>
      <w:bookmarkEnd w:id="26"/>
    </w:p>
    <w:p>
      <w:pPr>
        <w:spacing w:line="600" w:lineRule="exact"/>
        <w:ind w:firstLine="643" w:firstLineChars="200"/>
        <w:outlineLvl w:val="2"/>
        <w:rPr>
          <w:rFonts w:ascii="仿宋" w:hAnsi="仿宋" w:eastAsia="仿宋"/>
          <w:b/>
          <w:sz w:val="32"/>
          <w:szCs w:val="32"/>
        </w:rPr>
      </w:pPr>
      <w:bookmarkStart w:id="27" w:name="_Toc15377210"/>
      <w:r>
        <w:rPr>
          <w:rFonts w:hint="eastAsia" w:ascii="仿宋" w:hAnsi="仿宋" w:eastAsia="仿宋"/>
          <w:b/>
          <w:sz w:val="32"/>
          <w:szCs w:val="32"/>
        </w:rPr>
        <w:t>（一）一般公共预算财政拨款支出决算总体情况</w:t>
      </w:r>
      <w:bookmarkEnd w:id="27"/>
    </w:p>
    <w:p>
      <w:pPr>
        <w:spacing w:line="600" w:lineRule="exact"/>
        <w:ind w:firstLine="640" w:firstLineChars="200"/>
        <w:rPr>
          <w:rFonts w:hint="eastAsia" w:ascii="仿宋" w:hAnsi="仿宋" w:eastAsia="仿宋"/>
          <w:sz w:val="32"/>
          <w:szCs w:val="32"/>
          <w:lang w:val="en-US" w:eastAsia="zh-CN"/>
        </w:rPr>
      </w:pPr>
      <w:r>
        <w:rPr>
          <w:rFonts w:ascii="仿宋" w:hAnsi="仿宋" w:eastAsia="仿宋"/>
          <w:sz w:val="32"/>
          <w:szCs w:val="32"/>
        </w:rPr>
        <w:t>20</w:t>
      </w:r>
      <w:r>
        <w:rPr>
          <w:rFonts w:hint="eastAsia" w:ascii="仿宋" w:hAnsi="仿宋" w:eastAsia="仿宋"/>
          <w:sz w:val="32"/>
          <w:szCs w:val="32"/>
        </w:rPr>
        <w:t>21年一般公共预算财政拨款支出</w:t>
      </w:r>
      <w:r>
        <w:rPr>
          <w:rFonts w:hint="eastAsia" w:ascii="仿宋" w:hAnsi="仿宋" w:eastAsia="仿宋"/>
          <w:sz w:val="32"/>
          <w:szCs w:val="32"/>
          <w:lang w:val="en-US" w:eastAsia="zh-CN"/>
        </w:rPr>
        <w:t>396.65</w:t>
      </w:r>
      <w:r>
        <w:rPr>
          <w:rFonts w:hint="eastAsia" w:ascii="仿宋" w:hAnsi="仿宋" w:eastAsia="仿宋"/>
          <w:sz w:val="32"/>
          <w:szCs w:val="32"/>
        </w:rPr>
        <w:t>万元，占本年支出合计的</w:t>
      </w:r>
      <w:r>
        <w:rPr>
          <w:rFonts w:hint="eastAsia" w:ascii="仿宋" w:hAnsi="仿宋" w:eastAsia="仿宋"/>
          <w:sz w:val="32"/>
          <w:szCs w:val="32"/>
          <w:lang w:val="en-US" w:eastAsia="zh-CN"/>
        </w:rPr>
        <w:t>100</w:t>
      </w:r>
      <w:r>
        <w:rPr>
          <w:rFonts w:ascii="仿宋" w:hAnsi="仿宋" w:eastAsia="仿宋"/>
          <w:sz w:val="32"/>
          <w:szCs w:val="32"/>
        </w:rPr>
        <w:t>%</w:t>
      </w:r>
      <w:r>
        <w:rPr>
          <w:rFonts w:hint="eastAsia" w:ascii="仿宋" w:hAnsi="仿宋" w:eastAsia="仿宋"/>
          <w:sz w:val="32"/>
          <w:szCs w:val="32"/>
        </w:rPr>
        <w:t>。与</w:t>
      </w:r>
      <w:r>
        <w:rPr>
          <w:rFonts w:ascii="仿宋" w:hAnsi="仿宋" w:eastAsia="仿宋"/>
          <w:sz w:val="32"/>
          <w:szCs w:val="32"/>
        </w:rPr>
        <w:t>20</w:t>
      </w:r>
      <w:r>
        <w:rPr>
          <w:rFonts w:hint="eastAsia" w:ascii="仿宋" w:hAnsi="仿宋" w:eastAsia="仿宋"/>
          <w:sz w:val="32"/>
          <w:szCs w:val="32"/>
        </w:rPr>
        <w:t>20年相比，一般公共预算财政拨款支出增加</w:t>
      </w:r>
      <w:r>
        <w:rPr>
          <w:rFonts w:hint="eastAsia" w:ascii="仿宋" w:hAnsi="仿宋" w:eastAsia="仿宋"/>
          <w:sz w:val="32"/>
          <w:szCs w:val="32"/>
          <w:lang w:val="en-US" w:eastAsia="zh-CN"/>
        </w:rPr>
        <w:t>69.59</w:t>
      </w:r>
      <w:r>
        <w:rPr>
          <w:rFonts w:hint="eastAsia" w:ascii="仿宋" w:hAnsi="仿宋" w:eastAsia="仿宋"/>
          <w:sz w:val="32"/>
          <w:szCs w:val="32"/>
        </w:rPr>
        <w:t>万元，增长</w:t>
      </w:r>
      <w:r>
        <w:rPr>
          <w:rFonts w:hint="eastAsia" w:ascii="仿宋" w:hAnsi="仿宋" w:eastAsia="仿宋"/>
          <w:sz w:val="32"/>
          <w:szCs w:val="32"/>
          <w:lang w:val="en-US" w:eastAsia="zh-CN"/>
        </w:rPr>
        <w:t>21.28</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val="en-US" w:eastAsia="zh-CN"/>
        </w:rPr>
        <w:t>学校规模变大，学生人数增长较快。</w:t>
      </w:r>
    </w:p>
    <w:p>
      <w:pPr>
        <w:spacing w:line="600" w:lineRule="exact"/>
        <w:rPr>
          <w:rFonts w:hint="eastAsia" w:ascii="仿宋" w:hAnsi="仿宋" w:eastAsia="仿宋"/>
          <w:sz w:val="32"/>
          <w:szCs w:val="32"/>
          <w:lang w:val="en-US" w:eastAsia="zh-CN"/>
        </w:rPr>
      </w:pPr>
      <w:r>
        <w:rPr>
          <w:rFonts w:hint="eastAsia" w:ascii="仿宋" w:hAnsi="仿宋" w:eastAsia="仿宋"/>
          <w:sz w:val="32"/>
          <w:szCs w:val="32"/>
          <w:lang w:val="en-US" w:eastAsia="zh-CN"/>
        </w:rPr>
        <w:t xml:space="preserve">  </w:t>
      </w:r>
    </w:p>
    <w:p>
      <w:pPr>
        <w:pStyle w:val="2"/>
        <w:rPr>
          <w:rFonts w:hint="eastAsia" w:ascii="仿宋" w:hAnsi="仿宋" w:eastAsia="仿宋"/>
          <w:sz w:val="32"/>
          <w:szCs w:val="32"/>
          <w:lang w:val="en-US" w:eastAsia="zh-CN"/>
        </w:rPr>
      </w:pPr>
      <w:r>
        <w:drawing>
          <wp:inline distT="0" distB="0" distL="114300" distR="114300">
            <wp:extent cx="5270500" cy="3061970"/>
            <wp:effectExtent l="38735" t="18415" r="43815" b="62865"/>
            <wp:docPr id="7"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pacing w:line="600" w:lineRule="exact"/>
        <w:ind w:firstLine="640" w:firstLineChars="200"/>
        <w:rPr>
          <w:rFonts w:ascii="仿宋" w:hAnsi="仿宋" w:eastAsia="仿宋"/>
          <w:sz w:val="32"/>
          <w:szCs w:val="32"/>
        </w:rPr>
      </w:pPr>
      <w:r>
        <w:rPr>
          <w:rFonts w:hint="eastAsia" w:ascii="仿宋" w:hAnsi="仿宋" w:eastAsia="仿宋"/>
          <w:sz w:val="32"/>
          <w:szCs w:val="32"/>
        </w:rPr>
        <w:t>（图5：一般公共预算财政拨款支出决算变动情况）（柱状图）</w:t>
      </w:r>
    </w:p>
    <w:p>
      <w:pPr>
        <w:spacing w:line="600" w:lineRule="exact"/>
        <w:ind w:firstLine="640" w:firstLineChars="200"/>
        <w:rPr>
          <w:rFonts w:ascii="仿宋" w:hAnsi="仿宋" w:eastAsia="仿宋"/>
          <w:sz w:val="32"/>
          <w:szCs w:val="32"/>
        </w:rPr>
      </w:pPr>
    </w:p>
    <w:p>
      <w:pPr>
        <w:spacing w:line="600" w:lineRule="exact"/>
        <w:ind w:firstLine="643" w:firstLineChars="200"/>
        <w:outlineLvl w:val="2"/>
        <w:rPr>
          <w:rFonts w:ascii="仿宋" w:hAnsi="仿宋" w:eastAsia="仿宋"/>
          <w:b/>
          <w:sz w:val="32"/>
          <w:szCs w:val="32"/>
        </w:rPr>
      </w:pPr>
      <w:bookmarkStart w:id="28" w:name="_Toc15377211"/>
      <w:r>
        <w:rPr>
          <w:rFonts w:hint="eastAsia" w:ascii="仿宋" w:hAnsi="仿宋" w:eastAsia="仿宋"/>
          <w:b/>
          <w:sz w:val="32"/>
          <w:szCs w:val="32"/>
        </w:rPr>
        <w:t>（二）一般公共预算财政拨款支出决算结构情况</w:t>
      </w:r>
      <w:bookmarkEnd w:id="28"/>
    </w:p>
    <w:p>
      <w:pPr>
        <w:spacing w:line="600" w:lineRule="exact"/>
        <w:ind w:firstLine="640"/>
        <w:rPr>
          <w:rFonts w:ascii="仿宋" w:hAnsi="仿宋" w:eastAsia="仿宋"/>
          <w:b/>
          <w:sz w:val="32"/>
          <w:szCs w:val="32"/>
        </w:rPr>
      </w:pPr>
      <w:r>
        <w:rPr>
          <w:rFonts w:ascii="仿宋" w:hAnsi="仿宋" w:eastAsia="仿宋"/>
          <w:sz w:val="32"/>
          <w:szCs w:val="32"/>
        </w:rPr>
        <w:t>20</w:t>
      </w:r>
      <w:r>
        <w:rPr>
          <w:rFonts w:hint="eastAsia" w:ascii="仿宋" w:hAnsi="仿宋" w:eastAsia="仿宋"/>
          <w:sz w:val="32"/>
          <w:szCs w:val="32"/>
        </w:rPr>
        <w:t>21年一般公共预算财政拨款支出</w:t>
      </w:r>
      <w:r>
        <w:rPr>
          <w:rFonts w:hint="eastAsia" w:ascii="仿宋" w:hAnsi="仿宋" w:eastAsia="仿宋"/>
          <w:sz w:val="32"/>
          <w:szCs w:val="32"/>
          <w:lang w:val="en-US" w:eastAsia="zh-CN"/>
        </w:rPr>
        <w:t>396.65</w:t>
      </w:r>
      <w:r>
        <w:rPr>
          <w:rFonts w:hint="eastAsia" w:ascii="仿宋" w:hAnsi="仿宋" w:eastAsia="仿宋"/>
          <w:sz w:val="32"/>
          <w:szCs w:val="32"/>
        </w:rPr>
        <w:t>万元，主要用于以下方面</w:t>
      </w:r>
      <w:r>
        <w:rPr>
          <w:rFonts w:ascii="仿宋" w:hAnsi="仿宋" w:eastAsia="仿宋"/>
          <w:sz w:val="32"/>
          <w:szCs w:val="32"/>
        </w:rPr>
        <w:t>:</w:t>
      </w:r>
      <w:r>
        <w:rPr>
          <w:rFonts w:hint="eastAsia" w:ascii="仿宋" w:hAnsi="仿宋" w:eastAsia="仿宋"/>
          <w:b/>
          <w:sz w:val="32"/>
          <w:szCs w:val="32"/>
        </w:rPr>
        <w:t>一般公共服务（类）</w:t>
      </w:r>
      <w:r>
        <w:rPr>
          <w:rFonts w:hint="eastAsia" w:ascii="仿宋" w:hAnsi="仿宋" w:eastAsia="仿宋"/>
          <w:sz w:val="32"/>
          <w:szCs w:val="32"/>
        </w:rPr>
        <w:t>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sz w:val="32"/>
          <w:szCs w:val="32"/>
        </w:rPr>
        <w:t>教育支出（类）</w:t>
      </w:r>
      <w:r>
        <w:rPr>
          <w:rFonts w:hint="eastAsia" w:ascii="仿宋" w:hAnsi="仿宋" w:eastAsia="仿宋"/>
          <w:sz w:val="32"/>
          <w:szCs w:val="32"/>
          <w:lang w:val="en-US" w:eastAsia="zh-CN"/>
        </w:rPr>
        <w:t>326.21</w:t>
      </w:r>
      <w:r>
        <w:rPr>
          <w:rFonts w:hint="eastAsia" w:ascii="仿宋" w:hAnsi="仿宋" w:eastAsia="仿宋"/>
          <w:sz w:val="32"/>
          <w:szCs w:val="32"/>
        </w:rPr>
        <w:t>万元，占</w:t>
      </w:r>
      <w:r>
        <w:rPr>
          <w:rFonts w:hint="eastAsia" w:ascii="仿宋" w:hAnsi="仿宋" w:eastAsia="仿宋"/>
          <w:sz w:val="32"/>
          <w:szCs w:val="32"/>
          <w:lang w:val="en-US" w:eastAsia="zh-CN"/>
        </w:rPr>
        <w:t>82.24</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sz w:val="32"/>
          <w:szCs w:val="32"/>
        </w:rPr>
        <w:t>科学技术（类）</w:t>
      </w:r>
      <w:r>
        <w:rPr>
          <w:rFonts w:hint="eastAsia" w:ascii="仿宋" w:hAnsi="仿宋" w:eastAsia="仿宋"/>
          <w:sz w:val="32"/>
          <w:szCs w:val="32"/>
        </w:rPr>
        <w:t>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文化旅游体育与传媒（类）支出</w:t>
      </w:r>
      <w:r>
        <w:rPr>
          <w:rFonts w:hint="eastAsia" w:ascii="仿宋" w:hAnsi="仿宋" w:eastAsia="仿宋"/>
          <w:b/>
          <w:bCs/>
          <w:sz w:val="32"/>
          <w:szCs w:val="32"/>
          <w:lang w:val="en-US" w:eastAsia="zh-CN"/>
        </w:rPr>
        <w:t>0</w:t>
      </w:r>
      <w:r>
        <w:rPr>
          <w:rFonts w:hint="eastAsia" w:ascii="仿宋" w:hAnsi="仿宋" w:eastAsia="仿宋"/>
          <w:b/>
          <w:bCs/>
          <w:sz w:val="32"/>
          <w:szCs w:val="32"/>
        </w:rPr>
        <w:t>万元，占</w:t>
      </w:r>
      <w:r>
        <w:rPr>
          <w:rFonts w:hint="eastAsia" w:ascii="仿宋" w:hAnsi="仿宋" w:eastAsia="仿宋"/>
          <w:b/>
          <w:bCs/>
          <w:sz w:val="32"/>
          <w:szCs w:val="32"/>
          <w:lang w:val="en-US" w:eastAsia="zh-CN"/>
        </w:rPr>
        <w:t>0</w:t>
      </w:r>
      <w:r>
        <w:rPr>
          <w:rFonts w:ascii="仿宋" w:hAnsi="仿宋" w:eastAsia="仿宋"/>
          <w:b/>
          <w:bCs/>
          <w:sz w:val="32"/>
          <w:szCs w:val="32"/>
        </w:rPr>
        <w:t>%</w:t>
      </w:r>
      <w:r>
        <w:rPr>
          <w:rFonts w:hint="eastAsia" w:ascii="仿宋" w:hAnsi="仿宋" w:eastAsia="仿宋"/>
          <w:sz w:val="32"/>
          <w:szCs w:val="32"/>
        </w:rPr>
        <w:t>；</w:t>
      </w:r>
      <w:r>
        <w:rPr>
          <w:rFonts w:hint="eastAsia" w:ascii="仿宋" w:hAnsi="仿宋" w:eastAsia="仿宋"/>
          <w:b/>
          <w:sz w:val="32"/>
          <w:szCs w:val="32"/>
        </w:rPr>
        <w:t>社会保障和就业（类）</w:t>
      </w:r>
      <w:r>
        <w:rPr>
          <w:rFonts w:hint="eastAsia" w:ascii="仿宋" w:hAnsi="仿宋" w:eastAsia="仿宋"/>
          <w:sz w:val="32"/>
          <w:szCs w:val="32"/>
        </w:rPr>
        <w:t>支出</w:t>
      </w:r>
      <w:r>
        <w:rPr>
          <w:rFonts w:hint="eastAsia" w:ascii="仿宋" w:hAnsi="仿宋" w:eastAsia="仿宋"/>
          <w:sz w:val="32"/>
          <w:szCs w:val="32"/>
          <w:lang w:val="en-US" w:eastAsia="zh-CN"/>
        </w:rPr>
        <w:t>37.89</w:t>
      </w:r>
      <w:r>
        <w:rPr>
          <w:rFonts w:hint="eastAsia" w:ascii="仿宋" w:hAnsi="仿宋" w:eastAsia="仿宋"/>
          <w:sz w:val="32"/>
          <w:szCs w:val="32"/>
        </w:rPr>
        <w:t>万元，占</w:t>
      </w:r>
      <w:r>
        <w:rPr>
          <w:rFonts w:hint="eastAsia" w:ascii="仿宋" w:hAnsi="仿宋" w:eastAsia="仿宋"/>
          <w:sz w:val="32"/>
          <w:szCs w:val="32"/>
          <w:lang w:val="en-US" w:eastAsia="zh-CN"/>
        </w:rPr>
        <w:t>9.55</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卫生健康支出</w:t>
      </w:r>
      <w:r>
        <w:rPr>
          <w:rFonts w:hint="eastAsia" w:ascii="仿宋" w:hAnsi="仿宋" w:eastAsia="仿宋"/>
          <w:sz w:val="32"/>
          <w:szCs w:val="32"/>
          <w:lang w:val="en-US" w:eastAsia="zh-CN"/>
        </w:rPr>
        <w:t>9.1</w:t>
      </w:r>
      <w:r>
        <w:rPr>
          <w:rFonts w:hint="eastAsia" w:ascii="仿宋" w:hAnsi="仿宋" w:eastAsia="仿宋"/>
          <w:sz w:val="32"/>
          <w:szCs w:val="32"/>
        </w:rPr>
        <w:t>万元，占</w:t>
      </w:r>
      <w:r>
        <w:rPr>
          <w:rFonts w:hint="eastAsia" w:ascii="仿宋" w:hAnsi="仿宋" w:eastAsia="仿宋"/>
          <w:sz w:val="32"/>
          <w:szCs w:val="32"/>
          <w:lang w:val="en-US" w:eastAsia="zh-CN"/>
        </w:rPr>
        <w:t>2.29</w:t>
      </w:r>
      <w:r>
        <w:rPr>
          <w:rFonts w:ascii="仿宋" w:hAnsi="仿宋" w:eastAsia="仿宋"/>
          <w:sz w:val="32"/>
          <w:szCs w:val="32"/>
        </w:rPr>
        <w:t>%</w:t>
      </w:r>
      <w:r>
        <w:rPr>
          <w:rFonts w:hint="eastAsia" w:ascii="仿宋" w:hAnsi="仿宋" w:eastAsia="仿宋"/>
          <w:sz w:val="32"/>
          <w:szCs w:val="32"/>
        </w:rPr>
        <w:t>；住房保障支出</w:t>
      </w:r>
      <w:r>
        <w:rPr>
          <w:rFonts w:hint="eastAsia" w:ascii="仿宋" w:hAnsi="仿宋" w:eastAsia="仿宋"/>
          <w:sz w:val="32"/>
          <w:szCs w:val="32"/>
          <w:lang w:val="en-US" w:eastAsia="zh-CN"/>
        </w:rPr>
        <w:t>23.44</w:t>
      </w:r>
      <w:r>
        <w:rPr>
          <w:rFonts w:hint="eastAsia" w:ascii="仿宋" w:hAnsi="仿宋" w:eastAsia="仿宋"/>
          <w:sz w:val="32"/>
          <w:szCs w:val="32"/>
        </w:rPr>
        <w:t>万元，占</w:t>
      </w:r>
      <w:r>
        <w:rPr>
          <w:rFonts w:hint="eastAsia" w:ascii="仿宋" w:hAnsi="仿宋" w:eastAsia="仿宋"/>
          <w:sz w:val="32"/>
          <w:szCs w:val="32"/>
          <w:lang w:val="en-US" w:eastAsia="zh-CN"/>
        </w:rPr>
        <w:t>5.91</w:t>
      </w:r>
      <w:r>
        <w:rPr>
          <w:rFonts w:ascii="仿宋" w:hAnsi="仿宋" w:eastAsia="仿宋"/>
          <w:sz w:val="32"/>
          <w:szCs w:val="32"/>
        </w:rPr>
        <w:t>%</w:t>
      </w:r>
      <w:r>
        <w:rPr>
          <w:rFonts w:hint="eastAsia" w:ascii="仿宋" w:hAnsi="仿宋" w:eastAsia="仿宋"/>
          <w:sz w:val="32"/>
          <w:szCs w:val="32"/>
        </w:rPr>
        <w:t>。</w:t>
      </w:r>
    </w:p>
    <w:p>
      <w:pPr>
        <w:spacing w:line="600" w:lineRule="exact"/>
        <w:ind w:firstLine="640"/>
        <w:rPr>
          <w:rFonts w:hint="eastAsia" w:ascii="仿宋" w:hAnsi="仿宋" w:eastAsia="仿宋"/>
          <w:b/>
          <w:sz w:val="32"/>
          <w:szCs w:val="32"/>
        </w:rPr>
      </w:pPr>
    </w:p>
    <w:p>
      <w:pPr>
        <w:spacing w:line="600" w:lineRule="exact"/>
        <w:ind w:firstLine="640"/>
        <w:rPr>
          <w:rFonts w:hint="eastAsia" w:ascii="仿宋" w:hAnsi="仿宋" w:eastAsia="仿宋"/>
          <w:b/>
          <w:sz w:val="32"/>
          <w:szCs w:val="32"/>
        </w:rPr>
      </w:pPr>
    </w:p>
    <w:p>
      <w:pPr>
        <w:spacing w:line="600" w:lineRule="exact"/>
        <w:ind w:firstLine="640"/>
        <w:rPr>
          <w:rFonts w:hint="eastAsia" w:ascii="仿宋" w:hAnsi="仿宋" w:eastAsia="仿宋"/>
          <w:b/>
          <w:sz w:val="32"/>
          <w:szCs w:val="32"/>
        </w:rPr>
      </w:pPr>
    </w:p>
    <w:p>
      <w:pPr>
        <w:spacing w:line="600" w:lineRule="exact"/>
        <w:ind w:firstLine="640"/>
        <w:rPr>
          <w:rFonts w:hint="eastAsia" w:ascii="仿宋" w:hAnsi="仿宋" w:eastAsia="仿宋"/>
          <w:b/>
          <w:sz w:val="32"/>
          <w:szCs w:val="32"/>
          <w:lang w:val="en-US" w:eastAsia="zh-CN"/>
        </w:rPr>
      </w:pPr>
      <w:r>
        <w:rPr>
          <w:rFonts w:hint="eastAsia" w:ascii="仿宋" w:hAnsi="仿宋" w:eastAsia="仿宋"/>
          <w:b/>
          <w:sz w:val="32"/>
          <w:szCs w:val="32"/>
          <w:lang w:val="en-US" w:eastAsia="zh-CN"/>
        </w:rPr>
        <w:t xml:space="preserve">  </w:t>
      </w:r>
    </w:p>
    <w:p>
      <w:pPr>
        <w:pStyle w:val="2"/>
        <w:rPr>
          <w:rFonts w:hint="eastAsia" w:ascii="仿宋" w:hAnsi="仿宋" w:eastAsia="仿宋"/>
          <w:b/>
          <w:sz w:val="32"/>
          <w:szCs w:val="32"/>
          <w:lang w:val="en-US" w:eastAsia="zh-CN"/>
        </w:rPr>
      </w:pPr>
      <w:r>
        <w:drawing>
          <wp:inline distT="0" distB="0" distL="114300" distR="114300">
            <wp:extent cx="5269230" cy="2953385"/>
            <wp:effectExtent l="38735" t="18415" r="45085" b="76200"/>
            <wp:docPr id="9"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pStyle w:val="2"/>
        <w:rPr>
          <w:rFonts w:hint="default" w:ascii="仿宋" w:hAnsi="仿宋" w:eastAsia="仿宋"/>
          <w:b/>
          <w:sz w:val="32"/>
          <w:szCs w:val="32"/>
          <w:lang w:val="en-US" w:eastAsia="zh-CN"/>
        </w:rPr>
      </w:pPr>
    </w:p>
    <w:p>
      <w:pPr>
        <w:spacing w:line="600" w:lineRule="exact"/>
        <w:ind w:firstLine="640"/>
        <w:rPr>
          <w:rFonts w:ascii="仿宋" w:hAnsi="仿宋" w:eastAsia="仿宋"/>
          <w:b/>
          <w:sz w:val="32"/>
          <w:szCs w:val="32"/>
        </w:rPr>
      </w:pPr>
      <w:r>
        <w:rPr>
          <w:rFonts w:hint="eastAsia" w:ascii="仿宋" w:hAnsi="仿宋" w:eastAsia="仿宋"/>
          <w:b/>
          <w:sz w:val="32"/>
          <w:szCs w:val="32"/>
        </w:rPr>
        <w:t>（注：数据来源于财决01-1表，仅罗列本单位涉及的全部功能分类科目，至类级。）</w:t>
      </w:r>
    </w:p>
    <w:p>
      <w:pPr>
        <w:spacing w:line="600" w:lineRule="exact"/>
        <w:ind w:firstLine="640"/>
        <w:rPr>
          <w:rFonts w:ascii="仿宋" w:hAnsi="仿宋" w:eastAsia="仿宋"/>
          <w:sz w:val="32"/>
          <w:szCs w:val="32"/>
        </w:rPr>
      </w:pPr>
    </w:p>
    <w:p>
      <w:pPr>
        <w:spacing w:line="600" w:lineRule="exact"/>
        <w:ind w:firstLine="640" w:firstLineChars="200"/>
        <w:rPr>
          <w:rFonts w:ascii="仿宋" w:hAnsi="仿宋" w:eastAsia="仿宋"/>
          <w:sz w:val="32"/>
          <w:szCs w:val="32"/>
        </w:rPr>
      </w:pPr>
      <w:r>
        <w:rPr>
          <w:rFonts w:hint="eastAsia" w:ascii="仿宋" w:hAnsi="仿宋" w:eastAsia="仿宋"/>
          <w:sz w:val="32"/>
          <w:szCs w:val="32"/>
        </w:rPr>
        <w:t>（图6：一般公共预算财政拨款支出决算结构）（饼状图）</w:t>
      </w:r>
    </w:p>
    <w:p>
      <w:pPr>
        <w:spacing w:line="600" w:lineRule="exact"/>
        <w:ind w:firstLine="640" w:firstLineChars="200"/>
        <w:rPr>
          <w:rFonts w:ascii="仿宋" w:hAnsi="仿宋" w:eastAsia="仿宋"/>
          <w:sz w:val="32"/>
          <w:szCs w:val="32"/>
        </w:rPr>
      </w:pPr>
    </w:p>
    <w:p>
      <w:pPr>
        <w:spacing w:line="600" w:lineRule="exact"/>
        <w:ind w:firstLine="643" w:firstLineChars="200"/>
        <w:outlineLvl w:val="2"/>
        <w:rPr>
          <w:rFonts w:ascii="仿宋" w:hAnsi="仿宋" w:eastAsia="仿宋"/>
          <w:b/>
          <w:sz w:val="32"/>
          <w:szCs w:val="32"/>
        </w:rPr>
      </w:pPr>
      <w:bookmarkStart w:id="29" w:name="_Toc15377212"/>
      <w:r>
        <w:rPr>
          <w:rFonts w:hint="eastAsia" w:ascii="仿宋" w:hAnsi="仿宋" w:eastAsia="仿宋"/>
          <w:b/>
          <w:sz w:val="32"/>
          <w:szCs w:val="32"/>
        </w:rPr>
        <w:t>（三）一般公共预算财政拨款支出决算具体情况</w:t>
      </w:r>
      <w:bookmarkEnd w:id="29"/>
    </w:p>
    <w:p>
      <w:pPr>
        <w:spacing w:line="600" w:lineRule="exact"/>
        <w:ind w:firstLine="643" w:firstLineChars="200"/>
        <w:outlineLvl w:val="2"/>
        <w:rPr>
          <w:rFonts w:ascii="仿宋" w:hAnsi="仿宋" w:eastAsia="仿宋"/>
          <w:sz w:val="32"/>
          <w:szCs w:val="32"/>
        </w:rPr>
      </w:pPr>
      <w:bookmarkStart w:id="30" w:name="_Toc15378460"/>
      <w:bookmarkStart w:id="31" w:name="_Toc15377213"/>
      <w:bookmarkStart w:id="32" w:name="_Toc15377444"/>
      <w:r>
        <w:rPr>
          <w:rFonts w:hint="eastAsia" w:ascii="仿宋" w:hAnsi="仿宋" w:eastAsia="仿宋"/>
          <w:b/>
          <w:sz w:val="32"/>
          <w:szCs w:val="32"/>
        </w:rPr>
        <w:t>2021年一般公共预算支出决算数为</w:t>
      </w:r>
      <w:r>
        <w:rPr>
          <w:rFonts w:hint="eastAsia" w:ascii="仿宋" w:hAnsi="仿宋" w:eastAsia="仿宋"/>
          <w:b/>
          <w:sz w:val="32"/>
          <w:szCs w:val="32"/>
          <w:lang w:val="en-US" w:eastAsia="zh-CN"/>
        </w:rPr>
        <w:t>396.65</w:t>
      </w:r>
      <w:r>
        <w:rPr>
          <w:rFonts w:hint="eastAsia" w:ascii="仿宋" w:hAnsi="仿宋" w:eastAsia="仿宋"/>
          <w:sz w:val="32"/>
          <w:szCs w:val="32"/>
        </w:rPr>
        <w:t>，</w:t>
      </w:r>
      <w:r>
        <w:rPr>
          <w:rStyle w:val="14"/>
          <w:rFonts w:hint="eastAsia" w:ascii="仿宋" w:hAnsi="仿宋" w:eastAsia="仿宋"/>
          <w:bCs/>
          <w:sz w:val="32"/>
          <w:szCs w:val="32"/>
        </w:rPr>
        <w:t>完成预算</w:t>
      </w:r>
      <w:r>
        <w:rPr>
          <w:rStyle w:val="14"/>
          <w:rFonts w:hint="eastAsia" w:ascii="仿宋" w:hAnsi="仿宋" w:eastAsia="仿宋"/>
          <w:bCs/>
          <w:sz w:val="32"/>
          <w:szCs w:val="32"/>
          <w:lang w:val="en-US" w:eastAsia="zh-CN"/>
        </w:rPr>
        <w:t>100</w:t>
      </w:r>
      <w:r>
        <w:rPr>
          <w:rStyle w:val="14"/>
          <w:rFonts w:ascii="仿宋" w:hAnsi="仿宋" w:eastAsia="仿宋"/>
          <w:bCs/>
          <w:sz w:val="32"/>
          <w:szCs w:val="32"/>
        </w:rPr>
        <w:t>%</w:t>
      </w:r>
      <w:r>
        <w:rPr>
          <w:rStyle w:val="14"/>
          <w:rFonts w:hint="eastAsia" w:ascii="仿宋" w:hAnsi="仿宋" w:eastAsia="仿宋"/>
          <w:bCs/>
          <w:sz w:val="32"/>
          <w:szCs w:val="32"/>
        </w:rPr>
        <w:t>。其中：</w:t>
      </w:r>
      <w:bookmarkEnd w:id="30"/>
      <w:bookmarkEnd w:id="31"/>
      <w:bookmarkEnd w:id="32"/>
    </w:p>
    <w:p>
      <w:pPr>
        <w:ind w:firstLine="643" w:firstLineChars="200"/>
        <w:rPr>
          <w:rFonts w:ascii="仿宋" w:hAnsi="仿宋" w:eastAsia="仿宋"/>
          <w:b/>
          <w:color w:val="000000"/>
          <w:sz w:val="32"/>
          <w:szCs w:val="32"/>
        </w:rPr>
      </w:pPr>
      <w:r>
        <w:rPr>
          <w:rStyle w:val="14"/>
          <w:rFonts w:hint="eastAsia" w:ascii="仿宋" w:hAnsi="仿宋" w:eastAsia="仿宋"/>
          <w:bCs/>
          <w:color w:val="000000"/>
          <w:sz w:val="32"/>
          <w:szCs w:val="32"/>
        </w:rPr>
        <w:t>1</w:t>
      </w:r>
      <w:r>
        <w:rPr>
          <w:rStyle w:val="14"/>
          <w:rFonts w:ascii="仿宋" w:hAnsi="仿宋" w:eastAsia="仿宋"/>
          <w:bCs/>
          <w:color w:val="000000"/>
          <w:sz w:val="32"/>
          <w:szCs w:val="32"/>
        </w:rPr>
        <w:t>.</w:t>
      </w:r>
      <w:r>
        <w:rPr>
          <w:rStyle w:val="14"/>
          <w:rFonts w:hint="eastAsia" w:ascii="仿宋" w:hAnsi="仿宋" w:eastAsia="仿宋"/>
          <w:bCs/>
          <w:color w:val="000000"/>
          <w:sz w:val="32"/>
          <w:szCs w:val="32"/>
        </w:rPr>
        <w:t>教育（类）财政事务（款）教育支出（项）</w:t>
      </w:r>
      <w:r>
        <w:rPr>
          <w:rStyle w:val="14"/>
          <w:rFonts w:ascii="仿宋" w:hAnsi="仿宋" w:eastAsia="仿宋"/>
          <w:bCs/>
          <w:color w:val="000000"/>
          <w:sz w:val="32"/>
          <w:szCs w:val="32"/>
        </w:rPr>
        <w:t>:</w:t>
      </w:r>
      <w:r>
        <w:rPr>
          <w:rStyle w:val="14"/>
          <w:rFonts w:ascii="仿宋" w:hAnsi="仿宋" w:eastAsia="仿宋"/>
          <w:b w:val="0"/>
          <w:bCs/>
          <w:color w:val="000000"/>
          <w:sz w:val="32"/>
          <w:szCs w:val="32"/>
        </w:rPr>
        <w:t xml:space="preserve"> </w:t>
      </w:r>
      <w:r>
        <w:rPr>
          <w:rStyle w:val="14"/>
          <w:rFonts w:hint="eastAsia" w:ascii="仿宋" w:hAnsi="仿宋" w:eastAsia="仿宋"/>
          <w:b w:val="0"/>
          <w:bCs/>
          <w:color w:val="000000"/>
          <w:sz w:val="32"/>
          <w:szCs w:val="32"/>
        </w:rPr>
        <w:t>支出决算为</w:t>
      </w:r>
      <w:r>
        <w:rPr>
          <w:rStyle w:val="14"/>
          <w:rFonts w:hint="eastAsia" w:ascii="仿宋" w:hAnsi="仿宋" w:eastAsia="仿宋"/>
          <w:b w:val="0"/>
          <w:bCs/>
          <w:color w:val="000000"/>
          <w:sz w:val="32"/>
          <w:szCs w:val="32"/>
          <w:lang w:val="en-US" w:eastAsia="zh-CN"/>
        </w:rPr>
        <w:t>326.21</w:t>
      </w:r>
      <w:r>
        <w:rPr>
          <w:rStyle w:val="14"/>
          <w:rFonts w:hint="eastAsia" w:ascii="仿宋" w:hAnsi="仿宋" w:eastAsia="仿宋"/>
          <w:b w:val="0"/>
          <w:bCs/>
          <w:color w:val="000000"/>
          <w:sz w:val="32"/>
          <w:szCs w:val="32"/>
        </w:rPr>
        <w:t>万元，完成预算</w:t>
      </w:r>
      <w:r>
        <w:rPr>
          <w:rStyle w:val="14"/>
          <w:rFonts w:hint="eastAsia" w:ascii="仿宋" w:hAnsi="仿宋" w:eastAsia="仿宋"/>
          <w:b w:val="0"/>
          <w:bCs/>
          <w:color w:val="000000"/>
          <w:sz w:val="32"/>
          <w:szCs w:val="32"/>
          <w:lang w:val="en-US" w:eastAsia="zh-CN"/>
        </w:rPr>
        <w:t>100</w:t>
      </w:r>
      <w:r>
        <w:rPr>
          <w:rStyle w:val="14"/>
          <w:rFonts w:ascii="仿宋" w:hAnsi="仿宋" w:eastAsia="仿宋"/>
          <w:b w:val="0"/>
          <w:bCs/>
          <w:color w:val="000000"/>
          <w:sz w:val="32"/>
          <w:szCs w:val="32"/>
        </w:rPr>
        <w:t>%</w:t>
      </w:r>
      <w:r>
        <w:rPr>
          <w:rStyle w:val="14"/>
          <w:rFonts w:hint="eastAsia" w:ascii="仿宋" w:hAnsi="仿宋" w:eastAsia="仿宋"/>
          <w:b w:val="0"/>
          <w:bCs/>
          <w:color w:val="000000"/>
          <w:sz w:val="32"/>
          <w:szCs w:val="32"/>
        </w:rPr>
        <w:t>。</w:t>
      </w:r>
    </w:p>
    <w:p>
      <w:pPr>
        <w:ind w:firstLine="643" w:firstLineChars="200"/>
        <w:rPr>
          <w:rFonts w:hint="eastAsia" w:ascii="仿宋" w:hAnsi="仿宋" w:eastAsia="仿宋"/>
          <w:b/>
          <w:color w:val="000000"/>
          <w:sz w:val="32"/>
          <w:szCs w:val="32"/>
        </w:rPr>
      </w:pPr>
      <w:r>
        <w:rPr>
          <w:rStyle w:val="14"/>
          <w:rFonts w:hint="eastAsia" w:ascii="仿宋" w:hAnsi="仿宋" w:eastAsia="仿宋"/>
          <w:bCs/>
          <w:color w:val="000000"/>
          <w:sz w:val="32"/>
          <w:szCs w:val="32"/>
        </w:rPr>
        <w:t>2</w:t>
      </w:r>
      <w:r>
        <w:rPr>
          <w:rStyle w:val="14"/>
          <w:rFonts w:ascii="仿宋" w:hAnsi="仿宋" w:eastAsia="仿宋"/>
          <w:bCs/>
          <w:color w:val="000000"/>
          <w:sz w:val="32"/>
          <w:szCs w:val="32"/>
        </w:rPr>
        <w:t>.</w:t>
      </w:r>
      <w:r>
        <w:rPr>
          <w:rStyle w:val="14"/>
          <w:rFonts w:hint="eastAsia" w:ascii="仿宋" w:hAnsi="仿宋" w:eastAsia="仿宋"/>
          <w:bCs/>
          <w:color w:val="000000"/>
          <w:sz w:val="32"/>
          <w:szCs w:val="32"/>
        </w:rPr>
        <w:t>社会保障和就业支出（类）财政事务（款）社会保障和就业支出（项）</w:t>
      </w:r>
      <w:r>
        <w:rPr>
          <w:rStyle w:val="14"/>
          <w:rFonts w:ascii="仿宋" w:hAnsi="仿宋" w:eastAsia="仿宋"/>
          <w:bCs/>
          <w:color w:val="000000"/>
          <w:sz w:val="32"/>
          <w:szCs w:val="32"/>
        </w:rPr>
        <w:t>:</w:t>
      </w:r>
      <w:r>
        <w:rPr>
          <w:rStyle w:val="14"/>
          <w:rFonts w:ascii="仿宋" w:hAnsi="仿宋" w:eastAsia="仿宋"/>
          <w:b w:val="0"/>
          <w:bCs/>
          <w:color w:val="000000"/>
          <w:sz w:val="32"/>
          <w:szCs w:val="32"/>
        </w:rPr>
        <w:t xml:space="preserve"> </w:t>
      </w:r>
      <w:r>
        <w:rPr>
          <w:rStyle w:val="14"/>
          <w:rFonts w:hint="eastAsia" w:ascii="仿宋" w:hAnsi="仿宋" w:eastAsia="仿宋"/>
          <w:b w:val="0"/>
          <w:bCs/>
          <w:color w:val="000000"/>
          <w:sz w:val="32"/>
          <w:szCs w:val="32"/>
        </w:rPr>
        <w:t>支出决算为</w:t>
      </w:r>
      <w:r>
        <w:rPr>
          <w:rStyle w:val="14"/>
          <w:rFonts w:hint="eastAsia" w:ascii="仿宋" w:hAnsi="仿宋" w:eastAsia="仿宋"/>
          <w:b w:val="0"/>
          <w:bCs/>
          <w:color w:val="000000"/>
          <w:sz w:val="32"/>
          <w:szCs w:val="32"/>
          <w:lang w:val="en-US" w:eastAsia="zh-CN"/>
        </w:rPr>
        <w:t>37.99</w:t>
      </w:r>
      <w:r>
        <w:rPr>
          <w:rStyle w:val="14"/>
          <w:rFonts w:hint="eastAsia" w:ascii="仿宋" w:hAnsi="仿宋" w:eastAsia="仿宋"/>
          <w:b w:val="0"/>
          <w:bCs/>
          <w:color w:val="000000"/>
          <w:sz w:val="32"/>
          <w:szCs w:val="32"/>
        </w:rPr>
        <w:t>万元，完成预算100</w:t>
      </w:r>
      <w:r>
        <w:rPr>
          <w:rStyle w:val="14"/>
          <w:rFonts w:ascii="仿宋" w:hAnsi="仿宋" w:eastAsia="仿宋"/>
          <w:b w:val="0"/>
          <w:bCs/>
          <w:color w:val="000000"/>
          <w:sz w:val="32"/>
          <w:szCs w:val="32"/>
        </w:rPr>
        <w:t>%</w:t>
      </w:r>
      <w:r>
        <w:rPr>
          <w:rStyle w:val="14"/>
          <w:rFonts w:hint="eastAsia" w:ascii="仿宋" w:hAnsi="仿宋" w:eastAsia="仿宋"/>
          <w:b w:val="0"/>
          <w:bCs/>
          <w:color w:val="000000"/>
          <w:sz w:val="32"/>
          <w:szCs w:val="32"/>
        </w:rPr>
        <w:t>。</w:t>
      </w:r>
    </w:p>
    <w:p>
      <w:pPr>
        <w:ind w:firstLine="643" w:firstLineChars="200"/>
        <w:rPr>
          <w:rFonts w:ascii="仿宋" w:hAnsi="仿宋" w:eastAsia="仿宋"/>
          <w:b/>
          <w:color w:val="000000"/>
          <w:sz w:val="32"/>
          <w:szCs w:val="32"/>
        </w:rPr>
      </w:pPr>
      <w:r>
        <w:rPr>
          <w:rStyle w:val="14"/>
          <w:rFonts w:hint="eastAsia" w:ascii="仿宋" w:hAnsi="仿宋" w:eastAsia="仿宋"/>
          <w:bCs/>
          <w:color w:val="000000"/>
          <w:sz w:val="32"/>
          <w:szCs w:val="32"/>
          <w:lang w:val="en-US" w:eastAsia="zh-CN"/>
        </w:rPr>
        <w:t>3</w:t>
      </w:r>
      <w:r>
        <w:rPr>
          <w:rStyle w:val="14"/>
          <w:rFonts w:ascii="仿宋" w:hAnsi="仿宋" w:eastAsia="仿宋"/>
          <w:bCs/>
          <w:color w:val="000000"/>
          <w:sz w:val="32"/>
          <w:szCs w:val="32"/>
        </w:rPr>
        <w:t>.</w:t>
      </w:r>
      <w:r>
        <w:rPr>
          <w:rFonts w:hint="eastAsia" w:ascii="仿宋" w:hAnsi="仿宋" w:eastAsia="仿宋"/>
          <w:b/>
          <w:bCs/>
          <w:color w:val="000000"/>
          <w:sz w:val="32"/>
          <w:szCs w:val="32"/>
        </w:rPr>
        <w:t>卫生健康支出</w:t>
      </w:r>
      <w:r>
        <w:rPr>
          <w:rStyle w:val="14"/>
          <w:rFonts w:hint="eastAsia" w:ascii="仿宋" w:hAnsi="仿宋" w:eastAsia="仿宋"/>
          <w:bCs/>
          <w:color w:val="000000"/>
          <w:sz w:val="32"/>
          <w:szCs w:val="32"/>
        </w:rPr>
        <w:t>（类）财政事务</w:t>
      </w:r>
      <w:r>
        <w:rPr>
          <w:rStyle w:val="14"/>
          <w:rFonts w:hint="eastAsia" w:ascii="仿宋" w:hAnsi="仿宋" w:eastAsia="仿宋"/>
          <w:b w:val="0"/>
          <w:bCs/>
          <w:color w:val="000000"/>
          <w:sz w:val="32"/>
          <w:szCs w:val="32"/>
        </w:rPr>
        <w:t>4.04</w:t>
      </w:r>
      <w:r>
        <w:rPr>
          <w:rStyle w:val="14"/>
          <w:rFonts w:hint="eastAsia" w:ascii="仿宋" w:hAnsi="仿宋" w:eastAsia="仿宋"/>
          <w:bCs/>
          <w:color w:val="000000"/>
          <w:sz w:val="32"/>
          <w:szCs w:val="32"/>
        </w:rPr>
        <w:t>（款）卫生健康支出（项）</w:t>
      </w:r>
      <w:r>
        <w:rPr>
          <w:rStyle w:val="14"/>
          <w:rFonts w:ascii="仿宋" w:hAnsi="仿宋" w:eastAsia="仿宋"/>
          <w:bCs/>
          <w:color w:val="000000"/>
          <w:sz w:val="32"/>
          <w:szCs w:val="32"/>
        </w:rPr>
        <w:t>:</w:t>
      </w:r>
      <w:r>
        <w:rPr>
          <w:rStyle w:val="14"/>
          <w:rFonts w:hint="eastAsia" w:ascii="仿宋" w:hAnsi="仿宋" w:eastAsia="仿宋"/>
          <w:b w:val="0"/>
          <w:bCs/>
          <w:color w:val="000000"/>
          <w:sz w:val="32"/>
          <w:szCs w:val="32"/>
        </w:rPr>
        <w:t>支出决算为</w:t>
      </w:r>
      <w:r>
        <w:rPr>
          <w:rStyle w:val="14"/>
          <w:rFonts w:hint="eastAsia" w:ascii="仿宋" w:hAnsi="仿宋" w:eastAsia="仿宋"/>
          <w:b w:val="0"/>
          <w:bCs/>
          <w:color w:val="000000"/>
          <w:sz w:val="32"/>
          <w:szCs w:val="32"/>
          <w:lang w:val="en-US" w:eastAsia="zh-CN"/>
        </w:rPr>
        <w:t>9.1</w:t>
      </w:r>
      <w:r>
        <w:rPr>
          <w:rStyle w:val="14"/>
          <w:rFonts w:hint="eastAsia" w:ascii="仿宋" w:hAnsi="仿宋" w:eastAsia="仿宋"/>
          <w:b w:val="0"/>
          <w:bCs/>
          <w:color w:val="000000"/>
          <w:sz w:val="32"/>
          <w:szCs w:val="32"/>
        </w:rPr>
        <w:t>万元，完成预算100</w:t>
      </w:r>
      <w:r>
        <w:rPr>
          <w:rStyle w:val="14"/>
          <w:rFonts w:ascii="仿宋" w:hAnsi="仿宋" w:eastAsia="仿宋"/>
          <w:b w:val="0"/>
          <w:bCs/>
          <w:color w:val="000000"/>
          <w:sz w:val="32"/>
          <w:szCs w:val="32"/>
        </w:rPr>
        <w:t>%</w:t>
      </w:r>
      <w:r>
        <w:rPr>
          <w:rStyle w:val="14"/>
          <w:rFonts w:hint="eastAsia" w:ascii="仿宋" w:hAnsi="仿宋" w:eastAsia="仿宋"/>
          <w:b w:val="0"/>
          <w:bCs/>
          <w:color w:val="000000"/>
          <w:sz w:val="32"/>
          <w:szCs w:val="32"/>
        </w:rPr>
        <w:t>。</w:t>
      </w:r>
    </w:p>
    <w:p>
      <w:pPr>
        <w:ind w:firstLine="643" w:firstLineChars="200"/>
        <w:rPr>
          <w:rFonts w:ascii="仿宋" w:hAnsi="仿宋" w:eastAsia="仿宋"/>
          <w:b/>
          <w:color w:val="000000"/>
          <w:sz w:val="32"/>
          <w:szCs w:val="32"/>
        </w:rPr>
      </w:pPr>
      <w:r>
        <w:rPr>
          <w:rStyle w:val="14"/>
          <w:rFonts w:hint="eastAsia" w:ascii="仿宋" w:hAnsi="仿宋" w:eastAsia="仿宋"/>
          <w:bCs/>
          <w:color w:val="000000"/>
          <w:sz w:val="32"/>
          <w:szCs w:val="32"/>
          <w:lang w:val="en-US" w:eastAsia="zh-CN"/>
        </w:rPr>
        <w:t>4</w:t>
      </w:r>
      <w:r>
        <w:rPr>
          <w:rStyle w:val="14"/>
          <w:rFonts w:ascii="仿宋" w:hAnsi="仿宋" w:eastAsia="仿宋"/>
          <w:bCs/>
          <w:color w:val="000000"/>
          <w:sz w:val="32"/>
          <w:szCs w:val="32"/>
        </w:rPr>
        <w:t>.</w:t>
      </w:r>
      <w:r>
        <w:rPr>
          <w:rFonts w:hint="eastAsia"/>
        </w:rPr>
        <w:t xml:space="preserve"> </w:t>
      </w:r>
      <w:r>
        <w:rPr>
          <w:rFonts w:hint="eastAsia" w:ascii="仿宋" w:hAnsi="仿宋" w:eastAsia="仿宋"/>
          <w:b/>
          <w:bCs/>
          <w:color w:val="000000"/>
          <w:sz w:val="32"/>
          <w:szCs w:val="32"/>
        </w:rPr>
        <w:t>住房保障支出</w:t>
      </w:r>
      <w:r>
        <w:rPr>
          <w:rStyle w:val="14"/>
          <w:rFonts w:hint="eastAsia" w:ascii="仿宋" w:hAnsi="仿宋" w:eastAsia="仿宋"/>
          <w:bCs/>
          <w:color w:val="000000"/>
          <w:sz w:val="32"/>
          <w:szCs w:val="32"/>
        </w:rPr>
        <w:t>（类）住房改革支出（款）住房公积金（项）</w:t>
      </w:r>
      <w:r>
        <w:rPr>
          <w:rStyle w:val="14"/>
          <w:rFonts w:ascii="仿宋" w:hAnsi="仿宋" w:eastAsia="仿宋"/>
          <w:bCs/>
          <w:color w:val="000000"/>
          <w:sz w:val="32"/>
          <w:szCs w:val="32"/>
        </w:rPr>
        <w:t>:</w:t>
      </w:r>
      <w:r>
        <w:rPr>
          <w:rStyle w:val="14"/>
          <w:rFonts w:hint="eastAsia" w:ascii="仿宋" w:hAnsi="仿宋" w:eastAsia="仿宋"/>
          <w:b w:val="0"/>
          <w:bCs/>
          <w:color w:val="000000"/>
          <w:sz w:val="32"/>
          <w:szCs w:val="32"/>
        </w:rPr>
        <w:t>支出决算为</w:t>
      </w:r>
      <w:r>
        <w:rPr>
          <w:rStyle w:val="14"/>
          <w:rFonts w:hint="eastAsia" w:ascii="仿宋" w:hAnsi="仿宋" w:eastAsia="仿宋"/>
          <w:b w:val="0"/>
          <w:bCs/>
          <w:color w:val="000000"/>
          <w:sz w:val="32"/>
          <w:szCs w:val="32"/>
          <w:lang w:val="en-US" w:eastAsia="zh-CN"/>
        </w:rPr>
        <w:t>23.44</w:t>
      </w:r>
      <w:r>
        <w:rPr>
          <w:rStyle w:val="14"/>
          <w:rFonts w:hint="eastAsia" w:ascii="仿宋" w:hAnsi="仿宋" w:eastAsia="仿宋"/>
          <w:b w:val="0"/>
          <w:bCs/>
          <w:color w:val="000000"/>
          <w:sz w:val="32"/>
          <w:szCs w:val="32"/>
        </w:rPr>
        <w:t>万元，完成预算100</w:t>
      </w:r>
      <w:r>
        <w:rPr>
          <w:rStyle w:val="14"/>
          <w:rFonts w:ascii="仿宋" w:hAnsi="仿宋" w:eastAsia="仿宋"/>
          <w:b w:val="0"/>
          <w:bCs/>
          <w:color w:val="000000"/>
          <w:sz w:val="32"/>
          <w:szCs w:val="32"/>
        </w:rPr>
        <w:t>%</w:t>
      </w:r>
      <w:r>
        <w:rPr>
          <w:rStyle w:val="14"/>
          <w:rFonts w:hint="eastAsia" w:ascii="仿宋" w:hAnsi="仿宋" w:eastAsia="仿宋"/>
          <w:b w:val="0"/>
          <w:bCs/>
          <w:color w:val="000000"/>
          <w:sz w:val="32"/>
          <w:szCs w:val="32"/>
        </w:rPr>
        <w:t>。</w:t>
      </w:r>
    </w:p>
    <w:p>
      <w:pPr>
        <w:spacing w:line="600" w:lineRule="exact"/>
        <w:ind w:firstLine="643" w:firstLineChars="200"/>
        <w:rPr>
          <w:rFonts w:ascii="仿宋" w:hAnsi="仿宋" w:eastAsia="仿宋"/>
          <w:b/>
          <w:sz w:val="32"/>
          <w:szCs w:val="32"/>
        </w:rPr>
      </w:pPr>
      <w:r>
        <w:rPr>
          <w:rFonts w:hint="eastAsia" w:ascii="仿宋" w:hAnsi="仿宋" w:eastAsia="仿宋"/>
          <w:b/>
          <w:sz w:val="32"/>
          <w:szCs w:val="32"/>
        </w:rPr>
        <w:t>（注：数据来源于财决</w:t>
      </w:r>
      <w:r>
        <w:rPr>
          <w:rFonts w:ascii="仿宋" w:hAnsi="仿宋" w:eastAsia="仿宋"/>
          <w:b/>
          <w:sz w:val="32"/>
          <w:szCs w:val="32"/>
        </w:rPr>
        <w:t>0</w:t>
      </w:r>
      <w:r>
        <w:rPr>
          <w:rFonts w:hint="eastAsia" w:ascii="仿宋" w:hAnsi="仿宋" w:eastAsia="仿宋"/>
          <w:b/>
          <w:sz w:val="32"/>
          <w:szCs w:val="32"/>
        </w:rPr>
        <w:t>1-1表和财决08表，仅罗列本单位涉及的全部功能分类科目，至项级。上述“预算”口径为调整预算数。增减变动原因为决算数</w:t>
      </w:r>
      <w:r>
        <w:rPr>
          <w:rFonts w:ascii="仿宋" w:hAnsi="仿宋" w:eastAsia="仿宋"/>
          <w:b/>
          <w:sz w:val="32"/>
          <w:szCs w:val="32"/>
        </w:rPr>
        <w:t>&lt;</w:t>
      </w:r>
      <w:r>
        <w:rPr>
          <w:rFonts w:hint="eastAsia" w:ascii="仿宋" w:hAnsi="仿宋" w:eastAsia="仿宋"/>
          <w:b/>
          <w:sz w:val="32"/>
          <w:szCs w:val="32"/>
        </w:rPr>
        <w:t>项级</w:t>
      </w:r>
      <w:r>
        <w:rPr>
          <w:rFonts w:ascii="仿宋" w:hAnsi="仿宋" w:eastAsia="仿宋"/>
          <w:b/>
          <w:sz w:val="32"/>
          <w:szCs w:val="32"/>
        </w:rPr>
        <w:t>&gt;</w:t>
      </w:r>
      <w:r>
        <w:rPr>
          <w:rFonts w:hint="eastAsia" w:ascii="仿宋" w:hAnsi="仿宋" w:eastAsia="仿宋"/>
          <w:b/>
          <w:sz w:val="32"/>
          <w:szCs w:val="32"/>
        </w:rPr>
        <w:t>和调整预算数</w:t>
      </w:r>
      <w:r>
        <w:rPr>
          <w:rFonts w:ascii="仿宋" w:hAnsi="仿宋" w:eastAsia="仿宋"/>
          <w:b/>
          <w:sz w:val="32"/>
          <w:szCs w:val="32"/>
        </w:rPr>
        <w:t>&lt;</w:t>
      </w:r>
      <w:r>
        <w:rPr>
          <w:rFonts w:hint="eastAsia" w:ascii="仿宋" w:hAnsi="仿宋" w:eastAsia="仿宋"/>
          <w:b/>
          <w:sz w:val="32"/>
          <w:szCs w:val="32"/>
        </w:rPr>
        <w:t>项级</w:t>
      </w:r>
      <w:r>
        <w:rPr>
          <w:rFonts w:ascii="仿宋" w:hAnsi="仿宋" w:eastAsia="仿宋"/>
          <w:b/>
          <w:sz w:val="32"/>
          <w:szCs w:val="32"/>
        </w:rPr>
        <w:t>&gt;</w:t>
      </w:r>
      <w:r>
        <w:rPr>
          <w:rFonts w:hint="eastAsia" w:ascii="仿宋" w:hAnsi="仿宋" w:eastAsia="仿宋"/>
          <w:b/>
          <w:sz w:val="32"/>
          <w:szCs w:val="32"/>
        </w:rPr>
        <w:t>比较，与预算数持平可以不写原因。）</w:t>
      </w:r>
    </w:p>
    <w:p>
      <w:pPr>
        <w:spacing w:line="600" w:lineRule="exact"/>
        <w:ind w:firstLine="640"/>
        <w:rPr>
          <w:rFonts w:ascii="仿宋" w:hAnsi="仿宋" w:eastAsia="仿宋"/>
          <w:b/>
          <w:sz w:val="32"/>
          <w:szCs w:val="32"/>
        </w:rPr>
      </w:pPr>
    </w:p>
    <w:p>
      <w:pPr>
        <w:tabs>
          <w:tab w:val="right" w:pos="8306"/>
        </w:tabs>
        <w:spacing w:line="600" w:lineRule="exact"/>
        <w:ind w:firstLine="640"/>
        <w:outlineLvl w:val="1"/>
        <w:rPr>
          <w:rStyle w:val="25"/>
        </w:rPr>
      </w:pPr>
      <w:bookmarkStart w:id="33" w:name="_Toc15396608"/>
      <w:bookmarkStart w:id="34" w:name="_Toc15377214"/>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25"/>
          <w:rFonts w:hint="eastAsia" w:ascii="黑体" w:hAnsi="黑体" w:eastAsia="黑体"/>
          <w:b w:val="0"/>
        </w:rPr>
        <w:t>般公共预算财政拨款基本支出决算情况说明</w:t>
      </w:r>
      <w:bookmarkEnd w:id="33"/>
      <w:bookmarkEnd w:id="34"/>
      <w:r>
        <w:rPr>
          <w:rStyle w:val="25"/>
          <w:rFonts w:ascii="黑体" w:hAnsi="黑体" w:eastAsia="黑体"/>
          <w:b w:val="0"/>
        </w:rPr>
        <w:tab/>
      </w:r>
    </w:p>
    <w:p>
      <w:pPr>
        <w:spacing w:line="600" w:lineRule="exact"/>
        <w:ind w:firstLine="645"/>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21年一般公共预算财政拨款基本支出</w:t>
      </w:r>
      <w:r>
        <w:rPr>
          <w:rFonts w:hint="eastAsia" w:ascii="仿宋" w:hAnsi="仿宋" w:eastAsia="仿宋"/>
          <w:sz w:val="32"/>
          <w:szCs w:val="32"/>
          <w:lang w:val="en-US" w:eastAsia="zh-CN"/>
        </w:rPr>
        <w:t>320.73</w:t>
      </w:r>
      <w:r>
        <w:rPr>
          <w:rFonts w:hint="eastAsia" w:ascii="仿宋" w:hAnsi="仿宋" w:eastAsia="仿宋"/>
          <w:sz w:val="32"/>
          <w:szCs w:val="32"/>
        </w:rPr>
        <w:t>万元，其中：</w:t>
      </w:r>
    </w:p>
    <w:p>
      <w:pPr>
        <w:spacing w:line="600" w:lineRule="exact"/>
        <w:ind w:firstLine="645"/>
        <w:rPr>
          <w:rFonts w:hint="eastAsia" w:ascii="仿宋" w:hAnsi="仿宋" w:eastAsia="仿宋"/>
          <w:sz w:val="32"/>
          <w:szCs w:val="32"/>
          <w:lang w:eastAsia="zh-CN"/>
        </w:rPr>
      </w:pPr>
      <w:r>
        <w:rPr>
          <w:rFonts w:hint="eastAsia" w:ascii="仿宋" w:hAnsi="仿宋" w:eastAsia="仿宋"/>
          <w:sz w:val="32"/>
          <w:szCs w:val="32"/>
        </w:rPr>
        <w:t>人员经费</w:t>
      </w:r>
      <w:r>
        <w:rPr>
          <w:rFonts w:hint="eastAsia" w:ascii="仿宋" w:hAnsi="仿宋" w:eastAsia="仿宋"/>
          <w:sz w:val="32"/>
          <w:szCs w:val="32"/>
          <w:lang w:val="en-US" w:eastAsia="zh-CN"/>
        </w:rPr>
        <w:t>231.58</w:t>
      </w:r>
      <w:r>
        <w:rPr>
          <w:rFonts w:hint="eastAsia" w:ascii="仿宋" w:hAnsi="仿宋" w:eastAsia="仿宋"/>
          <w:sz w:val="32"/>
          <w:szCs w:val="32"/>
        </w:rPr>
        <w:t>万元，主要包括：基本工资、津贴补贴、奖金、伙食补助费、绩效工资、机关事业单位基本养老保险缴费、职业年金缴费、其他社会保障缴费、其他工资福利支出、离休费、退休费、抚恤金、生活补助、医疗费补助、奖励金、住房公积金、其他对个人和家庭的补助支出等。</w:t>
      </w:r>
    </w:p>
    <w:p>
      <w:pPr>
        <w:spacing w:line="600" w:lineRule="exact"/>
        <w:ind w:firstLine="645"/>
        <w:rPr>
          <w:rFonts w:ascii="仿宋" w:hAnsi="仿宋" w:eastAsia="仿宋"/>
          <w:sz w:val="32"/>
          <w:szCs w:val="32"/>
        </w:rPr>
      </w:pPr>
      <w:r>
        <w:rPr>
          <w:rFonts w:hint="eastAsia" w:ascii="仿宋" w:hAnsi="仿宋" w:eastAsia="仿宋"/>
          <w:sz w:val="32"/>
          <w:szCs w:val="32"/>
        </w:rPr>
        <w:t>　　公用经费</w:t>
      </w:r>
      <w:r>
        <w:rPr>
          <w:rFonts w:hint="eastAsia" w:ascii="仿宋" w:hAnsi="仿宋" w:eastAsia="仿宋"/>
          <w:sz w:val="32"/>
          <w:szCs w:val="32"/>
          <w:lang w:val="en-US" w:eastAsia="zh-CN"/>
        </w:rPr>
        <w:t>39.37</w:t>
      </w:r>
      <w:r>
        <w:rPr>
          <w:rFonts w:hint="eastAsia" w:ascii="仿宋" w:hAnsi="仿宋" w:eastAsia="仿宋"/>
          <w:sz w:val="32"/>
          <w:szCs w:val="32"/>
        </w:rPr>
        <w:t>万元，主要包括：办公费、印刷费、咨询费、手续费、水费、电费、邮电费、取暖费、物业管理费、差旅费、因公出国（境）费用、维修（护）费、租赁费、会议费、培训费、公务接待费、劳务费、委托业务费、工会经费、福利费、公务用车运行维护费、其他交通费、税金及附加费用、其他商品和服务支出、办公设备购置、专用设备购置、信息网络及软件购置更新、其他资本性支出等。</w:t>
      </w:r>
    </w:p>
    <w:p>
      <w:pPr>
        <w:spacing w:line="600" w:lineRule="exact"/>
        <w:ind w:firstLine="645"/>
        <w:rPr>
          <w:rFonts w:ascii="仿宋" w:hAnsi="仿宋" w:eastAsia="仿宋"/>
          <w:b/>
          <w:sz w:val="32"/>
          <w:szCs w:val="32"/>
        </w:rPr>
      </w:pPr>
      <w:r>
        <w:rPr>
          <w:rFonts w:hint="eastAsia" w:ascii="仿宋" w:hAnsi="仿宋" w:eastAsia="仿宋"/>
          <w:b/>
          <w:sz w:val="32"/>
          <w:szCs w:val="32"/>
        </w:rPr>
        <w:t>（注：数据来源于财决</w:t>
      </w:r>
      <w:r>
        <w:rPr>
          <w:rFonts w:ascii="仿宋" w:hAnsi="仿宋" w:eastAsia="仿宋"/>
          <w:b/>
          <w:sz w:val="32"/>
          <w:szCs w:val="32"/>
        </w:rPr>
        <w:t>0</w:t>
      </w:r>
      <w:r>
        <w:rPr>
          <w:rFonts w:hint="eastAsia" w:ascii="仿宋" w:hAnsi="仿宋" w:eastAsia="仿宋"/>
          <w:b/>
          <w:sz w:val="32"/>
          <w:szCs w:val="32"/>
        </w:rPr>
        <w:t>7表和财决08-1表，仅罗列本单位实际支出涉及的经济分类科目。）</w:t>
      </w:r>
    </w:p>
    <w:p>
      <w:pPr>
        <w:spacing w:line="600" w:lineRule="exact"/>
        <w:ind w:firstLine="640"/>
        <w:rPr>
          <w:rFonts w:ascii="仿宋" w:hAnsi="仿宋" w:eastAsia="仿宋"/>
          <w:b/>
          <w:sz w:val="32"/>
          <w:szCs w:val="32"/>
        </w:rPr>
      </w:pPr>
    </w:p>
    <w:p>
      <w:pPr>
        <w:spacing w:line="600" w:lineRule="exact"/>
        <w:ind w:firstLine="640"/>
        <w:outlineLvl w:val="1"/>
        <w:rPr>
          <w:rStyle w:val="25"/>
          <w:rFonts w:ascii="黑体" w:hAnsi="黑体" w:eastAsia="黑体"/>
          <w:b w:val="0"/>
        </w:rPr>
      </w:pPr>
      <w:bookmarkStart w:id="35" w:name="_Toc15396609"/>
      <w:bookmarkStart w:id="36" w:name="_Toc15377215"/>
      <w:r>
        <w:rPr>
          <w:rFonts w:hint="eastAsia" w:ascii="黑体" w:eastAsia="黑体"/>
          <w:sz w:val="32"/>
          <w:szCs w:val="32"/>
        </w:rPr>
        <w:t>七、</w:t>
      </w:r>
      <w:r>
        <w:rPr>
          <w:rStyle w:val="25"/>
          <w:rFonts w:hint="eastAsia" w:ascii="黑体" w:hAnsi="黑体" w:eastAsia="黑体"/>
        </w:rPr>
        <w:t>“</w:t>
      </w:r>
      <w:r>
        <w:rPr>
          <w:rStyle w:val="25"/>
          <w:rFonts w:hint="eastAsia" w:ascii="黑体" w:hAnsi="黑体" w:eastAsia="黑体"/>
          <w:b w:val="0"/>
        </w:rPr>
        <w:t>三公”经费财政拨款支出决算情况说明</w:t>
      </w:r>
      <w:bookmarkEnd w:id="35"/>
      <w:bookmarkEnd w:id="36"/>
    </w:p>
    <w:p>
      <w:pPr>
        <w:spacing w:line="600" w:lineRule="exact"/>
        <w:ind w:firstLine="640"/>
        <w:outlineLvl w:val="2"/>
        <w:rPr>
          <w:rFonts w:ascii="仿宋" w:hAnsi="仿宋" w:eastAsia="仿宋"/>
          <w:b/>
          <w:sz w:val="32"/>
          <w:szCs w:val="32"/>
        </w:rPr>
      </w:pPr>
      <w:bookmarkStart w:id="37" w:name="_Toc15377216"/>
      <w:bookmarkStart w:id="38" w:name="_Toc15377221"/>
      <w:bookmarkStart w:id="39" w:name="_Toc15396612"/>
      <w:r>
        <w:rPr>
          <w:rFonts w:hint="eastAsia" w:ascii="仿宋" w:hAnsi="仿宋" w:eastAsia="仿宋"/>
          <w:b/>
          <w:sz w:val="32"/>
          <w:szCs w:val="32"/>
        </w:rPr>
        <w:t>（一）“三公”经费财政拨款支出决算总体情况说明</w:t>
      </w:r>
      <w:bookmarkEnd w:id="37"/>
    </w:p>
    <w:p>
      <w:pPr>
        <w:spacing w:line="600" w:lineRule="exact"/>
        <w:ind w:firstLine="640"/>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21年“三公”经费财政拨款支出决算为0万元，完成预算0</w:t>
      </w:r>
      <w:r>
        <w:rPr>
          <w:rFonts w:ascii="仿宋" w:hAnsi="仿宋" w:eastAsia="仿宋"/>
          <w:sz w:val="32"/>
          <w:szCs w:val="32"/>
        </w:rPr>
        <w:t>%</w:t>
      </w:r>
      <w:r>
        <w:rPr>
          <w:rFonts w:hint="eastAsia" w:ascii="仿宋" w:hAnsi="仿宋" w:eastAsia="仿宋"/>
          <w:sz w:val="32"/>
          <w:szCs w:val="32"/>
        </w:rPr>
        <w:t>，决算数小于预算数的主要原因是本单位2021年无“三公”经费支出。</w:t>
      </w:r>
    </w:p>
    <w:p>
      <w:pPr>
        <w:spacing w:line="600" w:lineRule="exact"/>
        <w:ind w:firstLine="640"/>
        <w:outlineLvl w:val="2"/>
        <w:rPr>
          <w:rFonts w:ascii="仿宋" w:hAnsi="仿宋" w:eastAsia="仿宋"/>
          <w:b/>
          <w:sz w:val="32"/>
          <w:szCs w:val="32"/>
        </w:rPr>
      </w:pPr>
      <w:bookmarkStart w:id="40" w:name="_Toc15377217"/>
      <w:r>
        <w:rPr>
          <w:rFonts w:hint="eastAsia" w:ascii="仿宋" w:hAnsi="仿宋" w:eastAsia="仿宋"/>
          <w:b/>
          <w:sz w:val="32"/>
          <w:szCs w:val="32"/>
        </w:rPr>
        <w:t>（二）“三公”经费财政拨款支出决算具体情况说明</w:t>
      </w:r>
      <w:bookmarkEnd w:id="40"/>
    </w:p>
    <w:p>
      <w:pPr>
        <w:spacing w:line="600" w:lineRule="exact"/>
        <w:ind w:firstLine="640"/>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21年“三公”经费财政拨款支出决算中，因公出国（境）费支出决算0万元，占0</w:t>
      </w:r>
      <w:r>
        <w:rPr>
          <w:rFonts w:ascii="仿宋" w:hAnsi="仿宋" w:eastAsia="仿宋"/>
          <w:sz w:val="32"/>
          <w:szCs w:val="32"/>
        </w:rPr>
        <w:t>%</w:t>
      </w:r>
      <w:r>
        <w:rPr>
          <w:rFonts w:hint="eastAsia" w:ascii="仿宋" w:hAnsi="仿宋" w:eastAsia="仿宋"/>
          <w:sz w:val="32"/>
          <w:szCs w:val="32"/>
        </w:rPr>
        <w:t>；公务用车购置及运行维护费支出决算0万元，占0</w:t>
      </w:r>
      <w:r>
        <w:rPr>
          <w:rFonts w:ascii="仿宋" w:hAnsi="仿宋" w:eastAsia="仿宋"/>
          <w:sz w:val="32"/>
          <w:szCs w:val="32"/>
        </w:rPr>
        <w:t>%</w:t>
      </w:r>
      <w:r>
        <w:rPr>
          <w:rFonts w:hint="eastAsia" w:ascii="仿宋" w:hAnsi="仿宋" w:eastAsia="仿宋"/>
          <w:sz w:val="32"/>
          <w:szCs w:val="32"/>
        </w:rPr>
        <w:t>；公务接待费支出决算0万元，占0</w:t>
      </w:r>
      <w:r>
        <w:rPr>
          <w:rFonts w:ascii="仿宋" w:hAnsi="仿宋" w:eastAsia="仿宋"/>
          <w:sz w:val="32"/>
          <w:szCs w:val="32"/>
        </w:rPr>
        <w:t>%</w:t>
      </w:r>
      <w:r>
        <w:rPr>
          <w:rFonts w:hint="eastAsia" w:ascii="仿宋" w:hAnsi="仿宋" w:eastAsia="仿宋"/>
          <w:sz w:val="32"/>
          <w:szCs w:val="32"/>
        </w:rPr>
        <w:t>。具体情况如下：</w:t>
      </w:r>
    </w:p>
    <w:p>
      <w:pPr>
        <w:spacing w:line="600" w:lineRule="exact"/>
        <w:ind w:firstLine="640"/>
        <w:rPr>
          <w:rFonts w:ascii="仿宋_GB2312" w:eastAsia="仿宋_GB2312"/>
          <w:b/>
          <w:sz w:val="32"/>
          <w:szCs w:val="32"/>
        </w:rPr>
      </w:pPr>
      <w:r>
        <w:rPr>
          <w:rFonts w:ascii="仿宋_GB2312" w:eastAsia="仿宋_GB2312"/>
          <w:b/>
          <w:sz w:val="32"/>
          <w:szCs w:val="32"/>
        </w:rPr>
        <w:t>1.</w:t>
      </w:r>
      <w:r>
        <w:rPr>
          <w:rFonts w:hint="eastAsia" w:ascii="仿宋_GB2312" w:eastAsia="仿宋_GB2312"/>
          <w:b/>
          <w:sz w:val="32"/>
          <w:szCs w:val="32"/>
        </w:rPr>
        <w:t>因公出国（境）经费支出0</w:t>
      </w:r>
      <w:r>
        <w:rPr>
          <w:rFonts w:hint="eastAsia" w:ascii="仿宋_GB2312" w:eastAsia="仿宋_GB2312"/>
          <w:sz w:val="32"/>
          <w:szCs w:val="32"/>
        </w:rPr>
        <w:t>万元</w:t>
      </w:r>
      <w:r>
        <w:rPr>
          <w:rFonts w:hint="eastAsia" w:ascii="仿宋_GB2312" w:eastAsia="仿宋_GB2312"/>
          <w:b/>
          <w:sz w:val="32"/>
          <w:szCs w:val="32"/>
        </w:rPr>
        <w:t>，完成预算0</w:t>
      </w:r>
      <w:r>
        <w:rPr>
          <w:rFonts w:ascii="仿宋_GB2312" w:eastAsia="仿宋_GB2312"/>
          <w:b/>
          <w:sz w:val="32"/>
          <w:szCs w:val="32"/>
        </w:rPr>
        <w:t>%</w:t>
      </w:r>
      <w:r>
        <w:rPr>
          <w:rFonts w:hint="eastAsia" w:ascii="仿宋_GB2312" w:eastAsia="仿宋_GB2312"/>
          <w:b/>
          <w:sz w:val="32"/>
          <w:szCs w:val="32"/>
        </w:rPr>
        <w:t>。全年安排因公出国（境）团组0次，出国（境）0人。因公</w:t>
      </w:r>
      <w:r>
        <w:rPr>
          <w:rFonts w:hint="eastAsia" w:ascii="仿宋_GB2312" w:eastAsia="仿宋_GB2312"/>
          <w:sz w:val="32"/>
          <w:szCs w:val="32"/>
        </w:rPr>
        <w:t>出国（境）支出决算与</w:t>
      </w:r>
      <w:r>
        <w:rPr>
          <w:rFonts w:ascii="仿宋_GB2312" w:eastAsia="仿宋_GB2312"/>
          <w:sz w:val="32"/>
          <w:szCs w:val="32"/>
        </w:rPr>
        <w:t>20</w:t>
      </w:r>
      <w:r>
        <w:rPr>
          <w:rFonts w:hint="eastAsia" w:ascii="仿宋_GB2312" w:eastAsia="仿宋_GB2312"/>
          <w:sz w:val="32"/>
          <w:szCs w:val="32"/>
        </w:rPr>
        <w:t>20年持平。</w:t>
      </w:r>
    </w:p>
    <w:p>
      <w:pPr>
        <w:spacing w:line="600" w:lineRule="exact"/>
        <w:ind w:firstLine="640"/>
        <w:rPr>
          <w:rFonts w:ascii="仿宋_GB2312" w:eastAsia="仿宋_GB2312"/>
          <w:b/>
          <w:sz w:val="32"/>
          <w:szCs w:val="32"/>
        </w:rPr>
      </w:pPr>
      <w:r>
        <w:rPr>
          <w:rFonts w:ascii="仿宋_GB2312" w:eastAsia="仿宋_GB2312"/>
          <w:b/>
          <w:sz w:val="32"/>
          <w:szCs w:val="32"/>
        </w:rPr>
        <w:t>2.</w:t>
      </w:r>
      <w:r>
        <w:rPr>
          <w:rFonts w:hint="eastAsia" w:ascii="仿宋_GB2312" w:eastAsia="仿宋_GB2312"/>
          <w:b/>
          <w:sz w:val="32"/>
          <w:szCs w:val="32"/>
        </w:rPr>
        <w:t>公务用车购置及运行维护费支出0</w:t>
      </w:r>
      <w:r>
        <w:rPr>
          <w:rFonts w:hint="eastAsia" w:ascii="仿宋_GB2312" w:eastAsia="仿宋_GB2312"/>
          <w:sz w:val="32"/>
          <w:szCs w:val="32"/>
        </w:rPr>
        <w:t>万</w:t>
      </w:r>
      <w:r>
        <w:rPr>
          <w:rFonts w:hint="eastAsia" w:ascii="仿宋_GB2312" w:eastAsia="仿宋_GB2312"/>
          <w:b/>
          <w:sz w:val="32"/>
          <w:szCs w:val="32"/>
        </w:rPr>
        <w:t>元,完成预算0</w:t>
      </w:r>
      <w:r>
        <w:rPr>
          <w:rFonts w:ascii="仿宋_GB2312" w:eastAsia="仿宋_GB2312"/>
          <w:b/>
          <w:sz w:val="32"/>
          <w:szCs w:val="32"/>
        </w:rPr>
        <w:t>%</w:t>
      </w:r>
      <w:r>
        <w:rPr>
          <w:rFonts w:hint="eastAsia" w:ascii="仿宋_GB2312" w:eastAsia="仿宋_GB2312"/>
          <w:b/>
          <w:sz w:val="32"/>
          <w:szCs w:val="32"/>
        </w:rPr>
        <w:t>。公务用车购置及运行维护费支出决算与</w:t>
      </w:r>
      <w:r>
        <w:rPr>
          <w:rFonts w:ascii="仿宋_GB2312" w:eastAsia="仿宋_GB2312"/>
          <w:b/>
          <w:sz w:val="32"/>
          <w:szCs w:val="32"/>
        </w:rPr>
        <w:t>20</w:t>
      </w:r>
      <w:r>
        <w:rPr>
          <w:rFonts w:hint="eastAsia" w:ascii="仿宋_GB2312" w:eastAsia="仿宋_GB2312"/>
          <w:b/>
          <w:sz w:val="32"/>
          <w:szCs w:val="32"/>
        </w:rPr>
        <w:t>20年持平。</w:t>
      </w:r>
    </w:p>
    <w:p>
      <w:pPr>
        <w:spacing w:line="600" w:lineRule="exact"/>
        <w:ind w:firstLine="640" w:firstLineChars="200"/>
        <w:rPr>
          <w:rFonts w:ascii="仿宋_GB2312" w:eastAsia="仿宋_GB2312"/>
          <w:b/>
          <w:sz w:val="32"/>
          <w:szCs w:val="32"/>
        </w:rPr>
      </w:pPr>
      <w:r>
        <w:rPr>
          <w:rFonts w:hint="eastAsia" w:ascii="仿宋_GB2312" w:eastAsia="仿宋_GB2312"/>
          <w:sz w:val="32"/>
          <w:szCs w:val="32"/>
        </w:rPr>
        <w:t>其中：</w:t>
      </w:r>
      <w:r>
        <w:rPr>
          <w:rFonts w:hint="eastAsia" w:ascii="仿宋_GB2312" w:eastAsia="仿宋_GB2312"/>
          <w:b/>
          <w:sz w:val="32"/>
          <w:szCs w:val="32"/>
        </w:rPr>
        <w:t>公务用车购置支出0</w:t>
      </w:r>
      <w:r>
        <w:rPr>
          <w:rFonts w:hint="eastAsia" w:ascii="仿宋_GB2312" w:eastAsia="仿宋_GB2312"/>
          <w:sz w:val="32"/>
          <w:szCs w:val="32"/>
        </w:rPr>
        <w:t>万元。全年按规定更新购置公务用车0辆。截至</w:t>
      </w:r>
      <w:r>
        <w:rPr>
          <w:rFonts w:ascii="仿宋_GB2312" w:eastAsia="仿宋_GB2312"/>
          <w:sz w:val="32"/>
          <w:szCs w:val="32"/>
        </w:rPr>
        <w:t>20</w:t>
      </w:r>
      <w:r>
        <w:rPr>
          <w:rFonts w:hint="eastAsia" w:ascii="仿宋_GB2312" w:eastAsia="仿宋_GB2312"/>
          <w:sz w:val="32"/>
          <w:szCs w:val="32"/>
        </w:rPr>
        <w:t>21年</w:t>
      </w:r>
      <w:r>
        <w:rPr>
          <w:rFonts w:ascii="仿宋_GB2312" w:eastAsia="仿宋_GB2312"/>
          <w:sz w:val="32"/>
          <w:szCs w:val="32"/>
        </w:rPr>
        <w:t>12</w:t>
      </w:r>
      <w:r>
        <w:rPr>
          <w:rFonts w:hint="eastAsia" w:ascii="仿宋_GB2312" w:eastAsia="仿宋_GB2312"/>
          <w:sz w:val="32"/>
          <w:szCs w:val="32"/>
        </w:rPr>
        <w:t>月底，单位共有公务用车0辆，其中：轿车0辆、越野车0辆、载客汽车0辆。</w:t>
      </w:r>
    </w:p>
    <w:p>
      <w:pPr>
        <w:spacing w:line="600" w:lineRule="exact"/>
        <w:ind w:firstLine="640"/>
        <w:rPr>
          <w:rFonts w:ascii="仿宋_GB2312" w:eastAsia="仿宋_GB2312"/>
          <w:sz w:val="32"/>
          <w:szCs w:val="32"/>
        </w:rPr>
      </w:pPr>
      <w:r>
        <w:rPr>
          <w:rFonts w:hint="eastAsia" w:ascii="仿宋_GB2312" w:eastAsia="仿宋_GB2312"/>
          <w:b/>
          <w:sz w:val="32"/>
          <w:szCs w:val="32"/>
        </w:rPr>
        <w:t>公务用车运行维护费支出0</w:t>
      </w:r>
      <w:r>
        <w:rPr>
          <w:rFonts w:hint="eastAsia" w:ascii="仿宋_GB2312" w:eastAsia="仿宋_GB2312"/>
          <w:sz w:val="32"/>
          <w:szCs w:val="32"/>
        </w:rPr>
        <w:t>万元。</w:t>
      </w:r>
    </w:p>
    <w:p>
      <w:pPr>
        <w:spacing w:line="600" w:lineRule="exact"/>
        <w:ind w:firstLine="640"/>
        <w:rPr>
          <w:rFonts w:ascii="仿宋_GB2312" w:eastAsia="仿宋_GB2312"/>
          <w:sz w:val="32"/>
          <w:szCs w:val="32"/>
        </w:rPr>
      </w:pPr>
      <w:r>
        <w:rPr>
          <w:rFonts w:ascii="仿宋_GB2312" w:eastAsia="仿宋_GB2312"/>
          <w:b/>
          <w:sz w:val="32"/>
          <w:szCs w:val="32"/>
        </w:rPr>
        <w:t>3.</w:t>
      </w:r>
      <w:r>
        <w:rPr>
          <w:rFonts w:hint="eastAsia" w:ascii="仿宋_GB2312" w:eastAsia="仿宋_GB2312"/>
          <w:b/>
          <w:sz w:val="32"/>
          <w:szCs w:val="32"/>
        </w:rPr>
        <w:t>公务接待费支出0</w:t>
      </w:r>
      <w:r>
        <w:rPr>
          <w:rFonts w:hint="eastAsia" w:ascii="仿宋_GB2312" w:eastAsia="仿宋_GB2312"/>
          <w:sz w:val="32"/>
          <w:szCs w:val="32"/>
        </w:rPr>
        <w:t>万</w:t>
      </w:r>
      <w:r>
        <w:rPr>
          <w:rFonts w:hint="eastAsia" w:ascii="仿宋_GB2312" w:eastAsia="仿宋_GB2312"/>
          <w:b/>
          <w:sz w:val="32"/>
          <w:szCs w:val="32"/>
        </w:rPr>
        <w:t>元，完成预算0</w:t>
      </w:r>
      <w:r>
        <w:rPr>
          <w:rFonts w:ascii="仿宋_GB2312" w:eastAsia="仿宋_GB2312"/>
          <w:b/>
          <w:sz w:val="32"/>
          <w:szCs w:val="32"/>
        </w:rPr>
        <w:t>%</w:t>
      </w:r>
      <w:r>
        <w:rPr>
          <w:rFonts w:hint="eastAsia" w:ascii="仿宋_GB2312" w:eastAsia="仿宋_GB2312"/>
          <w:b/>
          <w:sz w:val="32"/>
          <w:szCs w:val="32"/>
        </w:rPr>
        <w:t>。公</w:t>
      </w:r>
      <w:r>
        <w:rPr>
          <w:rFonts w:hint="eastAsia" w:ascii="仿宋_GB2312" w:eastAsia="仿宋_GB2312"/>
          <w:sz w:val="32"/>
          <w:szCs w:val="32"/>
        </w:rPr>
        <w:t>务接待费支出决算与</w:t>
      </w:r>
      <w:r>
        <w:rPr>
          <w:rFonts w:ascii="仿宋_GB2312" w:eastAsia="仿宋_GB2312"/>
          <w:sz w:val="32"/>
          <w:szCs w:val="32"/>
        </w:rPr>
        <w:t>20</w:t>
      </w:r>
      <w:r>
        <w:rPr>
          <w:rFonts w:hint="eastAsia" w:ascii="仿宋_GB2312" w:eastAsia="仿宋_GB2312"/>
          <w:sz w:val="32"/>
          <w:szCs w:val="32"/>
        </w:rPr>
        <w:t>20年持平。</w:t>
      </w:r>
    </w:p>
    <w:p>
      <w:pPr>
        <w:spacing w:line="600" w:lineRule="exact"/>
        <w:ind w:firstLine="640"/>
        <w:rPr>
          <w:rFonts w:ascii="仿宋_GB2312" w:eastAsia="仿宋_GB2312"/>
          <w:b/>
          <w:sz w:val="32"/>
          <w:szCs w:val="32"/>
        </w:rPr>
      </w:pPr>
      <w:r>
        <w:rPr>
          <w:rFonts w:hint="eastAsia" w:ascii="仿宋_GB2312" w:eastAsia="仿宋_GB2312"/>
          <w:b/>
          <w:sz w:val="32"/>
          <w:szCs w:val="32"/>
        </w:rPr>
        <w:t>国内公务接待支出0万元。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外事接待支出0万元。</w:t>
      </w:r>
    </w:p>
    <w:p>
      <w:pPr>
        <w:spacing w:line="600" w:lineRule="exact"/>
        <w:ind w:firstLine="640"/>
        <w:rPr>
          <w:rFonts w:ascii="仿宋" w:hAnsi="仿宋" w:eastAsia="仿宋"/>
          <w:color w:val="000000"/>
          <w:sz w:val="32"/>
          <w:szCs w:val="32"/>
        </w:rPr>
      </w:pPr>
    </w:p>
    <w:p>
      <w:pPr>
        <w:pStyle w:val="2"/>
        <w:rPr>
          <w:rFonts w:hint="eastAsia" w:ascii="仿宋" w:hAnsi="仿宋" w:eastAsia="仿宋"/>
          <w:sz w:val="32"/>
          <w:szCs w:val="32"/>
        </w:rPr>
      </w:pPr>
      <w:r>
        <w:drawing>
          <wp:inline distT="0" distB="0" distL="0" distR="0">
            <wp:extent cx="5274310" cy="2792095"/>
            <wp:effectExtent l="38735" t="18415" r="40005" b="66040"/>
            <wp:docPr id="1"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600" w:lineRule="exact"/>
        <w:ind w:firstLine="640"/>
        <w:rPr>
          <w:rFonts w:ascii="仿宋" w:hAnsi="仿宋" w:eastAsia="仿宋"/>
          <w:sz w:val="32"/>
          <w:szCs w:val="32"/>
        </w:rPr>
      </w:pPr>
      <w:r>
        <w:rPr>
          <w:rFonts w:hint="eastAsia" w:ascii="仿宋" w:hAnsi="仿宋" w:eastAsia="仿宋"/>
          <w:sz w:val="32"/>
          <w:szCs w:val="32"/>
        </w:rPr>
        <w:t>图7：“三公”经费财政拨款支出结构）（饼状图）</w:t>
      </w:r>
    </w:p>
    <w:p>
      <w:pPr>
        <w:spacing w:line="600" w:lineRule="exact"/>
        <w:ind w:firstLine="640"/>
        <w:outlineLvl w:val="1"/>
        <w:rPr>
          <w:rFonts w:ascii="黑体" w:eastAsia="黑体"/>
          <w:sz w:val="32"/>
          <w:szCs w:val="32"/>
        </w:rPr>
      </w:pPr>
      <w:bookmarkStart w:id="41" w:name="_Toc15377218"/>
      <w:bookmarkStart w:id="42" w:name="_Toc15396610"/>
    </w:p>
    <w:p>
      <w:pPr>
        <w:spacing w:line="600" w:lineRule="exact"/>
        <w:ind w:firstLine="640"/>
        <w:outlineLvl w:val="1"/>
        <w:rPr>
          <w:rStyle w:val="25"/>
          <w:rFonts w:ascii="黑体" w:hAnsi="黑体" w:eastAsia="黑体"/>
        </w:rPr>
      </w:pPr>
      <w:r>
        <w:rPr>
          <w:rFonts w:hint="eastAsia" w:ascii="黑体" w:eastAsia="黑体"/>
          <w:sz w:val="32"/>
          <w:szCs w:val="32"/>
        </w:rPr>
        <w:t>八、</w:t>
      </w:r>
      <w:r>
        <w:rPr>
          <w:rStyle w:val="25"/>
          <w:rFonts w:hint="eastAsia" w:ascii="黑体" w:hAnsi="黑体" w:eastAsia="黑体"/>
          <w:b w:val="0"/>
        </w:rPr>
        <w:t>政府性基金预算支出决算情况说明</w:t>
      </w:r>
      <w:bookmarkEnd w:id="41"/>
      <w:bookmarkEnd w:id="42"/>
    </w:p>
    <w:p>
      <w:pPr>
        <w:spacing w:line="600" w:lineRule="exact"/>
        <w:ind w:firstLine="64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21年政府性基金预算财政拨款支出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w:t>
      </w:r>
    </w:p>
    <w:p>
      <w:pPr>
        <w:spacing w:line="600" w:lineRule="exact"/>
        <w:ind w:firstLine="640"/>
        <w:rPr>
          <w:rFonts w:ascii="仿宋_GB2312" w:eastAsia="仿宋_GB2312"/>
          <w:sz w:val="32"/>
          <w:szCs w:val="32"/>
        </w:rPr>
      </w:pPr>
    </w:p>
    <w:p>
      <w:pPr>
        <w:numPr>
          <w:ilvl w:val="0"/>
          <w:numId w:val="3"/>
        </w:numPr>
        <w:spacing w:line="600" w:lineRule="exact"/>
        <w:ind w:firstLine="640"/>
        <w:outlineLvl w:val="1"/>
        <w:rPr>
          <w:rStyle w:val="25"/>
          <w:rFonts w:ascii="黑体" w:hAnsi="黑体" w:eastAsia="黑体"/>
          <w:b w:val="0"/>
        </w:rPr>
      </w:pPr>
      <w:bookmarkStart w:id="43" w:name="_Toc15377219"/>
      <w:bookmarkStart w:id="44" w:name="_Toc15396611"/>
      <w:r>
        <w:rPr>
          <w:rStyle w:val="25"/>
          <w:rFonts w:hint="eastAsia" w:ascii="黑体" w:hAnsi="黑体" w:eastAsia="黑体"/>
          <w:b w:val="0"/>
        </w:rPr>
        <w:t>国有资本经营预算支出决算情况说明</w:t>
      </w:r>
      <w:bookmarkEnd w:id="43"/>
      <w:bookmarkEnd w:id="44"/>
    </w:p>
    <w:p>
      <w:pPr>
        <w:spacing w:line="600" w:lineRule="exact"/>
        <w:ind w:firstLine="64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21年国有资本经营预算财政拨款支出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w:t>
      </w:r>
    </w:p>
    <w:p>
      <w:pPr>
        <w:numPr>
          <w:ilvl w:val="0"/>
          <w:numId w:val="3"/>
        </w:numPr>
        <w:spacing w:line="600" w:lineRule="exact"/>
        <w:ind w:firstLine="640"/>
        <w:outlineLvl w:val="1"/>
        <w:rPr>
          <w:rStyle w:val="25"/>
          <w:rFonts w:ascii="黑体" w:hAnsi="黑体" w:eastAsia="黑体"/>
          <w:b w:val="0"/>
        </w:rPr>
      </w:pPr>
      <w:r>
        <w:rPr>
          <w:rStyle w:val="25"/>
          <w:rFonts w:hint="eastAsia" w:ascii="黑体" w:hAnsi="黑体" w:eastAsia="黑体"/>
          <w:b w:val="0"/>
        </w:rPr>
        <w:t>其他重要事项的情况说明</w:t>
      </w:r>
      <w:bookmarkEnd w:id="38"/>
      <w:bookmarkEnd w:id="39"/>
    </w:p>
    <w:p>
      <w:pPr>
        <w:spacing w:line="600" w:lineRule="exact"/>
        <w:ind w:firstLine="643" w:firstLineChars="200"/>
        <w:outlineLvl w:val="2"/>
        <w:rPr>
          <w:rFonts w:ascii="仿宋" w:hAnsi="仿宋" w:eastAsia="仿宋"/>
          <w:sz w:val="32"/>
          <w:szCs w:val="32"/>
        </w:rPr>
      </w:pPr>
      <w:bookmarkStart w:id="45" w:name="_Toc15377222"/>
      <w:r>
        <w:rPr>
          <w:rFonts w:hint="eastAsia" w:ascii="仿宋" w:hAnsi="仿宋" w:eastAsia="仿宋"/>
          <w:b/>
          <w:sz w:val="32"/>
          <w:szCs w:val="32"/>
        </w:rPr>
        <w:t>（一）机关运行经费支出情况</w:t>
      </w:r>
      <w:bookmarkEnd w:id="45"/>
    </w:p>
    <w:p>
      <w:pPr>
        <w:ind w:firstLine="640" w:firstLineChars="20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21年</w:t>
      </w:r>
      <w:r>
        <w:rPr>
          <w:rFonts w:hint="eastAsia" w:ascii="仿宋_GB2312" w:eastAsia="仿宋_GB2312"/>
          <w:color w:val="000000"/>
          <w:sz w:val="32"/>
          <w:szCs w:val="32"/>
        </w:rPr>
        <w:t>，乐山市市中区</w:t>
      </w:r>
      <w:r>
        <w:rPr>
          <w:rFonts w:hint="eastAsia" w:ascii="仿宋_GB2312" w:eastAsia="仿宋_GB2312"/>
          <w:color w:val="000000"/>
          <w:sz w:val="32"/>
          <w:szCs w:val="32"/>
          <w:lang w:eastAsia="zh-CN"/>
        </w:rPr>
        <w:t>荔德小学</w:t>
      </w:r>
      <w:r>
        <w:rPr>
          <w:rFonts w:hint="eastAsia" w:ascii="仿宋_GB2312" w:eastAsia="仿宋_GB2312"/>
          <w:color w:val="000000"/>
          <w:sz w:val="32"/>
          <w:szCs w:val="32"/>
        </w:rPr>
        <w:t>机关运行经费支出0万元。</w:t>
      </w:r>
    </w:p>
    <w:p>
      <w:pPr>
        <w:spacing w:line="600" w:lineRule="exact"/>
        <w:ind w:firstLine="643" w:firstLineChars="200"/>
        <w:rPr>
          <w:rFonts w:ascii="仿宋" w:hAnsi="仿宋" w:eastAsia="仿宋"/>
          <w:b/>
          <w:sz w:val="32"/>
          <w:szCs w:val="32"/>
        </w:rPr>
      </w:pPr>
      <w:r>
        <w:rPr>
          <w:rFonts w:hint="eastAsia" w:ascii="仿宋" w:hAnsi="仿宋" w:eastAsia="仿宋"/>
          <w:b/>
          <w:sz w:val="32"/>
          <w:szCs w:val="32"/>
        </w:rPr>
        <w:t>（注：数据来源于财决附</w:t>
      </w:r>
      <w:r>
        <w:rPr>
          <w:rFonts w:ascii="仿宋" w:hAnsi="仿宋" w:eastAsia="仿宋"/>
          <w:b/>
          <w:sz w:val="32"/>
          <w:szCs w:val="32"/>
        </w:rPr>
        <w:t>03</w:t>
      </w:r>
      <w:r>
        <w:rPr>
          <w:rFonts w:hint="eastAsia" w:ascii="仿宋" w:hAnsi="仿宋" w:eastAsia="仿宋"/>
          <w:b/>
          <w:sz w:val="32"/>
          <w:szCs w:val="32"/>
        </w:rPr>
        <w:t>表）</w:t>
      </w:r>
    </w:p>
    <w:p>
      <w:pPr>
        <w:autoSpaceDE w:val="0"/>
        <w:autoSpaceDN w:val="0"/>
        <w:adjustRightInd w:val="0"/>
        <w:spacing w:line="600" w:lineRule="exact"/>
        <w:ind w:firstLine="643" w:firstLineChars="200"/>
        <w:jc w:val="left"/>
        <w:outlineLvl w:val="2"/>
        <w:rPr>
          <w:rFonts w:ascii="仿宋" w:hAnsi="仿宋" w:eastAsia="仿宋"/>
          <w:b/>
          <w:sz w:val="32"/>
          <w:szCs w:val="32"/>
        </w:rPr>
      </w:pPr>
      <w:bookmarkStart w:id="46" w:name="_Toc15377223"/>
      <w:r>
        <w:rPr>
          <w:rFonts w:hint="eastAsia" w:ascii="仿宋" w:hAnsi="仿宋" w:eastAsia="仿宋"/>
          <w:b/>
          <w:sz w:val="32"/>
          <w:szCs w:val="32"/>
        </w:rPr>
        <w:t>（二）政府采购支出情况</w:t>
      </w:r>
      <w:bookmarkEnd w:id="46"/>
    </w:p>
    <w:p>
      <w:pPr>
        <w:ind w:firstLine="640" w:firstLineChars="20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21年，</w:t>
      </w:r>
      <w:r>
        <w:rPr>
          <w:rFonts w:hint="eastAsia" w:ascii="仿宋_GB2312" w:eastAsia="仿宋_GB2312"/>
          <w:color w:val="000000"/>
          <w:sz w:val="32"/>
          <w:szCs w:val="32"/>
        </w:rPr>
        <w:t>乐山市市中区</w:t>
      </w:r>
      <w:r>
        <w:rPr>
          <w:rFonts w:hint="eastAsia" w:ascii="仿宋_GB2312" w:eastAsia="仿宋_GB2312"/>
          <w:color w:val="000000"/>
          <w:sz w:val="32"/>
          <w:szCs w:val="32"/>
          <w:lang w:eastAsia="zh-CN"/>
        </w:rPr>
        <w:t>荔德小学</w:t>
      </w:r>
      <w:r>
        <w:rPr>
          <w:rFonts w:hint="eastAsia" w:ascii="仿宋_GB2312" w:eastAsia="仿宋_GB2312"/>
          <w:color w:val="000000"/>
          <w:sz w:val="32"/>
          <w:szCs w:val="32"/>
        </w:rPr>
        <w:t>政府采购支出总额0万元，其中：政府采购货物支出0万元、政府采购工程支出0万元、政府采购服务支出0万元。授予中小企业合同金额0万元，占政府采购支出总额的0</w:t>
      </w:r>
      <w:r>
        <w:rPr>
          <w:rFonts w:ascii="仿宋_GB2312" w:eastAsia="仿宋_GB2312"/>
          <w:color w:val="000000"/>
          <w:sz w:val="32"/>
          <w:szCs w:val="32"/>
        </w:rPr>
        <w:t>%</w:t>
      </w:r>
      <w:r>
        <w:rPr>
          <w:rFonts w:hint="eastAsia" w:ascii="仿宋_GB2312" w:eastAsia="仿宋_GB2312"/>
          <w:color w:val="000000"/>
          <w:sz w:val="32"/>
          <w:szCs w:val="32"/>
        </w:rPr>
        <w:t>，其中：授予小微企业合同金额0万元，占政府采购支出总额的0</w:t>
      </w:r>
      <w:r>
        <w:rPr>
          <w:rFonts w:ascii="仿宋_GB2312" w:eastAsia="仿宋_GB2312"/>
          <w:color w:val="000000"/>
          <w:sz w:val="32"/>
          <w:szCs w:val="32"/>
        </w:rPr>
        <w:t>%</w:t>
      </w:r>
      <w:r>
        <w:rPr>
          <w:rFonts w:hint="eastAsia" w:ascii="仿宋_GB2312" w:eastAsia="仿宋_GB2312"/>
          <w:color w:val="000000"/>
          <w:sz w:val="32"/>
          <w:szCs w:val="32"/>
        </w:rPr>
        <w:t>。</w:t>
      </w:r>
    </w:p>
    <w:p>
      <w:pPr>
        <w:spacing w:line="600" w:lineRule="exact"/>
        <w:ind w:firstLine="643" w:firstLineChars="200"/>
        <w:rPr>
          <w:rFonts w:ascii="仿宋" w:hAnsi="仿宋" w:eastAsia="仿宋"/>
          <w:b/>
          <w:sz w:val="32"/>
          <w:szCs w:val="32"/>
        </w:rPr>
      </w:pPr>
      <w:r>
        <w:rPr>
          <w:rFonts w:hint="eastAsia" w:ascii="仿宋" w:hAnsi="仿宋" w:eastAsia="仿宋"/>
          <w:b/>
          <w:sz w:val="32"/>
          <w:szCs w:val="32"/>
        </w:rPr>
        <w:t>（注：数据来源于财决附</w:t>
      </w:r>
      <w:r>
        <w:rPr>
          <w:rFonts w:ascii="仿宋" w:hAnsi="仿宋" w:eastAsia="仿宋"/>
          <w:b/>
          <w:sz w:val="32"/>
          <w:szCs w:val="32"/>
        </w:rPr>
        <w:t>03</w:t>
      </w:r>
      <w:r>
        <w:rPr>
          <w:rFonts w:hint="eastAsia" w:ascii="仿宋" w:hAnsi="仿宋" w:eastAsia="仿宋"/>
          <w:b/>
          <w:sz w:val="32"/>
          <w:szCs w:val="32"/>
        </w:rPr>
        <w:t>表）</w:t>
      </w:r>
    </w:p>
    <w:p>
      <w:pPr>
        <w:autoSpaceDE w:val="0"/>
        <w:autoSpaceDN w:val="0"/>
        <w:adjustRightInd w:val="0"/>
        <w:spacing w:line="600" w:lineRule="exact"/>
        <w:ind w:firstLine="643" w:firstLineChars="200"/>
        <w:jc w:val="left"/>
        <w:outlineLvl w:val="2"/>
        <w:rPr>
          <w:rFonts w:ascii="仿宋" w:hAnsi="仿宋" w:eastAsia="仿宋"/>
          <w:b/>
          <w:sz w:val="32"/>
          <w:szCs w:val="32"/>
        </w:rPr>
      </w:pPr>
      <w:bookmarkStart w:id="47" w:name="_Toc15377224"/>
      <w:r>
        <w:rPr>
          <w:rFonts w:hint="eastAsia" w:ascii="仿宋" w:hAnsi="仿宋" w:eastAsia="仿宋"/>
          <w:b/>
          <w:sz w:val="32"/>
          <w:szCs w:val="32"/>
        </w:rPr>
        <w:t>（三）国有资产占有使用情况</w:t>
      </w:r>
      <w:bookmarkEnd w:id="47"/>
    </w:p>
    <w:p>
      <w:pPr>
        <w:autoSpaceDE w:val="0"/>
        <w:autoSpaceDN w:val="0"/>
        <w:adjustRightInd w:val="0"/>
        <w:ind w:firstLine="640" w:firstLineChars="200"/>
        <w:jc w:val="left"/>
        <w:rPr>
          <w:rFonts w:ascii="仿宋" w:hAnsi="仿宋" w:eastAsia="仿宋"/>
          <w:b/>
          <w:color w:val="FF0000"/>
          <w:sz w:val="32"/>
          <w:szCs w:val="32"/>
        </w:rPr>
      </w:pPr>
      <w:r>
        <w:rPr>
          <w:rFonts w:hint="eastAsia" w:ascii="仿宋_GB2312" w:eastAsia="仿宋_GB2312"/>
          <w:color w:val="000000"/>
          <w:sz w:val="32"/>
          <w:szCs w:val="32"/>
        </w:rPr>
        <w:t>截至</w:t>
      </w:r>
      <w:r>
        <w:rPr>
          <w:rFonts w:ascii="仿宋_GB2312" w:eastAsia="仿宋_GB2312"/>
          <w:color w:val="000000"/>
          <w:sz w:val="32"/>
          <w:szCs w:val="32"/>
        </w:rPr>
        <w:t>202</w:t>
      </w:r>
      <w:r>
        <w:rPr>
          <w:rFonts w:hint="eastAsia" w:ascii="仿宋_GB2312" w:eastAsia="仿宋_GB2312"/>
          <w:color w:val="000000"/>
          <w:sz w:val="32"/>
          <w:szCs w:val="32"/>
          <w:lang w:val="en-US" w:eastAsia="zh-CN"/>
        </w:rPr>
        <w:t>1</w:t>
      </w:r>
      <w:r>
        <w:rPr>
          <w:rFonts w:hint="eastAsia" w:ascii="仿宋_GB2312" w:eastAsia="仿宋_GB2312"/>
          <w:color w:val="000000"/>
          <w:sz w:val="32"/>
          <w:szCs w:val="32"/>
        </w:rPr>
        <w:t>年</w:t>
      </w:r>
      <w:r>
        <w:rPr>
          <w:rFonts w:ascii="仿宋_GB2312" w:eastAsia="仿宋_GB2312"/>
          <w:color w:val="000000"/>
          <w:sz w:val="32"/>
          <w:szCs w:val="32"/>
        </w:rPr>
        <w:t>12</w:t>
      </w:r>
      <w:r>
        <w:rPr>
          <w:rFonts w:hint="eastAsia" w:ascii="仿宋_GB2312" w:eastAsia="仿宋_GB2312"/>
          <w:color w:val="000000"/>
          <w:sz w:val="32"/>
          <w:szCs w:val="32"/>
        </w:rPr>
        <w:t>月</w:t>
      </w:r>
      <w:r>
        <w:rPr>
          <w:rFonts w:ascii="仿宋_GB2312" w:eastAsia="仿宋_GB2312"/>
          <w:color w:val="000000"/>
          <w:sz w:val="32"/>
          <w:szCs w:val="32"/>
        </w:rPr>
        <w:t>31</w:t>
      </w:r>
      <w:r>
        <w:rPr>
          <w:rFonts w:hint="eastAsia" w:ascii="仿宋_GB2312" w:eastAsia="仿宋_GB2312"/>
          <w:color w:val="000000"/>
          <w:sz w:val="32"/>
          <w:szCs w:val="32"/>
        </w:rPr>
        <w:t>日，乐山市市中区</w:t>
      </w:r>
      <w:r>
        <w:rPr>
          <w:rFonts w:hint="eastAsia" w:ascii="仿宋_GB2312" w:eastAsia="仿宋_GB2312"/>
          <w:color w:val="000000"/>
          <w:sz w:val="32"/>
          <w:szCs w:val="32"/>
          <w:lang w:eastAsia="zh-CN"/>
        </w:rPr>
        <w:t>荔德小学</w:t>
      </w:r>
      <w:r>
        <w:rPr>
          <w:rFonts w:hint="eastAsia" w:ascii="仿宋_GB2312" w:eastAsia="仿宋_GB2312"/>
          <w:color w:val="000000"/>
          <w:sz w:val="32"/>
          <w:szCs w:val="32"/>
        </w:rPr>
        <w:t>共有车辆0辆，其中：主要领导干部用车0辆、机要通信用车0辆、应急保障用车0辆、其他用车0辆0。单价</w:t>
      </w:r>
      <w:r>
        <w:rPr>
          <w:rFonts w:ascii="仿宋_GB2312" w:eastAsia="仿宋_GB2312"/>
          <w:color w:val="000000"/>
          <w:sz w:val="32"/>
          <w:szCs w:val="32"/>
        </w:rPr>
        <w:t>50</w:t>
      </w:r>
      <w:r>
        <w:rPr>
          <w:rFonts w:hint="eastAsia" w:ascii="仿宋_GB2312" w:eastAsia="仿宋_GB2312"/>
          <w:color w:val="000000"/>
          <w:sz w:val="32"/>
          <w:szCs w:val="32"/>
        </w:rPr>
        <w:t>万元以上通用设备0台（套），单价</w:t>
      </w:r>
      <w:r>
        <w:rPr>
          <w:rFonts w:ascii="仿宋_GB2312" w:eastAsia="仿宋_GB2312"/>
          <w:color w:val="000000"/>
          <w:sz w:val="32"/>
          <w:szCs w:val="32"/>
        </w:rPr>
        <w:t>100</w:t>
      </w:r>
      <w:r>
        <w:rPr>
          <w:rFonts w:hint="eastAsia" w:ascii="仿宋_GB2312" w:eastAsia="仿宋_GB2312"/>
          <w:color w:val="000000"/>
          <w:sz w:val="32"/>
          <w:szCs w:val="32"/>
        </w:rPr>
        <w:t>万元以上专用设备0台（套）。</w:t>
      </w:r>
    </w:p>
    <w:p>
      <w:pPr>
        <w:autoSpaceDE w:val="0"/>
        <w:autoSpaceDN w:val="0"/>
        <w:adjustRightInd w:val="0"/>
        <w:spacing w:line="600" w:lineRule="exact"/>
        <w:ind w:firstLine="643" w:firstLineChars="200"/>
        <w:jc w:val="left"/>
        <w:rPr>
          <w:rFonts w:ascii="仿宋" w:hAnsi="仿宋" w:eastAsia="仿宋"/>
          <w:b/>
          <w:sz w:val="32"/>
          <w:szCs w:val="32"/>
        </w:rPr>
      </w:pPr>
      <w:r>
        <w:rPr>
          <w:rFonts w:hint="eastAsia" w:ascii="仿宋" w:hAnsi="仿宋" w:eastAsia="仿宋"/>
          <w:b/>
          <w:sz w:val="32"/>
          <w:szCs w:val="32"/>
        </w:rPr>
        <w:t>（注：数据来源于财决附</w:t>
      </w:r>
      <w:r>
        <w:rPr>
          <w:rFonts w:ascii="仿宋" w:hAnsi="仿宋" w:eastAsia="仿宋"/>
          <w:b/>
          <w:sz w:val="32"/>
          <w:szCs w:val="32"/>
        </w:rPr>
        <w:t>03</w:t>
      </w:r>
      <w:r>
        <w:rPr>
          <w:rFonts w:hint="eastAsia" w:ascii="仿宋" w:hAnsi="仿宋" w:eastAsia="仿宋"/>
          <w:b/>
          <w:sz w:val="32"/>
          <w:szCs w:val="32"/>
        </w:rPr>
        <w:t>表，按单位决算报表填报数据罗列车辆情况。）</w:t>
      </w:r>
    </w:p>
    <w:p>
      <w:pPr>
        <w:autoSpaceDE w:val="0"/>
        <w:autoSpaceDN w:val="0"/>
        <w:adjustRightInd w:val="0"/>
        <w:spacing w:line="600" w:lineRule="exact"/>
        <w:ind w:firstLine="643" w:firstLineChars="200"/>
        <w:jc w:val="left"/>
        <w:outlineLvl w:val="2"/>
        <w:rPr>
          <w:rFonts w:ascii="仿宋" w:hAnsi="仿宋" w:eastAsia="仿宋"/>
          <w:b/>
          <w:sz w:val="32"/>
          <w:szCs w:val="32"/>
        </w:rPr>
      </w:pPr>
      <w:r>
        <w:rPr>
          <w:rFonts w:hint="eastAsia" w:ascii="仿宋" w:hAnsi="仿宋" w:eastAsia="仿宋"/>
          <w:b/>
          <w:sz w:val="32"/>
          <w:szCs w:val="32"/>
        </w:rPr>
        <w:t>（四）预算绩效管理情况</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根据预算绩效管理要求，本单位在年初预算编制阶段，组织对校园安保</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lang w:val="en-US" w:eastAsia="zh-CN"/>
        </w:rPr>
        <w:t>5个</w:t>
      </w:r>
      <w:r>
        <w:rPr>
          <w:rFonts w:hint="eastAsia" w:ascii="仿宋_GB2312" w:hAnsi="仿宋_GB2312" w:eastAsia="仿宋_GB2312" w:cs="仿宋_GB2312"/>
          <w:sz w:val="32"/>
          <w:szCs w:val="32"/>
        </w:rPr>
        <w:t>项目开展了预算事前绩效评估，对</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个项目编制了绩效目标，预算执行过程中，选取1个项目开展绩效监控，年终执行完毕后，对1个项目开展了绩效目标完成情况自评。</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本单位按要求对202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年部门整体支出开展绩效自评，从评价情况来看预决算编制合理，支出高效，进度执行规范。财政支出既保障本园正常运转，又保证了重点项目开支，财政支出绩效良好。</w:t>
      </w:r>
    </w:p>
    <w:p>
      <w:pPr>
        <w:numPr>
          <w:ilvl w:val="0"/>
          <w:numId w:val="4"/>
        </w:numPr>
        <w:ind w:firstLine="640" w:firstLineChars="200"/>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项目绩效目标完成情况。</w:t>
      </w:r>
    </w:p>
    <w:p>
      <w:pPr>
        <w:numPr>
          <w:ilvl w:val="0"/>
          <w:numId w:val="4"/>
        </w:numPr>
        <w:ind w:firstLine="640" w:firstLineChars="200"/>
        <w:rPr>
          <w:rFonts w:hint="eastAsia" w:ascii="仿宋_GB2312" w:hAnsi="仿宋_GB2312" w:eastAsia="仿宋_GB2312" w:cs="仿宋_GB2312"/>
          <w:sz w:val="32"/>
          <w:szCs w:val="32"/>
        </w:rPr>
      </w:pP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本部门在</w:t>
      </w:r>
      <w:r>
        <w:rPr>
          <w:rFonts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年度部门决算中反映“校园安保</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1个项目绩效目标实际完成情况。</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）校园安保项目绩效目标完成情况综述。项目全年预算数</w:t>
      </w:r>
      <w:r>
        <w:rPr>
          <w:rFonts w:hint="eastAsia" w:ascii="仿宋_GB2312" w:hAnsi="仿宋_GB2312" w:eastAsia="仿宋_GB2312" w:cs="仿宋_GB2312"/>
          <w:sz w:val="32"/>
          <w:szCs w:val="32"/>
          <w:lang w:val="en-US" w:eastAsia="zh-CN"/>
        </w:rPr>
        <w:t>7.67</w:t>
      </w:r>
      <w:r>
        <w:rPr>
          <w:rFonts w:hint="eastAsia" w:ascii="仿宋_GB2312" w:hAnsi="仿宋_GB2312" w:eastAsia="仿宋_GB2312" w:cs="仿宋_GB2312"/>
          <w:sz w:val="32"/>
          <w:szCs w:val="32"/>
        </w:rPr>
        <w:t>万元，执行数为</w:t>
      </w:r>
      <w:r>
        <w:rPr>
          <w:rFonts w:hint="eastAsia" w:ascii="仿宋_GB2312" w:hAnsi="仿宋_GB2312" w:eastAsia="仿宋_GB2312" w:cs="仿宋_GB2312"/>
          <w:sz w:val="32"/>
          <w:szCs w:val="32"/>
          <w:lang w:val="en-US" w:eastAsia="zh-CN"/>
        </w:rPr>
        <w:t>7.65</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99.76</w:t>
      </w:r>
      <w:r>
        <w:rPr>
          <w:rFonts w:hint="eastAsia" w:ascii="仿宋_GB2312" w:hAnsi="仿宋_GB2312" w:eastAsia="仿宋_GB2312" w:cs="仿宋_GB2312"/>
          <w:sz w:val="32"/>
          <w:szCs w:val="32"/>
        </w:rPr>
        <w:t>%。通过项目实施，保障确保安保人员到岗到位，确保安保经费足额按时发放，确保广大师生生命安全和校园财产安全。</w:t>
      </w:r>
    </w:p>
    <w:tbl>
      <w:tblPr>
        <w:tblStyle w:val="12"/>
        <w:tblpPr w:leftFromText="180" w:rightFromText="180" w:vertAnchor="text" w:horzAnchor="page" w:tblpXSpec="center" w:tblpY="423"/>
        <w:tblOverlap w:val="never"/>
        <w:tblW w:w="9960" w:type="dxa"/>
        <w:jc w:val="center"/>
        <w:tblLayout w:type="fixed"/>
        <w:tblCellMar>
          <w:top w:w="0" w:type="dxa"/>
          <w:left w:w="0" w:type="dxa"/>
          <w:bottom w:w="0" w:type="dxa"/>
          <w:right w:w="0" w:type="dxa"/>
        </w:tblCellMar>
      </w:tblPr>
      <w:tblGrid>
        <w:gridCol w:w="390"/>
        <w:gridCol w:w="1367"/>
        <w:gridCol w:w="1025"/>
        <w:gridCol w:w="2392"/>
        <w:gridCol w:w="2394"/>
        <w:gridCol w:w="2392"/>
      </w:tblGrid>
      <w:tr>
        <w:tblPrEx>
          <w:tblCellMar>
            <w:top w:w="0" w:type="dxa"/>
            <w:left w:w="0" w:type="dxa"/>
            <w:bottom w:w="0" w:type="dxa"/>
            <w:right w:w="0" w:type="dxa"/>
          </w:tblCellMar>
        </w:tblPrEx>
        <w:trPr>
          <w:trHeight w:val="1034" w:hRule="atLeast"/>
          <w:jc w:val="center"/>
        </w:trPr>
        <w:tc>
          <w:tcPr>
            <w:tcW w:w="9960" w:type="dxa"/>
            <w:gridSpan w:val="6"/>
            <w:tcBorders>
              <w:top w:val="nil"/>
              <w:left w:val="nil"/>
              <w:bottom w:val="nil"/>
              <w:right w:val="nil"/>
            </w:tcBorders>
            <w:noWrap w:val="0"/>
            <w:tcMar>
              <w:top w:w="15" w:type="dxa"/>
              <w:left w:w="15" w:type="dxa"/>
              <w:right w:w="15" w:type="dxa"/>
            </w:tcMar>
            <w:vAlign w:val="center"/>
          </w:tcPr>
          <w:p>
            <w:pPr>
              <w:widowControl/>
              <w:jc w:val="center"/>
              <w:textAlignment w:val="center"/>
              <w:rPr>
                <w:rFonts w:hint="eastAsia" w:ascii="宋体" w:hAnsi="宋体" w:eastAsia="宋体" w:cs="宋体"/>
                <w:b/>
                <w:bCs/>
                <w:color w:val="000000"/>
                <w:kern w:val="0"/>
                <w:sz w:val="36"/>
                <w:szCs w:val="36"/>
                <w:lang w:eastAsia="zh-CN" w:bidi="ar"/>
              </w:rPr>
            </w:pPr>
            <w:r>
              <w:rPr>
                <w:rFonts w:hint="eastAsia" w:ascii="宋体" w:hAnsi="宋体" w:cs="宋体"/>
                <w:b/>
                <w:bCs/>
                <w:color w:val="000000"/>
                <w:kern w:val="0"/>
                <w:sz w:val="36"/>
                <w:szCs w:val="36"/>
                <w:lang w:bidi="ar"/>
              </w:rPr>
              <w:t>项目绩效目标完成情况表</w:t>
            </w:r>
          </w:p>
          <w:p>
            <w:pPr>
              <w:widowControl/>
              <w:jc w:val="center"/>
              <w:textAlignment w:val="center"/>
              <w:rPr>
                <w:rFonts w:ascii="宋体" w:cs="宋体"/>
                <w:color w:val="000000"/>
                <w:sz w:val="36"/>
                <w:szCs w:val="36"/>
              </w:rPr>
            </w:pPr>
            <w:r>
              <w:rPr>
                <w:rFonts w:ascii="宋体" w:hAnsi="宋体" w:cs="宋体"/>
                <w:color w:val="000000"/>
                <w:kern w:val="0"/>
                <w:sz w:val="36"/>
                <w:szCs w:val="36"/>
                <w:lang w:bidi="ar"/>
              </w:rPr>
              <w:t>(202</w:t>
            </w:r>
            <w:r>
              <w:rPr>
                <w:rFonts w:hint="eastAsia" w:ascii="宋体" w:hAnsi="宋体" w:cs="宋体"/>
                <w:color w:val="000000"/>
                <w:kern w:val="0"/>
                <w:sz w:val="36"/>
                <w:szCs w:val="36"/>
                <w:lang w:val="en-US" w:eastAsia="zh-CN" w:bidi="ar"/>
              </w:rPr>
              <w:t>1</w:t>
            </w:r>
            <w:r>
              <w:rPr>
                <w:rFonts w:hint="eastAsia" w:ascii="宋体" w:hAnsi="宋体" w:cs="宋体"/>
                <w:color w:val="000000"/>
                <w:kern w:val="0"/>
                <w:sz w:val="36"/>
                <w:szCs w:val="36"/>
                <w:lang w:bidi="ar"/>
              </w:rPr>
              <w:t>年度</w:t>
            </w:r>
            <w:r>
              <w:rPr>
                <w:rFonts w:ascii="宋体" w:hAnsi="宋体" w:cs="宋体"/>
                <w:color w:val="000000"/>
                <w:kern w:val="0"/>
                <w:sz w:val="36"/>
                <w:szCs w:val="36"/>
                <w:lang w:bidi="ar"/>
              </w:rPr>
              <w:t>)</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项目名称</w:t>
            </w:r>
          </w:p>
        </w:tc>
        <w:tc>
          <w:tcPr>
            <w:tcW w:w="7178"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cs="宋体"/>
                <w:color w:val="000000"/>
                <w:sz w:val="24"/>
              </w:rPr>
            </w:pPr>
            <w:r>
              <w:rPr>
                <w:rFonts w:hint="eastAsia" w:ascii="宋体" w:cs="宋体"/>
                <w:color w:val="000000"/>
                <w:sz w:val="24"/>
              </w:rPr>
              <w:t>校园安保</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预算单位</w:t>
            </w:r>
          </w:p>
        </w:tc>
        <w:tc>
          <w:tcPr>
            <w:tcW w:w="7178"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cs="宋体"/>
                <w:color w:val="000000"/>
                <w:sz w:val="24"/>
              </w:rPr>
            </w:pPr>
            <w:r>
              <w:rPr>
                <w:rFonts w:hint="eastAsia" w:ascii="宋体" w:cs="宋体"/>
                <w:color w:val="000000"/>
                <w:sz w:val="24"/>
              </w:rPr>
              <w:t>乐山市市中区悦来乡学校</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预算执行情况</w:t>
            </w:r>
            <w:r>
              <w:rPr>
                <w:rFonts w:ascii="宋体" w:hAnsi="宋体" w:cs="宋体"/>
                <w:color w:val="000000"/>
                <w:kern w:val="0"/>
                <w:sz w:val="24"/>
                <w:lang w:bidi="ar"/>
              </w:rPr>
              <w:t>(</w:t>
            </w:r>
            <w:r>
              <w:rPr>
                <w:rFonts w:hint="eastAsia" w:ascii="宋体" w:hAnsi="宋体" w:cs="宋体"/>
                <w:color w:val="000000"/>
                <w:kern w:val="0"/>
                <w:sz w:val="24"/>
                <w:lang w:bidi="ar"/>
              </w:rPr>
              <w:t>万元</w:t>
            </w:r>
            <w:r>
              <w:rPr>
                <w:rFonts w:ascii="宋体" w:hAnsi="宋体" w:cs="宋体"/>
                <w:color w:val="000000"/>
                <w:kern w:val="0"/>
                <w:sz w:val="24"/>
                <w:lang w:bidi="ar"/>
              </w:rPr>
              <w:t>)</w:t>
            </w:r>
          </w:p>
        </w:tc>
        <w:tc>
          <w:tcPr>
            <w:tcW w:w="2392"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宋体" w:eastAsia="宋体" w:cs="宋体"/>
                <w:color w:val="000000"/>
                <w:sz w:val="24"/>
                <w:lang w:val="en-US" w:eastAsia="zh-CN"/>
              </w:rPr>
            </w:pPr>
            <w:r>
              <w:rPr>
                <w:rFonts w:hint="eastAsia" w:ascii="宋体" w:cs="宋体"/>
                <w:color w:val="000000"/>
                <w:sz w:val="24"/>
                <w:lang w:val="en-US" w:eastAsia="zh-CN"/>
              </w:rPr>
              <w:t>7.67</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执行数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宋体" w:eastAsia="宋体" w:cs="宋体"/>
                <w:color w:val="000000"/>
                <w:sz w:val="24"/>
                <w:lang w:val="en-US" w:eastAsia="zh-CN"/>
              </w:rPr>
            </w:pPr>
            <w:r>
              <w:rPr>
                <w:rFonts w:hint="eastAsia" w:ascii="宋体" w:cs="宋体"/>
                <w:color w:val="000000"/>
                <w:sz w:val="24"/>
                <w:lang w:val="en-US" w:eastAsia="zh-CN"/>
              </w:rPr>
              <w:t>7.65</w:t>
            </w:r>
          </w:p>
        </w:tc>
      </w:tr>
      <w:tr>
        <w:tblPrEx>
          <w:tblCellMar>
            <w:top w:w="0" w:type="dxa"/>
            <w:left w:w="0" w:type="dxa"/>
            <w:bottom w:w="0" w:type="dxa"/>
            <w:right w:w="0" w:type="dxa"/>
          </w:tblCellMar>
        </w:tblPrEx>
        <w:trPr>
          <w:trHeight w:val="276"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宋体" w:eastAsia="宋体" w:cs="宋体"/>
                <w:color w:val="000000"/>
                <w:sz w:val="24"/>
                <w:lang w:val="en-US" w:eastAsia="zh-CN"/>
              </w:rPr>
            </w:pPr>
            <w:r>
              <w:rPr>
                <w:rFonts w:hint="eastAsia" w:ascii="宋体" w:cs="宋体"/>
                <w:color w:val="000000"/>
                <w:sz w:val="24"/>
                <w:lang w:val="en-US" w:eastAsia="zh-CN"/>
              </w:rPr>
              <w:t>7.67</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宋体" w:eastAsia="宋体" w:cs="宋体"/>
                <w:color w:val="000000"/>
                <w:sz w:val="24"/>
                <w:lang w:val="en-US" w:eastAsia="zh-CN"/>
              </w:rPr>
            </w:pPr>
            <w:r>
              <w:rPr>
                <w:rFonts w:hint="eastAsia" w:ascii="宋体" w:cs="宋体"/>
                <w:color w:val="000000"/>
                <w:sz w:val="24"/>
                <w:lang w:val="en-US" w:eastAsia="zh-CN"/>
              </w:rPr>
              <w:t>7.65</w:t>
            </w:r>
          </w:p>
        </w:tc>
      </w:tr>
      <w:tr>
        <w:tblPrEx>
          <w:tblCellMar>
            <w:top w:w="0" w:type="dxa"/>
            <w:left w:w="0" w:type="dxa"/>
            <w:bottom w:w="0" w:type="dxa"/>
            <w:right w:w="0" w:type="dxa"/>
          </w:tblCellMar>
        </w:tblPrEx>
        <w:trPr>
          <w:trHeight w:val="1511"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ascii="宋体" w:cs="宋体"/>
                <w:color w:val="000000"/>
                <w:sz w:val="24"/>
              </w:rPr>
            </w:pP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年度目标完成情况</w:t>
            </w:r>
          </w:p>
        </w:tc>
        <w:tc>
          <w:tcPr>
            <w:tcW w:w="478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预期目标</w:t>
            </w:r>
          </w:p>
        </w:tc>
        <w:tc>
          <w:tcPr>
            <w:tcW w:w="478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实际完成目标</w:t>
            </w:r>
          </w:p>
        </w:tc>
      </w:tr>
      <w:tr>
        <w:tblPrEx>
          <w:tblCellMar>
            <w:top w:w="0" w:type="dxa"/>
            <w:left w:w="0" w:type="dxa"/>
            <w:bottom w:w="0" w:type="dxa"/>
            <w:right w:w="0" w:type="dxa"/>
          </w:tblCellMar>
        </w:tblPrEx>
        <w:trPr>
          <w:trHeight w:val="1159"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ascii="宋体" w:cs="宋体"/>
                <w:color w:val="000000"/>
                <w:sz w:val="24"/>
              </w:rPr>
            </w:pPr>
          </w:p>
        </w:tc>
        <w:tc>
          <w:tcPr>
            <w:tcW w:w="478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确保校园安全，保证安保人员每月劳务费及绩效按时、足额发放。</w:t>
            </w:r>
          </w:p>
        </w:tc>
        <w:tc>
          <w:tcPr>
            <w:tcW w:w="478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确保校园安全，保证安保人员每月劳务费及绩效按时、足额发放。</w:t>
            </w:r>
          </w:p>
        </w:tc>
      </w:tr>
      <w:tr>
        <w:tblPrEx>
          <w:tblCellMar>
            <w:top w:w="0" w:type="dxa"/>
            <w:left w:w="0" w:type="dxa"/>
            <w:bottom w:w="0" w:type="dxa"/>
            <w:right w:w="0" w:type="dxa"/>
          </w:tblCellMar>
        </w:tblPrEx>
        <w:trPr>
          <w:trHeight w:val="1042" w:hRule="atLeast"/>
          <w:jc w:val="center"/>
        </w:trPr>
        <w:tc>
          <w:tcPr>
            <w:tcW w:w="390" w:type="dxa"/>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绩效指标完成情况</w:t>
            </w:r>
          </w:p>
        </w:tc>
        <w:tc>
          <w:tcPr>
            <w:tcW w:w="13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一级指标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二级指标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三级指标</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r>
      <w:tr>
        <w:tblPrEx>
          <w:tblCellMar>
            <w:top w:w="0" w:type="dxa"/>
            <w:left w:w="0" w:type="dxa"/>
            <w:bottom w:w="0" w:type="dxa"/>
            <w:right w:w="0" w:type="dxa"/>
          </w:tblCellMar>
        </w:tblPrEx>
        <w:trPr>
          <w:trHeight w:val="953" w:hRule="atLeast"/>
          <w:jc w:val="center"/>
        </w:trPr>
        <w:tc>
          <w:tcPr>
            <w:tcW w:w="390"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数量指标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0"/>
                <w:szCs w:val="20"/>
              </w:rPr>
              <w:t>安保人员</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0"/>
                <w:szCs w:val="20"/>
              </w:rPr>
              <w:t>=</w:t>
            </w:r>
            <w:r>
              <w:rPr>
                <w:rFonts w:hint="eastAsia" w:ascii="宋体" w:hAnsi="宋体" w:cs="宋体"/>
                <w:color w:val="000000"/>
                <w:kern w:val="0"/>
                <w:sz w:val="20"/>
                <w:szCs w:val="20"/>
                <w:lang w:val="en-US" w:eastAsia="zh-CN"/>
              </w:rPr>
              <w:t>2</w:t>
            </w:r>
            <w:r>
              <w:rPr>
                <w:rFonts w:hint="eastAsia" w:ascii="宋体" w:hAnsi="宋体" w:cs="宋体"/>
                <w:color w:val="000000"/>
                <w:kern w:val="0"/>
                <w:sz w:val="20"/>
                <w:szCs w:val="20"/>
              </w:rPr>
              <w:t>名</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0"/>
                <w:szCs w:val="20"/>
              </w:rPr>
              <w:t>=</w:t>
            </w:r>
            <w:r>
              <w:rPr>
                <w:rFonts w:hint="eastAsia" w:ascii="宋体" w:hAnsi="宋体" w:cs="宋体"/>
                <w:color w:val="000000"/>
                <w:kern w:val="0"/>
                <w:sz w:val="20"/>
                <w:szCs w:val="20"/>
                <w:lang w:val="en-US" w:eastAsia="zh-CN"/>
              </w:rPr>
              <w:t>2</w:t>
            </w:r>
            <w:r>
              <w:rPr>
                <w:rFonts w:hint="eastAsia" w:ascii="宋体" w:hAnsi="宋体" w:cs="宋体"/>
                <w:color w:val="000000"/>
                <w:kern w:val="0"/>
                <w:sz w:val="20"/>
                <w:szCs w:val="20"/>
              </w:rPr>
              <w:t>名</w:t>
            </w:r>
          </w:p>
        </w:tc>
      </w:tr>
      <w:tr>
        <w:tblPrEx>
          <w:tblCellMar>
            <w:top w:w="0" w:type="dxa"/>
            <w:left w:w="0" w:type="dxa"/>
            <w:bottom w:w="0" w:type="dxa"/>
            <w:right w:w="0" w:type="dxa"/>
          </w:tblCellMar>
        </w:tblPrEx>
        <w:trPr>
          <w:trHeight w:val="1297" w:hRule="atLeast"/>
          <w:jc w:val="center"/>
        </w:trPr>
        <w:tc>
          <w:tcPr>
            <w:tcW w:w="390"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0"/>
                <w:szCs w:val="20"/>
              </w:rPr>
              <w:t>质量指标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0"/>
                <w:szCs w:val="20"/>
              </w:rPr>
              <w:t>安保经费</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0"/>
                <w:szCs w:val="20"/>
              </w:rPr>
              <w:t>安保经费</w:t>
            </w:r>
            <w:r>
              <w:rPr>
                <w:rFonts w:hint="eastAsia" w:ascii="宋体" w:hAnsi="宋体" w:cs="宋体"/>
                <w:color w:val="000000"/>
                <w:sz w:val="24"/>
                <w:lang w:val="en-US" w:eastAsia="zh-CN"/>
              </w:rPr>
              <w:t>7.65</w:t>
            </w:r>
            <w:r>
              <w:rPr>
                <w:rFonts w:hint="eastAsia" w:ascii="宋体" w:hAnsi="宋体" w:cs="宋体"/>
                <w:color w:val="000000"/>
                <w:kern w:val="0"/>
                <w:sz w:val="20"/>
                <w:szCs w:val="20"/>
              </w:rPr>
              <w:t>万元</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0"/>
                <w:szCs w:val="20"/>
              </w:rPr>
              <w:t>安保经费</w:t>
            </w:r>
            <w:r>
              <w:rPr>
                <w:rFonts w:hint="eastAsia" w:ascii="宋体" w:hAnsi="宋体" w:cs="宋体"/>
                <w:color w:val="000000"/>
                <w:sz w:val="24"/>
                <w:lang w:val="en-US" w:eastAsia="zh-CN"/>
              </w:rPr>
              <w:t>7.65</w:t>
            </w:r>
            <w:r>
              <w:rPr>
                <w:rFonts w:hint="eastAsia" w:ascii="宋体" w:hAnsi="宋体" w:cs="宋体"/>
                <w:color w:val="000000"/>
                <w:kern w:val="0"/>
                <w:sz w:val="20"/>
                <w:szCs w:val="20"/>
              </w:rPr>
              <w:t>万元</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0"/>
                <w:szCs w:val="20"/>
              </w:rPr>
              <w:t>质量指标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0"/>
                <w:szCs w:val="20"/>
              </w:rPr>
              <w:t>安保人员</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0"/>
                <w:szCs w:val="20"/>
              </w:rPr>
              <w:t>确保安保人员到岗到位</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0"/>
                <w:szCs w:val="20"/>
              </w:rPr>
              <w:t>确保安保人员到岗到位</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kern w:val="0"/>
                <w:sz w:val="24"/>
                <w:lang w:bidi="ar"/>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0"/>
                <w:szCs w:val="20"/>
              </w:rPr>
              <w:t>质量指标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0"/>
                <w:szCs w:val="20"/>
              </w:rPr>
              <w:t>安保经费</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0"/>
                <w:szCs w:val="20"/>
              </w:rPr>
              <w:t>确保安保经费足额按时发放</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0"/>
                <w:szCs w:val="20"/>
              </w:rPr>
              <w:t>确保安保经费足额按时发放</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0"/>
                <w:szCs w:val="20"/>
              </w:rPr>
              <w:t>质量指标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0"/>
                <w:szCs w:val="20"/>
              </w:rPr>
              <w:t>校园秩序</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0"/>
                <w:szCs w:val="20"/>
              </w:rPr>
              <w:t>确保广大师生生命安全和校园财产安全</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0"/>
                <w:szCs w:val="20"/>
              </w:rPr>
              <w:t>确保广大师生生命安全和校园财产安全</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效益指标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0"/>
                <w:szCs w:val="20"/>
              </w:rPr>
              <w:t>时效指标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0"/>
                <w:szCs w:val="20"/>
              </w:rPr>
              <w:t>安保经费划拨</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0"/>
                <w:szCs w:val="20"/>
              </w:rPr>
              <w:t>按月足额划拨资金</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0"/>
                <w:szCs w:val="20"/>
              </w:rPr>
              <w:t>按月足额划拨资金</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满意度指标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满意度指标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0"/>
                <w:szCs w:val="20"/>
              </w:rPr>
              <w:t>师生满意度</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0"/>
                <w:szCs w:val="20"/>
              </w:rPr>
              <w:t>师生满意度95%以上</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0"/>
                <w:szCs w:val="20"/>
              </w:rPr>
              <w:t>师生满意度95%以上</w:t>
            </w:r>
          </w:p>
        </w:tc>
      </w:tr>
      <w:tr>
        <w:tblPrEx>
          <w:tblCellMar>
            <w:top w:w="0" w:type="dxa"/>
            <w:left w:w="0" w:type="dxa"/>
            <w:bottom w:w="0" w:type="dxa"/>
            <w:right w:w="0" w:type="dxa"/>
          </w:tblCellMar>
        </w:tblPrEx>
        <w:trPr>
          <w:trHeight w:val="1297" w:hRule="atLeast"/>
          <w:jc w:val="center"/>
        </w:trPr>
        <w:tc>
          <w:tcPr>
            <w:tcW w:w="390"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满意度指标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满意度指标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0"/>
                <w:szCs w:val="20"/>
              </w:rPr>
              <w:t>社会认可度</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0"/>
                <w:szCs w:val="20"/>
              </w:rPr>
              <w:t>社会满意度测评95%以上</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0"/>
                <w:szCs w:val="20"/>
              </w:rPr>
              <w:t>社会满意度测评95%以上</w:t>
            </w:r>
          </w:p>
        </w:tc>
      </w:tr>
    </w:tbl>
    <w:p>
      <w:pPr>
        <w:ind w:left="630"/>
        <w:rPr>
          <w:rFonts w:ascii="仿宋_GB2312" w:hAnsi="仿宋_GB2312" w:eastAsia="仿宋_GB2312" w:cs="仿宋_GB2312"/>
          <w:sz w:val="32"/>
          <w:szCs w:val="32"/>
        </w:rPr>
      </w:pPr>
      <w:r>
        <w:rPr>
          <w:rFonts w:ascii="楷体_GB2312" w:hAnsi="楷体_GB2312" w:eastAsia="楷体_GB2312" w:cs="楷体_GB2312"/>
          <w:sz w:val="32"/>
          <w:szCs w:val="32"/>
        </w:rPr>
        <w:t>2.</w:t>
      </w:r>
      <w:r>
        <w:rPr>
          <w:rFonts w:hint="eastAsia" w:ascii="楷体_GB2312" w:hAnsi="楷体_GB2312" w:eastAsia="楷体_GB2312" w:cs="楷体_GB2312"/>
          <w:sz w:val="32"/>
          <w:szCs w:val="32"/>
        </w:rPr>
        <w:t>部门绩效评价结果。</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本部门按要求对</w:t>
      </w:r>
      <w:r>
        <w:rPr>
          <w:rFonts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年部门整体支出绩效评价情况开展自评，《乐山市市中区悦来乡学校部门</w:t>
      </w:r>
      <w:r>
        <w:rPr>
          <w:rFonts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年部门整体支出绩效评价报告》见附件（第四部分）。</w:t>
      </w:r>
    </w:p>
    <w:p>
      <w:pPr>
        <w:ind w:firstLine="640" w:firstLineChars="200"/>
        <w:rPr>
          <w:rFonts w:ascii="仿宋_GB2312" w:hAnsi="仿宋_GB2312" w:eastAsia="仿宋_GB2312" w:cs="仿宋_GB2312"/>
          <w:sz w:val="32"/>
          <w:szCs w:val="32"/>
        </w:rPr>
      </w:pPr>
    </w:p>
    <w:p>
      <w:pPr>
        <w:autoSpaceDE w:val="0"/>
        <w:autoSpaceDN w:val="0"/>
        <w:adjustRightInd w:val="0"/>
        <w:spacing w:line="600" w:lineRule="exact"/>
        <w:ind w:firstLine="643" w:firstLineChars="200"/>
        <w:rPr>
          <w:rFonts w:ascii="仿宋" w:hAnsi="仿宋" w:eastAsia="仿宋"/>
          <w:b/>
          <w:sz w:val="32"/>
          <w:szCs w:val="32"/>
        </w:rPr>
      </w:pPr>
      <w:r>
        <w:rPr>
          <w:rFonts w:hint="eastAsia" w:ascii="仿宋" w:hAnsi="仿宋" w:eastAsia="仿宋"/>
          <w:b/>
          <w:sz w:val="32"/>
          <w:szCs w:val="32"/>
        </w:rPr>
        <w:t>（注：单位</w:t>
      </w:r>
      <w:r>
        <w:rPr>
          <w:rFonts w:hint="eastAsia" w:ascii="仿宋_GB2312" w:hAnsi="仿宋_GB2312" w:eastAsia="仿宋_GB2312" w:cs="仿宋_GB2312"/>
          <w:b/>
          <w:sz w:val="32"/>
          <w:szCs w:val="32"/>
        </w:rPr>
        <w:t>2021年特定目标类部门预算项目绩效目标自评表为本部门2021年部门整体支出绩效评价报告中涉及本单位的附表</w:t>
      </w:r>
      <w:r>
        <w:rPr>
          <w:rFonts w:hint="eastAsia" w:ascii="仿宋" w:hAnsi="仿宋" w:eastAsia="仿宋"/>
          <w:b/>
          <w:sz w:val="32"/>
          <w:szCs w:val="32"/>
        </w:rPr>
        <w:t>）</w:t>
      </w:r>
    </w:p>
    <w:p>
      <w:pPr>
        <w:pStyle w:val="2"/>
        <w:spacing w:before="93"/>
        <w:rPr>
          <w:highlight w:val="yellow"/>
        </w:rPr>
      </w:pPr>
    </w:p>
    <w:p>
      <w:pPr>
        <w:widowControl/>
        <w:jc w:val="left"/>
        <w:rPr>
          <w:rFonts w:ascii="仿宋_GB2312" w:eastAsia="仿宋_GB2312"/>
          <w:b/>
          <w:sz w:val="32"/>
          <w:szCs w:val="32"/>
        </w:rPr>
      </w:pPr>
      <w:r>
        <w:rPr>
          <w:rFonts w:ascii="仿宋_GB2312" w:eastAsia="仿宋_GB2312"/>
          <w:b/>
          <w:sz w:val="32"/>
          <w:szCs w:val="32"/>
        </w:rPr>
        <w:br w:type="page"/>
      </w:r>
    </w:p>
    <w:p>
      <w:pPr>
        <w:numPr>
          <w:ilvl w:val="0"/>
          <w:numId w:val="5"/>
        </w:numPr>
        <w:spacing w:line="600" w:lineRule="exact"/>
        <w:ind w:firstLine="660" w:firstLineChars="150"/>
        <w:jc w:val="center"/>
        <w:outlineLvl w:val="0"/>
        <w:rPr>
          <w:rStyle w:val="24"/>
          <w:rFonts w:ascii="黑体" w:hAnsi="黑体" w:eastAsia="黑体"/>
          <w:b w:val="0"/>
        </w:rPr>
      </w:pPr>
      <w:bookmarkStart w:id="48" w:name="_Toc15396613"/>
      <w:bookmarkStart w:id="49" w:name="_Toc15377225"/>
      <w:r>
        <w:rPr>
          <w:rFonts w:hint="eastAsia" w:ascii="黑体" w:hAnsi="黑体" w:eastAsia="黑体"/>
          <w:sz w:val="44"/>
          <w:szCs w:val="44"/>
        </w:rPr>
        <w:t>名</w:t>
      </w:r>
      <w:r>
        <w:rPr>
          <w:rStyle w:val="24"/>
          <w:rFonts w:hint="eastAsia" w:ascii="黑体" w:hAnsi="黑体" w:eastAsia="黑体"/>
          <w:b w:val="0"/>
        </w:rPr>
        <w:t>词解释</w:t>
      </w:r>
      <w:bookmarkEnd w:id="48"/>
      <w:bookmarkEnd w:id="49"/>
    </w:p>
    <w:p>
      <w:pPr>
        <w:spacing w:line="600" w:lineRule="exact"/>
        <w:jc w:val="left"/>
        <w:rPr>
          <w:rFonts w:ascii="宋体"/>
          <w:b/>
          <w:sz w:val="44"/>
          <w:szCs w:val="44"/>
        </w:rPr>
      </w:pPr>
    </w:p>
    <w:p>
      <w:pPr>
        <w:pStyle w:val="22"/>
        <w:spacing w:line="500" w:lineRule="exact"/>
        <w:ind w:firstLine="640" w:firstLineChars="200"/>
        <w:rPr>
          <w:rFonts w:ascii="仿宋_GB2312" w:eastAsia="仿宋_GB2312"/>
          <w:sz w:val="32"/>
          <w:szCs w:val="32"/>
        </w:rPr>
      </w:pPr>
      <w:bookmarkStart w:id="50" w:name="_Toc15396614"/>
      <w:bookmarkStart w:id="51" w:name="_Toc15377226"/>
      <w:r>
        <w:rPr>
          <w:rFonts w:ascii="仿宋_GB2312" w:eastAsia="仿宋_GB2312"/>
          <w:sz w:val="32"/>
          <w:szCs w:val="32"/>
        </w:rPr>
        <w:t>1.</w:t>
      </w:r>
      <w:r>
        <w:rPr>
          <w:rFonts w:hint="eastAsia" w:ascii="仿宋_GB2312" w:eastAsia="仿宋_GB2312"/>
          <w:sz w:val="32"/>
          <w:szCs w:val="32"/>
        </w:rPr>
        <w:t>财政拨款收入：指单位从同级财政部门取得的财政预算资金。</w:t>
      </w:r>
    </w:p>
    <w:p>
      <w:pPr>
        <w:pStyle w:val="22"/>
        <w:spacing w:line="500" w:lineRule="exact"/>
        <w:ind w:firstLine="640" w:firstLineChars="200"/>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rPr>
        <w:t>事业收入：指事业单位开展专业业务活动及辅助活动取得的收入。</w:t>
      </w:r>
    </w:p>
    <w:p>
      <w:pPr>
        <w:pStyle w:val="22"/>
        <w:spacing w:line="500" w:lineRule="exact"/>
        <w:ind w:firstLine="640" w:firstLineChars="200"/>
        <w:rPr>
          <w:rFonts w:ascii="仿宋_GB2312" w:eastAsia="仿宋_GB2312"/>
          <w:sz w:val="32"/>
          <w:szCs w:val="32"/>
        </w:rPr>
      </w:pPr>
      <w:r>
        <w:rPr>
          <w:rFonts w:ascii="仿宋_GB2312" w:eastAsia="仿宋_GB2312"/>
          <w:sz w:val="32"/>
          <w:szCs w:val="32"/>
        </w:rPr>
        <w:t>3.</w:t>
      </w:r>
      <w:r>
        <w:rPr>
          <w:rFonts w:hint="eastAsia" w:ascii="仿宋_GB2312" w:eastAsia="仿宋_GB2312"/>
          <w:sz w:val="32"/>
          <w:szCs w:val="32"/>
        </w:rPr>
        <w:t>经营收入：指事业单位在专业业务活动及其辅助活动之外开展非独立核算经营活动取得的收入。</w:t>
      </w:r>
    </w:p>
    <w:p>
      <w:pPr>
        <w:pStyle w:val="22"/>
        <w:spacing w:line="500" w:lineRule="exact"/>
        <w:ind w:firstLine="640" w:firstLineChars="200"/>
        <w:rPr>
          <w:rFonts w:ascii="仿宋_GB2312" w:eastAsia="仿宋_GB2312"/>
          <w:sz w:val="32"/>
          <w:szCs w:val="32"/>
        </w:rPr>
      </w:pPr>
      <w:r>
        <w:rPr>
          <w:rFonts w:ascii="仿宋_GB2312" w:eastAsia="仿宋_GB2312"/>
          <w:sz w:val="32"/>
          <w:szCs w:val="32"/>
        </w:rPr>
        <w:t>4.</w:t>
      </w:r>
      <w:r>
        <w:rPr>
          <w:rFonts w:hint="eastAsia" w:ascii="仿宋_GB2312" w:eastAsia="仿宋_GB2312"/>
          <w:sz w:val="32"/>
          <w:szCs w:val="32"/>
        </w:rPr>
        <w:t>其他收入：指单位取得的除上述收入以外的各项收入。</w:t>
      </w:r>
    </w:p>
    <w:p>
      <w:pPr>
        <w:pStyle w:val="22"/>
        <w:spacing w:line="500" w:lineRule="exact"/>
        <w:ind w:firstLine="640" w:firstLineChars="200"/>
        <w:rPr>
          <w:rFonts w:ascii="仿宋_GB2312" w:eastAsia="仿宋_GB2312"/>
          <w:sz w:val="32"/>
          <w:szCs w:val="32"/>
        </w:rPr>
      </w:pPr>
      <w:r>
        <w:rPr>
          <w:rFonts w:ascii="仿宋_GB2312" w:eastAsia="仿宋_GB2312"/>
          <w:sz w:val="32"/>
          <w:szCs w:val="32"/>
        </w:rPr>
        <w:t>5.</w:t>
      </w:r>
      <w:r>
        <w:rPr>
          <w:rFonts w:hint="eastAsia" w:ascii="仿宋_GB2312" w:eastAsia="仿宋_GB2312"/>
          <w:sz w:val="32"/>
          <w:szCs w:val="32"/>
        </w:rPr>
        <w:t>使用非财政拨款结余：指事业单位使用以前年度积累的非财政拨款结余弥补当年收支差额的金额。</w:t>
      </w:r>
    </w:p>
    <w:p>
      <w:pPr>
        <w:pStyle w:val="22"/>
        <w:spacing w:line="500" w:lineRule="exact"/>
        <w:ind w:firstLine="640" w:firstLineChars="200"/>
        <w:rPr>
          <w:rFonts w:ascii="仿宋_GB2312" w:eastAsia="仿宋_GB2312"/>
          <w:sz w:val="32"/>
          <w:szCs w:val="32"/>
        </w:rPr>
      </w:pPr>
      <w:r>
        <w:rPr>
          <w:rFonts w:ascii="仿宋_GB2312" w:eastAsia="仿宋_GB2312"/>
          <w:sz w:val="32"/>
          <w:szCs w:val="32"/>
        </w:rPr>
        <w:t>6.</w:t>
      </w:r>
      <w:r>
        <w:rPr>
          <w:rFonts w:hint="eastAsia" w:ascii="仿宋_GB2312" w:eastAsia="仿宋_GB2312"/>
          <w:sz w:val="32"/>
          <w:szCs w:val="32"/>
        </w:rPr>
        <w:t>年初结转和结余：指以前年度尚未完成、结转到本年按有关规定继续使用的资金。</w:t>
      </w:r>
    </w:p>
    <w:p>
      <w:pPr>
        <w:pStyle w:val="22"/>
        <w:spacing w:line="500" w:lineRule="exact"/>
        <w:ind w:firstLine="640" w:firstLineChars="200"/>
        <w:rPr>
          <w:rFonts w:ascii="仿宋_GB2312" w:eastAsia="仿宋_GB2312"/>
          <w:sz w:val="32"/>
          <w:szCs w:val="32"/>
        </w:rPr>
      </w:pPr>
      <w:r>
        <w:rPr>
          <w:rFonts w:ascii="仿宋_GB2312" w:eastAsia="仿宋_GB2312"/>
          <w:sz w:val="32"/>
          <w:szCs w:val="32"/>
        </w:rPr>
        <w:t>7.</w:t>
      </w:r>
      <w:r>
        <w:rPr>
          <w:rFonts w:hint="eastAsia" w:ascii="仿宋_GB2312" w:eastAsia="仿宋_GB2312"/>
          <w:sz w:val="32"/>
          <w:szCs w:val="32"/>
        </w:rPr>
        <w:t>结余分配：指事业单位按照会计制度规定缴纳的所得税、提取的专用结余以及转入非财政拨款结余的金额等。</w:t>
      </w:r>
    </w:p>
    <w:p>
      <w:pPr>
        <w:pStyle w:val="22"/>
        <w:spacing w:line="500" w:lineRule="exact"/>
        <w:ind w:firstLine="640" w:firstLineChars="200"/>
        <w:rPr>
          <w:rFonts w:ascii="仿宋_GB2312" w:eastAsia="仿宋_GB2312"/>
          <w:sz w:val="32"/>
          <w:szCs w:val="32"/>
        </w:rPr>
      </w:pPr>
      <w:r>
        <w:rPr>
          <w:rFonts w:ascii="仿宋_GB2312" w:eastAsia="仿宋_GB2312"/>
          <w:sz w:val="32"/>
          <w:szCs w:val="32"/>
        </w:rPr>
        <w:t>8</w:t>
      </w:r>
      <w:r>
        <w:rPr>
          <w:rFonts w:hint="eastAsia" w:ascii="仿宋_GB2312" w:eastAsia="仿宋_GB2312"/>
          <w:sz w:val="32"/>
          <w:szCs w:val="32"/>
        </w:rPr>
        <w:t>、年末结转和结余：指单位按有关规定结转到下年或以后年度继续使用的资金。</w:t>
      </w:r>
    </w:p>
    <w:p>
      <w:pPr>
        <w:spacing w:line="500" w:lineRule="exact"/>
        <w:ind w:firstLine="566" w:firstLineChars="177"/>
        <w:rPr>
          <w:rFonts w:ascii="仿宋_GB2312" w:eastAsia="仿宋_GB2312"/>
          <w:color w:val="000000"/>
          <w:sz w:val="32"/>
          <w:szCs w:val="32"/>
        </w:rPr>
      </w:pPr>
      <w:r>
        <w:rPr>
          <w:rFonts w:hint="eastAsia" w:ascii="仿宋_GB2312" w:eastAsia="仿宋_GB2312"/>
          <w:color w:val="000000"/>
          <w:sz w:val="32"/>
          <w:szCs w:val="32"/>
        </w:rPr>
        <w:t>9.社会保障和就业（类）行政事业单位养老（款）行政单位离退休（项）：指实行归口管理的行政单位（包括实行公务员管理的事业单位）开支的离退休支出。</w:t>
      </w:r>
    </w:p>
    <w:p>
      <w:pPr>
        <w:spacing w:line="500" w:lineRule="exact"/>
        <w:ind w:firstLine="566" w:firstLineChars="177"/>
        <w:rPr>
          <w:rFonts w:ascii="仿宋_GB2312" w:eastAsia="仿宋_GB2312"/>
          <w:color w:val="000000"/>
          <w:sz w:val="32"/>
          <w:szCs w:val="32"/>
        </w:rPr>
      </w:pPr>
      <w:r>
        <w:rPr>
          <w:rFonts w:hint="eastAsia" w:ascii="仿宋_GB2312" w:eastAsia="仿宋_GB2312"/>
          <w:color w:val="000000"/>
          <w:sz w:val="32"/>
          <w:szCs w:val="32"/>
        </w:rPr>
        <w:t>10.社会保障和就业（类）行政事业单位养老（款）事业单位离退休（项）：指事业单位开支的离退休支出。</w:t>
      </w:r>
    </w:p>
    <w:p>
      <w:pPr>
        <w:spacing w:line="500" w:lineRule="exact"/>
        <w:ind w:firstLine="566" w:firstLineChars="177"/>
        <w:rPr>
          <w:rFonts w:ascii="仿宋_GB2312" w:eastAsia="仿宋_GB2312"/>
          <w:color w:val="000000"/>
          <w:sz w:val="32"/>
          <w:szCs w:val="32"/>
        </w:rPr>
      </w:pPr>
      <w:r>
        <w:rPr>
          <w:rFonts w:hint="eastAsia" w:ascii="仿宋_GB2312" w:eastAsia="仿宋_GB2312"/>
          <w:color w:val="000000"/>
          <w:sz w:val="32"/>
          <w:szCs w:val="32"/>
        </w:rPr>
        <w:t>11.社会保障和就业（类）行政事业单位养老（款）机关事业单位基本养老保险缴费（项）：指机关事业单位实施养老保险制度由单位实际缴纳的基本养老保险费支出。</w:t>
      </w:r>
    </w:p>
    <w:p>
      <w:pPr>
        <w:spacing w:line="500" w:lineRule="exact"/>
        <w:ind w:firstLine="566" w:firstLineChars="177"/>
        <w:rPr>
          <w:rFonts w:ascii="仿宋_GB2312" w:eastAsia="仿宋_GB2312"/>
          <w:color w:val="000000"/>
          <w:sz w:val="32"/>
          <w:szCs w:val="32"/>
        </w:rPr>
      </w:pPr>
      <w:r>
        <w:rPr>
          <w:rFonts w:hint="eastAsia" w:ascii="仿宋_GB2312" w:eastAsia="仿宋_GB2312"/>
          <w:color w:val="000000"/>
          <w:sz w:val="32"/>
          <w:szCs w:val="32"/>
        </w:rPr>
        <w:t>12.社会保障和就业（类）行政事业单位养老（款）机关事业单位职业年金缴费（项）：指机关事业单位实施养老保险制度由单位实际缴纳的职业年金支出。</w:t>
      </w:r>
    </w:p>
    <w:p>
      <w:pPr>
        <w:spacing w:line="500" w:lineRule="exact"/>
        <w:ind w:firstLine="566" w:firstLineChars="177"/>
        <w:rPr>
          <w:rFonts w:ascii="仿宋_GB2312" w:eastAsia="仿宋_GB2312"/>
          <w:color w:val="000000"/>
          <w:sz w:val="32"/>
          <w:szCs w:val="32"/>
        </w:rPr>
      </w:pPr>
      <w:r>
        <w:rPr>
          <w:rFonts w:hint="eastAsia" w:ascii="仿宋_GB2312" w:eastAsia="仿宋_GB2312"/>
          <w:color w:val="000000"/>
          <w:sz w:val="32"/>
          <w:szCs w:val="32"/>
        </w:rPr>
        <w:t>13.社会保障和就业（类）行政事业单位养老（款）其他行政事业单位养老（项）：指除上述其他用于行政事业单位养老方面的支出。</w:t>
      </w:r>
    </w:p>
    <w:p>
      <w:pPr>
        <w:spacing w:line="500" w:lineRule="exact"/>
        <w:ind w:firstLine="566" w:firstLineChars="177"/>
        <w:rPr>
          <w:rFonts w:ascii="仿宋_GB2312" w:eastAsia="仿宋_GB2312"/>
          <w:color w:val="000000"/>
          <w:sz w:val="32"/>
          <w:szCs w:val="32"/>
        </w:rPr>
      </w:pPr>
      <w:r>
        <w:rPr>
          <w:rFonts w:hint="eastAsia" w:ascii="仿宋_GB2312" w:eastAsia="仿宋_GB2312"/>
          <w:color w:val="000000"/>
          <w:sz w:val="32"/>
          <w:szCs w:val="32"/>
        </w:rPr>
        <w:t>14.社会保障和就业（类）抚恤（款）死亡抚恤（项）：指规定用于烈士和牺牲、病故人员家属的一次性和定期抚恤金以及丧葬补助费。</w:t>
      </w:r>
    </w:p>
    <w:p>
      <w:pPr>
        <w:spacing w:line="500" w:lineRule="exact"/>
        <w:ind w:firstLine="566" w:firstLineChars="177"/>
        <w:rPr>
          <w:rFonts w:ascii="仿宋_GB2312" w:eastAsia="仿宋_GB2312"/>
          <w:color w:val="000000"/>
          <w:sz w:val="32"/>
          <w:szCs w:val="32"/>
        </w:rPr>
      </w:pPr>
      <w:r>
        <w:rPr>
          <w:rFonts w:hint="eastAsia" w:ascii="仿宋_GB2312" w:eastAsia="仿宋_GB2312"/>
          <w:color w:val="000000"/>
          <w:sz w:val="32"/>
          <w:szCs w:val="32"/>
        </w:rPr>
        <w:t>15.社会保障和就业（类）残疾人事业（款）其他残疾人事业（项）：指除上述项目以外其他用于残疾人事业方面的支出。</w:t>
      </w:r>
    </w:p>
    <w:p>
      <w:pPr>
        <w:spacing w:line="500" w:lineRule="exact"/>
        <w:ind w:firstLine="566" w:firstLineChars="177"/>
        <w:rPr>
          <w:rFonts w:ascii="仿宋_GB2312" w:eastAsia="仿宋_GB2312"/>
          <w:color w:val="000000"/>
          <w:sz w:val="32"/>
          <w:szCs w:val="32"/>
        </w:rPr>
      </w:pPr>
      <w:r>
        <w:rPr>
          <w:rFonts w:hint="eastAsia" w:ascii="仿宋_GB2312" w:eastAsia="仿宋_GB2312"/>
          <w:color w:val="000000"/>
          <w:sz w:val="32"/>
          <w:szCs w:val="32"/>
        </w:rPr>
        <w:t>16.社会保障和就业（类）其他社会保障和就业（款）其他社会保障和就业（项）：指除上述项目以外其他用于社会保障和就业方面的支出。</w:t>
      </w:r>
    </w:p>
    <w:p>
      <w:pPr>
        <w:spacing w:line="5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17.卫生健康（类）行政事业单位医疗（款）行政单位医疗（项）：指财政部门集中安排的行政单位基本医疗保险缴费经费，未参加医疗保险的行政单位的公费医疗经费，按国家规定享受离休人员、红军老战士待遇的医疗经费。</w:t>
      </w:r>
    </w:p>
    <w:p>
      <w:pPr>
        <w:spacing w:line="5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18.卫生健康（类）行政事业单位医疗（款）事业单位医疗（项）：指财政部门集中安排的事业单位基本医疗保险缴费经费，未参加医疗保险的事业单位的公费医疗经费，按国家规定享受离休人员待遇人员的医疗经费。</w:t>
      </w:r>
    </w:p>
    <w:p>
      <w:pPr>
        <w:spacing w:line="5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19.住房保障（类）住房改革（款）住房公积金（项）：指行政事业单位按人力资源和社会保障部、财政部规定的基本工资和津贴补贴以及规定比例为职工缴纳的住房公积金。</w:t>
      </w:r>
    </w:p>
    <w:p>
      <w:pPr>
        <w:spacing w:line="500" w:lineRule="exact"/>
        <w:ind w:firstLine="640" w:firstLineChars="200"/>
        <w:rPr>
          <w:rFonts w:ascii="仿宋_GB2312" w:eastAsia="仿宋_GB2312"/>
          <w:color w:val="000000"/>
          <w:sz w:val="32"/>
          <w:szCs w:val="32"/>
        </w:rPr>
      </w:pPr>
      <w:r>
        <w:rPr>
          <w:rFonts w:ascii="仿宋_GB2312" w:eastAsia="仿宋_GB2312"/>
          <w:color w:val="000000"/>
          <w:sz w:val="32"/>
          <w:szCs w:val="32"/>
        </w:rPr>
        <w:t>2</w:t>
      </w:r>
      <w:r>
        <w:rPr>
          <w:rFonts w:hint="eastAsia" w:ascii="仿宋_GB2312" w:eastAsia="仿宋_GB2312"/>
          <w:color w:val="000000"/>
          <w:sz w:val="32"/>
          <w:szCs w:val="32"/>
        </w:rPr>
        <w:t>0</w:t>
      </w:r>
      <w:r>
        <w:rPr>
          <w:rFonts w:ascii="仿宋_GB2312" w:eastAsia="仿宋_GB2312"/>
          <w:color w:val="000000"/>
          <w:sz w:val="32"/>
          <w:szCs w:val="32"/>
        </w:rPr>
        <w:t>.</w:t>
      </w:r>
      <w:r>
        <w:rPr>
          <w:rFonts w:hint="eastAsia" w:ascii="仿宋_GB2312" w:eastAsia="仿宋_GB2312"/>
          <w:color w:val="000000"/>
          <w:sz w:val="32"/>
          <w:szCs w:val="32"/>
        </w:rPr>
        <w:t>基本支出：指为保障机构正常运转、完成日常工作任务而发生的人员支出和公用支出。</w:t>
      </w:r>
    </w:p>
    <w:p>
      <w:pPr>
        <w:spacing w:line="500" w:lineRule="exact"/>
        <w:ind w:firstLine="640" w:firstLineChars="200"/>
        <w:rPr>
          <w:rFonts w:ascii="仿宋_GB2312" w:eastAsia="仿宋_GB2312"/>
          <w:color w:val="000000"/>
          <w:sz w:val="32"/>
          <w:szCs w:val="32"/>
        </w:rPr>
      </w:pPr>
      <w:r>
        <w:rPr>
          <w:rFonts w:ascii="仿宋_GB2312" w:eastAsia="仿宋_GB2312"/>
          <w:color w:val="000000"/>
          <w:sz w:val="32"/>
          <w:szCs w:val="32"/>
        </w:rPr>
        <w:t>2</w:t>
      </w:r>
      <w:r>
        <w:rPr>
          <w:rFonts w:hint="eastAsia" w:ascii="仿宋_GB2312" w:eastAsia="仿宋_GB2312"/>
          <w:color w:val="000000"/>
          <w:sz w:val="32"/>
          <w:szCs w:val="32"/>
        </w:rPr>
        <w:t>1</w:t>
      </w:r>
      <w:r>
        <w:rPr>
          <w:rFonts w:ascii="仿宋_GB2312" w:eastAsia="仿宋_GB2312"/>
          <w:color w:val="000000"/>
          <w:sz w:val="32"/>
          <w:szCs w:val="32"/>
        </w:rPr>
        <w:t>.</w:t>
      </w:r>
      <w:r>
        <w:rPr>
          <w:rFonts w:hint="eastAsia" w:ascii="仿宋_GB2312" w:eastAsia="仿宋_GB2312"/>
          <w:color w:val="000000"/>
          <w:sz w:val="32"/>
          <w:szCs w:val="32"/>
        </w:rPr>
        <w:t>项目支出：指在基本支出之外为完成特定行政任务和事业发展目标所发生的支出。</w:t>
      </w:r>
    </w:p>
    <w:p>
      <w:pPr>
        <w:spacing w:line="500" w:lineRule="exact"/>
        <w:ind w:firstLine="640" w:firstLineChars="200"/>
        <w:rPr>
          <w:rFonts w:ascii="仿宋_GB2312" w:eastAsia="仿宋_GB2312"/>
          <w:color w:val="000000"/>
          <w:sz w:val="32"/>
          <w:szCs w:val="32"/>
        </w:rPr>
      </w:pPr>
      <w:r>
        <w:rPr>
          <w:rFonts w:ascii="仿宋_GB2312" w:eastAsia="仿宋_GB2312"/>
          <w:color w:val="000000"/>
          <w:sz w:val="32"/>
          <w:szCs w:val="32"/>
        </w:rPr>
        <w:t>2</w:t>
      </w:r>
      <w:r>
        <w:rPr>
          <w:rFonts w:hint="eastAsia" w:ascii="仿宋_GB2312" w:eastAsia="仿宋_GB2312"/>
          <w:color w:val="000000"/>
          <w:sz w:val="32"/>
          <w:szCs w:val="32"/>
        </w:rPr>
        <w:t>2</w:t>
      </w:r>
      <w:r>
        <w:rPr>
          <w:rFonts w:ascii="仿宋_GB2312" w:eastAsia="仿宋_GB2312"/>
          <w:color w:val="000000"/>
          <w:sz w:val="32"/>
          <w:szCs w:val="32"/>
        </w:rPr>
        <w:t>.</w:t>
      </w:r>
      <w:r>
        <w:rPr>
          <w:rFonts w:hint="eastAsia" w:ascii="仿宋_GB2312" w:eastAsia="仿宋_GB2312"/>
          <w:color w:val="000000"/>
          <w:sz w:val="32"/>
          <w:szCs w:val="32"/>
        </w:rPr>
        <w:t>经营支出：指事业单位在专业业务活动及其辅助活动之外开展非独立核算经营活动发生的支出。</w:t>
      </w:r>
    </w:p>
    <w:p>
      <w:pPr>
        <w:pStyle w:val="22"/>
        <w:spacing w:line="500" w:lineRule="exact"/>
        <w:ind w:firstLine="640" w:firstLineChars="200"/>
        <w:rPr>
          <w:rFonts w:ascii="仿宋_GB2312" w:eastAsia="仿宋_GB2312"/>
          <w:sz w:val="32"/>
          <w:szCs w:val="32"/>
        </w:rPr>
      </w:pPr>
      <w:r>
        <w:rPr>
          <w:rFonts w:hint="eastAsia" w:ascii="仿宋_GB2312" w:eastAsia="仿宋_GB2312"/>
          <w:sz w:val="32"/>
          <w:szCs w:val="32"/>
        </w:rPr>
        <w:t>23</w:t>
      </w:r>
      <w:r>
        <w:rPr>
          <w:rFonts w:ascii="仿宋_GB2312" w:eastAsia="仿宋_GB2312"/>
          <w:sz w:val="32"/>
          <w:szCs w:val="32"/>
        </w:rPr>
        <w:t>.</w:t>
      </w:r>
      <w:r>
        <w:rPr>
          <w:rFonts w:hint="eastAsia" w:ascii="仿宋_GB2312" w:eastAsia="仿宋_GB2312"/>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2"/>
        <w:spacing w:line="500" w:lineRule="exact"/>
        <w:ind w:firstLine="640" w:firstLineChars="200"/>
        <w:rPr>
          <w:rFonts w:ascii="仿宋_GB2312" w:eastAsia="仿宋_GB2312"/>
          <w:color w:val="auto"/>
          <w:sz w:val="32"/>
          <w:szCs w:val="32"/>
        </w:rPr>
      </w:pPr>
      <w:r>
        <w:rPr>
          <w:rFonts w:hint="eastAsia" w:ascii="仿宋_GB2312" w:eastAsia="仿宋_GB2312"/>
          <w:sz w:val="32"/>
          <w:szCs w:val="32"/>
        </w:rPr>
        <w:t>24</w:t>
      </w:r>
      <w:r>
        <w:rPr>
          <w:rFonts w:ascii="仿宋_GB2312" w:eastAsia="仿宋_GB2312"/>
          <w:sz w:val="32"/>
          <w:szCs w:val="32"/>
        </w:rPr>
        <w:t>.</w:t>
      </w: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jc w:val="center"/>
        <w:outlineLvl w:val="0"/>
        <w:rPr>
          <w:rStyle w:val="24"/>
          <w:rFonts w:ascii="黑体" w:hAnsi="黑体" w:eastAsia="黑体"/>
          <w:b w:val="0"/>
        </w:rPr>
      </w:pPr>
      <w:r>
        <w:rPr>
          <w:rFonts w:ascii="宋体"/>
          <w:b/>
          <w:sz w:val="44"/>
          <w:szCs w:val="44"/>
        </w:rPr>
        <w:br w:type="page"/>
      </w:r>
      <w:r>
        <w:rPr>
          <w:rFonts w:hint="eastAsia" w:ascii="黑体" w:hAnsi="黑体" w:eastAsia="黑体"/>
          <w:sz w:val="44"/>
          <w:szCs w:val="44"/>
        </w:rPr>
        <w:t>第</w:t>
      </w:r>
      <w:r>
        <w:rPr>
          <w:rStyle w:val="24"/>
          <w:rFonts w:hint="eastAsia" w:ascii="黑体" w:hAnsi="黑体" w:eastAsia="黑体"/>
          <w:b w:val="0"/>
        </w:rPr>
        <w:t>四部分 附件</w:t>
      </w:r>
      <w:bookmarkEnd w:id="50"/>
    </w:p>
    <w:p>
      <w:pPr>
        <w:spacing w:line="572" w:lineRule="exact"/>
        <w:jc w:val="left"/>
        <w:outlineLvl w:val="0"/>
        <w:rPr>
          <w:rFonts w:hint="eastAsia" w:ascii="黑体" w:hAnsi="黑体" w:eastAsia="黑体" w:cs="黑体"/>
          <w:sz w:val="32"/>
          <w:szCs w:val="32"/>
        </w:rPr>
      </w:pPr>
      <w:r>
        <w:rPr>
          <w:rFonts w:hint="eastAsia" w:ascii="黑体" w:hAnsi="黑体" w:eastAsia="黑体" w:cs="黑体"/>
          <w:sz w:val="32"/>
          <w:szCs w:val="32"/>
        </w:rPr>
        <w:t>附件</w:t>
      </w:r>
    </w:p>
    <w:p>
      <w:pPr>
        <w:spacing w:line="580" w:lineRule="exact"/>
        <w:jc w:val="center"/>
        <w:rPr>
          <w:rFonts w:hint="eastAsia" w:ascii="方正小标宋简体" w:eastAsia="方正小标宋简体"/>
          <w:b/>
          <w:sz w:val="36"/>
          <w:szCs w:val="36"/>
          <w:lang w:eastAsia="zh-CN"/>
        </w:rPr>
      </w:pPr>
      <w:r>
        <w:rPr>
          <w:rFonts w:hint="eastAsia" w:ascii="方正小标宋简体" w:eastAsia="方正小标宋简体"/>
          <w:b/>
          <w:sz w:val="36"/>
          <w:szCs w:val="36"/>
        </w:rPr>
        <w:t>乐山市市中区</w:t>
      </w:r>
      <w:r>
        <w:rPr>
          <w:rFonts w:hint="eastAsia" w:ascii="方正小标宋简体" w:eastAsia="方正小标宋简体"/>
          <w:b/>
          <w:sz w:val="36"/>
          <w:szCs w:val="36"/>
          <w:lang w:eastAsia="zh-CN"/>
        </w:rPr>
        <w:t>荔德小学</w:t>
      </w:r>
    </w:p>
    <w:p>
      <w:pPr>
        <w:spacing w:line="580" w:lineRule="exact"/>
        <w:jc w:val="center"/>
        <w:rPr>
          <w:rFonts w:hint="eastAsia" w:ascii="方正小标宋简体" w:eastAsia="方正小标宋简体"/>
          <w:sz w:val="44"/>
          <w:szCs w:val="44"/>
        </w:rPr>
      </w:pPr>
      <w:r>
        <w:rPr>
          <w:rFonts w:hint="eastAsia" w:ascii="方正小标宋简体" w:eastAsia="方正小标宋简体"/>
          <w:sz w:val="44"/>
          <w:szCs w:val="44"/>
        </w:rPr>
        <w:t>20</w:t>
      </w:r>
      <w:r>
        <w:rPr>
          <w:rFonts w:hint="eastAsia" w:ascii="方正小标宋简体" w:eastAsia="方正小标宋简体"/>
          <w:sz w:val="44"/>
          <w:szCs w:val="44"/>
          <w:lang w:val="en-US" w:eastAsia="zh-CN"/>
        </w:rPr>
        <w:t>21</w:t>
      </w:r>
      <w:r>
        <w:rPr>
          <w:rFonts w:hint="eastAsia" w:ascii="方正小标宋简体" w:eastAsia="方正小标宋简体"/>
          <w:sz w:val="44"/>
          <w:szCs w:val="44"/>
        </w:rPr>
        <w:t>年部门整体支出绩效报告</w:t>
      </w:r>
    </w:p>
    <w:p>
      <w:pPr>
        <w:spacing w:line="58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根据区财政局的通知</w:t>
      </w:r>
      <w:r>
        <w:rPr>
          <w:rFonts w:hint="eastAsia" w:ascii="宋体" w:hAnsi="宋体" w:eastAsia="宋体" w:cs="宋体"/>
          <w:sz w:val="28"/>
          <w:szCs w:val="28"/>
          <w:lang w:eastAsia="zh-CN"/>
        </w:rPr>
        <w:t>和教育局的布署</w:t>
      </w:r>
      <w:r>
        <w:rPr>
          <w:rFonts w:hint="eastAsia" w:ascii="宋体" w:hAnsi="宋体" w:eastAsia="宋体" w:cs="宋体"/>
          <w:sz w:val="28"/>
          <w:szCs w:val="28"/>
        </w:rPr>
        <w:t>，我校对20</w:t>
      </w:r>
      <w:r>
        <w:rPr>
          <w:rFonts w:hint="eastAsia" w:ascii="宋体" w:hAnsi="宋体" w:eastAsia="宋体" w:cs="宋体"/>
          <w:sz w:val="28"/>
          <w:szCs w:val="28"/>
          <w:lang w:val="en-US" w:eastAsia="zh-CN"/>
        </w:rPr>
        <w:t>21</w:t>
      </w:r>
      <w:r>
        <w:rPr>
          <w:rFonts w:hint="eastAsia" w:ascii="宋体" w:hAnsi="宋体" w:eastAsia="宋体" w:cs="宋体"/>
          <w:sz w:val="28"/>
          <w:szCs w:val="28"/>
        </w:rPr>
        <w:t>年度部门整体支出绩效进行了全面综合评价。现将有关情况报告如下：</w:t>
      </w:r>
    </w:p>
    <w:p>
      <w:pPr>
        <w:spacing w:line="580" w:lineRule="exact"/>
        <w:rPr>
          <w:rFonts w:hint="eastAsia" w:ascii="宋体" w:hAnsi="宋体" w:eastAsia="宋体" w:cs="宋体"/>
          <w:b/>
          <w:sz w:val="28"/>
          <w:szCs w:val="28"/>
        </w:rPr>
      </w:pPr>
      <w:r>
        <w:rPr>
          <w:rFonts w:hint="eastAsia" w:ascii="宋体" w:hAnsi="宋体" w:eastAsia="宋体" w:cs="宋体"/>
          <w:b/>
          <w:sz w:val="28"/>
          <w:szCs w:val="28"/>
        </w:rPr>
        <w:t>一、部门概况</w:t>
      </w:r>
    </w:p>
    <w:p>
      <w:pPr>
        <w:spacing w:line="580" w:lineRule="exact"/>
        <w:rPr>
          <w:rFonts w:hint="eastAsia" w:ascii="宋体" w:hAnsi="宋体" w:eastAsia="宋体" w:cs="宋体"/>
          <w:sz w:val="28"/>
          <w:szCs w:val="28"/>
        </w:rPr>
      </w:pPr>
      <w:r>
        <w:rPr>
          <w:rFonts w:hint="eastAsia" w:ascii="宋体" w:hAnsi="宋体" w:eastAsia="宋体" w:cs="宋体"/>
          <w:sz w:val="28"/>
          <w:szCs w:val="28"/>
        </w:rPr>
        <w:t>　（一）机构职能。实施</w:t>
      </w:r>
      <w:r>
        <w:rPr>
          <w:rFonts w:hint="eastAsia" w:ascii="宋体" w:hAnsi="宋体" w:cs="宋体"/>
          <w:sz w:val="28"/>
          <w:szCs w:val="28"/>
          <w:lang w:eastAsia="zh-CN"/>
        </w:rPr>
        <w:t>小学</w:t>
      </w:r>
      <w:r>
        <w:rPr>
          <w:rFonts w:hint="eastAsia" w:ascii="宋体" w:hAnsi="宋体" w:eastAsia="宋体" w:cs="宋体"/>
          <w:sz w:val="28"/>
          <w:szCs w:val="28"/>
        </w:rPr>
        <w:t>义务教育，促进基础教育发展</w:t>
      </w:r>
      <w:r>
        <w:rPr>
          <w:rFonts w:hint="eastAsia" w:ascii="宋体" w:hAnsi="宋体" w:eastAsia="宋体" w:cs="宋体"/>
          <w:sz w:val="28"/>
          <w:szCs w:val="28"/>
          <w:lang w:val="en-US" w:eastAsia="zh-CN"/>
        </w:rPr>
        <w:t>,</w:t>
      </w:r>
      <w:r>
        <w:rPr>
          <w:rFonts w:hint="eastAsia" w:ascii="宋体" w:hAnsi="宋体" w:cs="宋体"/>
          <w:sz w:val="28"/>
          <w:szCs w:val="28"/>
          <w:lang w:val="en-US" w:eastAsia="zh-CN"/>
        </w:rPr>
        <w:t>小</w:t>
      </w:r>
      <w:r>
        <w:rPr>
          <w:rFonts w:hint="eastAsia" w:ascii="宋体" w:hAnsi="宋体" w:eastAsia="宋体" w:cs="宋体"/>
          <w:sz w:val="28"/>
          <w:szCs w:val="28"/>
          <w:lang w:val="en-US" w:eastAsia="zh-CN"/>
        </w:rPr>
        <w:t>学</w:t>
      </w:r>
      <w:r>
        <w:rPr>
          <w:rFonts w:hint="eastAsia" w:ascii="宋体" w:hAnsi="宋体" w:cs="宋体"/>
          <w:sz w:val="28"/>
          <w:szCs w:val="28"/>
          <w:lang w:val="en-US" w:eastAsia="zh-CN"/>
        </w:rPr>
        <w:t>学</w:t>
      </w:r>
      <w:r>
        <w:rPr>
          <w:rFonts w:hint="eastAsia" w:ascii="宋体" w:hAnsi="宋体" w:eastAsia="宋体" w:cs="宋体"/>
          <w:sz w:val="28"/>
          <w:szCs w:val="28"/>
          <w:lang w:val="en-US" w:eastAsia="zh-CN"/>
        </w:rPr>
        <w:t>历教育</w:t>
      </w:r>
      <w:r>
        <w:rPr>
          <w:rFonts w:hint="eastAsia" w:ascii="宋体" w:hAnsi="宋体" w:eastAsia="宋体" w:cs="宋体"/>
          <w:sz w:val="28"/>
          <w:szCs w:val="28"/>
        </w:rPr>
        <w:t>。</w:t>
      </w:r>
    </w:p>
    <w:p>
      <w:pPr>
        <w:spacing w:line="580" w:lineRule="exact"/>
        <w:rPr>
          <w:rFonts w:hint="eastAsia" w:ascii="宋体" w:hAnsi="宋体" w:eastAsia="宋体" w:cs="宋体"/>
          <w:sz w:val="28"/>
          <w:szCs w:val="28"/>
        </w:rPr>
      </w:pPr>
      <w:r>
        <w:rPr>
          <w:rFonts w:hint="eastAsia" w:ascii="宋体" w:hAnsi="宋体" w:eastAsia="宋体" w:cs="宋体"/>
          <w:sz w:val="28"/>
          <w:szCs w:val="28"/>
        </w:rPr>
        <w:t>　（二）机构组成和人员概况。我校属于全额拨款的事业单位，预算级次为一级。</w:t>
      </w:r>
      <w:r>
        <w:rPr>
          <w:rFonts w:hint="eastAsia" w:ascii="宋体" w:hAnsi="宋体" w:eastAsia="宋体" w:cs="宋体"/>
          <w:sz w:val="28"/>
          <w:szCs w:val="28"/>
          <w:lang w:eastAsia="zh-CN"/>
        </w:rPr>
        <w:t>设有教导处、</w:t>
      </w:r>
      <w:r>
        <w:rPr>
          <w:rFonts w:hint="eastAsia" w:ascii="宋体" w:hAnsi="宋体" w:eastAsia="宋体" w:cs="宋体"/>
          <w:sz w:val="28"/>
          <w:szCs w:val="28"/>
          <w:lang w:val="en-US" w:eastAsia="zh-CN"/>
        </w:rPr>
        <w:t>总务处，</w:t>
      </w:r>
      <w:r>
        <w:rPr>
          <w:rFonts w:hint="eastAsia" w:ascii="宋体" w:hAnsi="宋体" w:eastAsia="宋体" w:cs="宋体"/>
          <w:sz w:val="28"/>
          <w:szCs w:val="28"/>
        </w:rPr>
        <w:t>截止20</w:t>
      </w:r>
      <w:r>
        <w:rPr>
          <w:rFonts w:hint="eastAsia" w:ascii="宋体" w:hAnsi="宋体" w:eastAsia="宋体" w:cs="宋体"/>
          <w:sz w:val="28"/>
          <w:szCs w:val="28"/>
          <w:lang w:val="en-US" w:eastAsia="zh-CN"/>
        </w:rPr>
        <w:t>21</w:t>
      </w:r>
      <w:r>
        <w:rPr>
          <w:rFonts w:hint="eastAsia" w:ascii="宋体" w:hAnsi="宋体" w:eastAsia="宋体" w:cs="宋体"/>
          <w:sz w:val="28"/>
          <w:szCs w:val="28"/>
        </w:rPr>
        <w:t>年12月31日，我校有在职教</w:t>
      </w:r>
      <w:r>
        <w:rPr>
          <w:rFonts w:hint="eastAsia" w:ascii="宋体" w:hAnsi="宋体" w:cs="宋体"/>
          <w:sz w:val="28"/>
          <w:szCs w:val="28"/>
          <w:lang w:eastAsia="zh-CN"/>
        </w:rPr>
        <w:t>职工</w:t>
      </w:r>
      <w:r>
        <w:rPr>
          <w:rFonts w:hint="eastAsia" w:ascii="宋体" w:hAnsi="宋体" w:cs="宋体"/>
          <w:sz w:val="28"/>
          <w:szCs w:val="28"/>
          <w:lang w:val="en-US" w:eastAsia="zh-CN"/>
        </w:rPr>
        <w:t>21</w:t>
      </w:r>
      <w:r>
        <w:rPr>
          <w:rFonts w:hint="eastAsia" w:ascii="宋体" w:hAnsi="宋体" w:eastAsia="宋体" w:cs="宋体"/>
          <w:sz w:val="28"/>
          <w:szCs w:val="28"/>
        </w:rPr>
        <w:t>人，退休</w:t>
      </w:r>
      <w:r>
        <w:rPr>
          <w:rFonts w:hint="eastAsia" w:ascii="宋体" w:hAnsi="宋体" w:cs="宋体"/>
          <w:sz w:val="28"/>
          <w:szCs w:val="28"/>
          <w:lang w:val="en-US" w:eastAsia="zh-CN"/>
        </w:rPr>
        <w:t>1</w:t>
      </w:r>
      <w:r>
        <w:rPr>
          <w:rFonts w:hint="eastAsia" w:ascii="宋体" w:hAnsi="宋体" w:eastAsia="宋体" w:cs="宋体"/>
          <w:sz w:val="28"/>
          <w:szCs w:val="28"/>
        </w:rPr>
        <w:t>人，在校学生</w:t>
      </w:r>
      <w:r>
        <w:rPr>
          <w:rFonts w:hint="eastAsia" w:ascii="宋体" w:hAnsi="宋体" w:cs="宋体"/>
          <w:sz w:val="28"/>
          <w:szCs w:val="28"/>
          <w:lang w:val="en-US" w:eastAsia="zh-CN"/>
        </w:rPr>
        <w:t>350</w:t>
      </w:r>
      <w:r>
        <w:rPr>
          <w:rFonts w:hint="eastAsia" w:ascii="宋体" w:hAnsi="宋体" w:eastAsia="宋体" w:cs="宋体"/>
          <w:sz w:val="28"/>
          <w:szCs w:val="28"/>
        </w:rPr>
        <w:t>人。</w:t>
      </w:r>
    </w:p>
    <w:p>
      <w:pPr>
        <w:spacing w:line="580" w:lineRule="exact"/>
        <w:rPr>
          <w:rFonts w:hint="eastAsia" w:ascii="宋体" w:hAnsi="宋体" w:eastAsia="宋体" w:cs="宋体"/>
          <w:b/>
          <w:sz w:val="28"/>
          <w:szCs w:val="28"/>
        </w:rPr>
      </w:pPr>
      <w:r>
        <w:rPr>
          <w:rFonts w:hint="eastAsia" w:ascii="宋体" w:hAnsi="宋体" w:eastAsia="宋体" w:cs="宋体"/>
          <w:b/>
          <w:sz w:val="28"/>
          <w:szCs w:val="28"/>
        </w:rPr>
        <w:t>二、部门财政资金收支情况</w:t>
      </w:r>
    </w:p>
    <w:p>
      <w:pPr>
        <w:spacing w:line="580" w:lineRule="exact"/>
        <w:ind w:firstLine="420"/>
        <w:rPr>
          <w:rFonts w:hint="eastAsia" w:ascii="宋体" w:hAnsi="宋体" w:eastAsia="宋体" w:cs="宋体"/>
          <w:sz w:val="28"/>
          <w:szCs w:val="28"/>
        </w:rPr>
      </w:pPr>
      <w:r>
        <w:rPr>
          <w:rFonts w:hint="eastAsia" w:ascii="宋体" w:hAnsi="宋体" w:eastAsia="宋体" w:cs="宋体"/>
          <w:sz w:val="28"/>
          <w:szCs w:val="28"/>
        </w:rPr>
        <w:t>（一）部门财政资金收入情况。20</w:t>
      </w:r>
      <w:r>
        <w:rPr>
          <w:rFonts w:hint="eastAsia" w:ascii="宋体" w:hAnsi="宋体" w:eastAsia="宋体" w:cs="宋体"/>
          <w:sz w:val="28"/>
          <w:szCs w:val="28"/>
          <w:lang w:val="en-US" w:eastAsia="zh-CN"/>
        </w:rPr>
        <w:t>21</w:t>
      </w:r>
      <w:r>
        <w:rPr>
          <w:rFonts w:hint="eastAsia" w:ascii="宋体" w:hAnsi="宋体" w:eastAsia="宋体" w:cs="宋体"/>
          <w:sz w:val="28"/>
          <w:szCs w:val="28"/>
        </w:rPr>
        <w:t>年，我校财政拨款收入共计</w:t>
      </w:r>
      <w:r>
        <w:rPr>
          <w:rFonts w:hint="eastAsia" w:ascii="宋体" w:hAnsi="宋体" w:cs="宋体"/>
          <w:sz w:val="28"/>
          <w:szCs w:val="28"/>
          <w:lang w:val="en-US" w:eastAsia="zh-CN"/>
        </w:rPr>
        <w:t>3966470.2</w:t>
      </w:r>
      <w:r>
        <w:rPr>
          <w:rFonts w:hint="eastAsia" w:ascii="宋体" w:hAnsi="宋体" w:eastAsia="宋体" w:cs="宋体"/>
          <w:sz w:val="28"/>
          <w:szCs w:val="28"/>
        </w:rPr>
        <w:t>元，其中基本支出财政拨款</w:t>
      </w:r>
      <w:r>
        <w:rPr>
          <w:rFonts w:hint="eastAsia" w:ascii="宋体" w:hAnsi="宋体" w:cs="宋体"/>
          <w:sz w:val="28"/>
          <w:szCs w:val="28"/>
          <w:lang w:val="en-US" w:eastAsia="zh-CN"/>
        </w:rPr>
        <w:t>3207254.2</w:t>
      </w:r>
      <w:r>
        <w:rPr>
          <w:rFonts w:hint="eastAsia" w:ascii="宋体" w:hAnsi="宋体" w:eastAsia="宋体" w:cs="宋体"/>
          <w:sz w:val="28"/>
          <w:szCs w:val="28"/>
        </w:rPr>
        <w:t>元</w:t>
      </w:r>
      <w:r>
        <w:rPr>
          <w:rFonts w:hint="eastAsia" w:ascii="宋体" w:hAnsi="宋体" w:eastAsia="宋体" w:cs="宋体"/>
          <w:sz w:val="28"/>
          <w:szCs w:val="28"/>
          <w:lang w:val="en-US" w:eastAsia="zh-CN"/>
        </w:rPr>
        <w:t>.</w:t>
      </w:r>
    </w:p>
    <w:p>
      <w:pPr>
        <w:spacing w:line="580" w:lineRule="exact"/>
        <w:ind w:firstLine="420"/>
        <w:rPr>
          <w:rFonts w:hint="eastAsia" w:ascii="宋体" w:hAnsi="宋体" w:eastAsia="宋体" w:cs="宋体"/>
          <w:sz w:val="28"/>
          <w:szCs w:val="28"/>
        </w:rPr>
      </w:pPr>
      <w:r>
        <w:rPr>
          <w:rFonts w:hint="eastAsia" w:ascii="宋体" w:hAnsi="宋体" w:eastAsia="宋体" w:cs="宋体"/>
          <w:sz w:val="28"/>
          <w:szCs w:val="28"/>
        </w:rPr>
        <w:t>（二）部门财政资金支出情况。截止20</w:t>
      </w:r>
      <w:r>
        <w:rPr>
          <w:rFonts w:hint="eastAsia" w:ascii="宋体" w:hAnsi="宋体" w:eastAsia="宋体" w:cs="宋体"/>
          <w:sz w:val="28"/>
          <w:szCs w:val="28"/>
          <w:lang w:val="en-US" w:eastAsia="zh-CN"/>
        </w:rPr>
        <w:t>21</w:t>
      </w:r>
      <w:r>
        <w:rPr>
          <w:rFonts w:hint="eastAsia" w:ascii="宋体" w:hAnsi="宋体" w:eastAsia="宋体" w:cs="宋体"/>
          <w:sz w:val="28"/>
          <w:szCs w:val="28"/>
        </w:rPr>
        <w:t>年12月31日，我校财拨款支出总计</w:t>
      </w:r>
      <w:r>
        <w:rPr>
          <w:rFonts w:hint="eastAsia" w:ascii="宋体" w:hAnsi="宋体" w:cs="宋体"/>
          <w:sz w:val="28"/>
          <w:szCs w:val="28"/>
          <w:lang w:val="en-US" w:eastAsia="zh-CN"/>
        </w:rPr>
        <w:t>3966470.2</w:t>
      </w:r>
      <w:r>
        <w:rPr>
          <w:rFonts w:hint="eastAsia" w:ascii="宋体" w:hAnsi="宋体" w:eastAsia="宋体" w:cs="宋体"/>
          <w:sz w:val="28"/>
          <w:szCs w:val="28"/>
        </w:rPr>
        <w:t>元，其中基本支出</w:t>
      </w:r>
      <w:r>
        <w:rPr>
          <w:rFonts w:hint="eastAsia" w:ascii="宋体" w:hAnsi="宋体" w:cs="宋体"/>
          <w:sz w:val="28"/>
          <w:szCs w:val="28"/>
          <w:lang w:val="en-US" w:eastAsia="zh-CN"/>
        </w:rPr>
        <w:t>3207254.2</w:t>
      </w:r>
      <w:r>
        <w:rPr>
          <w:rFonts w:hint="eastAsia" w:ascii="宋体" w:hAnsi="宋体" w:eastAsia="宋体" w:cs="宋体"/>
          <w:sz w:val="28"/>
          <w:szCs w:val="28"/>
        </w:rPr>
        <w:t>元，项目支出</w:t>
      </w:r>
      <w:r>
        <w:rPr>
          <w:rFonts w:hint="eastAsia" w:ascii="宋体" w:hAnsi="宋体" w:cs="宋体"/>
          <w:sz w:val="28"/>
          <w:szCs w:val="28"/>
          <w:lang w:val="en-US" w:eastAsia="zh-CN"/>
        </w:rPr>
        <w:t>759216</w:t>
      </w:r>
      <w:r>
        <w:rPr>
          <w:rFonts w:hint="eastAsia" w:ascii="宋体" w:hAnsi="宋体" w:eastAsia="宋体" w:cs="宋体"/>
          <w:sz w:val="28"/>
          <w:szCs w:val="28"/>
        </w:rPr>
        <w:t>元。</w:t>
      </w:r>
    </w:p>
    <w:p>
      <w:pPr>
        <w:spacing w:line="580" w:lineRule="exact"/>
        <w:rPr>
          <w:rFonts w:hint="eastAsia" w:ascii="宋体" w:hAnsi="宋体" w:eastAsia="宋体" w:cs="宋体"/>
          <w:b/>
          <w:sz w:val="28"/>
          <w:szCs w:val="28"/>
        </w:rPr>
      </w:pPr>
      <w:r>
        <w:rPr>
          <w:rFonts w:hint="eastAsia" w:ascii="宋体" w:hAnsi="宋体" w:eastAsia="宋体" w:cs="宋体"/>
          <w:b/>
          <w:sz w:val="28"/>
          <w:szCs w:val="28"/>
        </w:rPr>
        <w:t>三、部门财政支出管理情况</w:t>
      </w:r>
    </w:p>
    <w:p>
      <w:pPr>
        <w:spacing w:line="580" w:lineRule="exact"/>
        <w:rPr>
          <w:rFonts w:hint="eastAsia" w:ascii="宋体" w:hAnsi="宋体" w:eastAsia="宋体" w:cs="宋体"/>
          <w:sz w:val="28"/>
          <w:szCs w:val="28"/>
        </w:rPr>
      </w:pPr>
      <w:r>
        <w:rPr>
          <w:rFonts w:hint="eastAsia" w:ascii="宋体" w:hAnsi="宋体" w:eastAsia="宋体" w:cs="宋体"/>
          <w:sz w:val="28"/>
          <w:szCs w:val="28"/>
        </w:rPr>
        <w:t>（一）预算编制情况。</w:t>
      </w:r>
    </w:p>
    <w:p>
      <w:pPr>
        <w:spacing w:line="58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我校按照区财政部门预算编制的要求，按时完成了一上和二上年初预算的编制并及时进行了报送，且保证了预算数据的准确性、时效性。</w:t>
      </w:r>
    </w:p>
    <w:p>
      <w:pPr>
        <w:spacing w:line="580" w:lineRule="exact"/>
        <w:rPr>
          <w:rFonts w:hint="eastAsia" w:ascii="宋体" w:hAnsi="宋体" w:eastAsia="宋体" w:cs="宋体"/>
          <w:sz w:val="28"/>
          <w:szCs w:val="28"/>
        </w:rPr>
      </w:pPr>
      <w:r>
        <w:rPr>
          <w:rFonts w:hint="eastAsia" w:ascii="宋体" w:hAnsi="宋体" w:eastAsia="宋体" w:cs="宋体"/>
          <w:sz w:val="28"/>
          <w:szCs w:val="28"/>
        </w:rPr>
        <w:t>（二）执行管理情况。</w:t>
      </w:r>
    </w:p>
    <w:p>
      <w:pPr>
        <w:spacing w:line="58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rPr>
        <w:t>我校是按照全年下达的预算指标来安排各项工作，预算执行情况总体良好，全年执行进度</w:t>
      </w:r>
      <w:r>
        <w:rPr>
          <w:rFonts w:hint="eastAsia" w:ascii="宋体" w:hAnsi="宋体" w:eastAsia="宋体" w:cs="宋体"/>
          <w:sz w:val="28"/>
          <w:szCs w:val="28"/>
          <w:lang w:eastAsia="zh-CN"/>
        </w:rPr>
        <w:t>合理</w:t>
      </w:r>
      <w:r>
        <w:rPr>
          <w:rFonts w:hint="eastAsia" w:ascii="宋体" w:hAnsi="宋体" w:eastAsia="宋体" w:cs="宋体"/>
          <w:sz w:val="28"/>
          <w:szCs w:val="28"/>
          <w:lang w:val="en-US" w:eastAsia="zh-CN"/>
        </w:rPr>
        <w:t>,</w:t>
      </w:r>
      <w:r>
        <w:rPr>
          <w:rFonts w:hint="eastAsia" w:ascii="宋体" w:hAnsi="宋体" w:eastAsia="宋体" w:cs="宋体"/>
          <w:sz w:val="28"/>
          <w:szCs w:val="28"/>
        </w:rPr>
        <w:t>中期评估、节能降耗中均完成得很好，我校全年“三公”经费</w:t>
      </w:r>
      <w:r>
        <w:rPr>
          <w:rFonts w:hint="eastAsia" w:ascii="宋体" w:hAnsi="宋体" w:eastAsia="宋体" w:cs="宋体"/>
          <w:sz w:val="28"/>
          <w:szCs w:val="28"/>
          <w:lang w:eastAsia="zh-CN"/>
        </w:rPr>
        <w:t>支出</w:t>
      </w:r>
      <w:r>
        <w:rPr>
          <w:rFonts w:hint="eastAsia" w:ascii="宋体" w:hAnsi="宋体" w:eastAsia="宋体" w:cs="宋体"/>
          <w:sz w:val="28"/>
          <w:szCs w:val="28"/>
        </w:rPr>
        <w:t>为0</w:t>
      </w:r>
      <w:r>
        <w:rPr>
          <w:rFonts w:hint="eastAsia" w:ascii="宋体" w:hAnsi="宋体" w:eastAsia="宋体" w:cs="宋体"/>
          <w:sz w:val="28"/>
          <w:szCs w:val="28"/>
          <w:lang w:eastAsia="zh-CN"/>
        </w:rPr>
        <w:t>元</w:t>
      </w:r>
      <w:r>
        <w:rPr>
          <w:rFonts w:hint="eastAsia" w:ascii="宋体" w:hAnsi="宋体" w:eastAsia="宋体" w:cs="宋体"/>
          <w:sz w:val="28"/>
          <w:szCs w:val="28"/>
        </w:rPr>
        <w:t>。</w:t>
      </w:r>
      <w:r>
        <w:rPr>
          <w:rFonts w:hint="eastAsia" w:ascii="宋体" w:hAnsi="宋体" w:eastAsia="宋体" w:cs="宋体"/>
          <w:sz w:val="28"/>
          <w:szCs w:val="28"/>
          <w:lang w:val="en-US" w:eastAsia="zh-CN"/>
        </w:rPr>
        <w:t>执行进度有序不滞后.据此合理编制2022年预算.</w:t>
      </w:r>
    </w:p>
    <w:p>
      <w:pPr>
        <w:spacing w:line="580" w:lineRule="exact"/>
        <w:rPr>
          <w:rFonts w:hint="eastAsia" w:ascii="宋体" w:hAnsi="宋体" w:eastAsia="宋体" w:cs="宋体"/>
          <w:sz w:val="28"/>
          <w:szCs w:val="28"/>
        </w:rPr>
      </w:pPr>
      <w:r>
        <w:rPr>
          <w:rFonts w:hint="eastAsia" w:ascii="宋体" w:hAnsi="宋体" w:eastAsia="宋体" w:cs="宋体"/>
          <w:sz w:val="28"/>
          <w:szCs w:val="28"/>
        </w:rPr>
        <w:t>（三）综合管理情况。</w:t>
      </w:r>
    </w:p>
    <w:p>
      <w:pPr>
        <w:spacing w:line="580" w:lineRule="exact"/>
        <w:ind w:firstLine="555"/>
        <w:rPr>
          <w:rFonts w:hint="eastAsia" w:ascii="宋体" w:hAnsi="宋体" w:eastAsia="宋体" w:cs="宋体"/>
          <w:sz w:val="28"/>
          <w:szCs w:val="28"/>
          <w:lang w:val="en-US" w:eastAsia="zh-CN"/>
        </w:rPr>
      </w:pPr>
      <w:r>
        <w:rPr>
          <w:rFonts w:hint="eastAsia" w:ascii="宋体" w:hAnsi="宋体" w:eastAsia="宋体" w:cs="宋体"/>
          <w:sz w:val="28"/>
          <w:szCs w:val="28"/>
        </w:rPr>
        <w:t>我校制定有财务管理制度、内控制度及后勤工作管理制度，细化了财务工作，明确了财务管理人员各自的责任，规章制度建立健全，制度执行严格合规，管理规范。会计核算符合相关规定，做到了资金的专款专用，资金支付依据和开支标准合法合规，账务处理正确，核算准确，会计科目使用完整正确，无乱用会计科目的现象。我校严格按政府采购相关规定进行采购。</w:t>
      </w:r>
      <w:r>
        <w:rPr>
          <w:rFonts w:hint="eastAsia" w:ascii="宋体" w:hAnsi="宋体" w:eastAsia="宋体" w:cs="宋体"/>
          <w:sz w:val="28"/>
          <w:szCs w:val="28"/>
          <w:lang w:eastAsia="zh-CN"/>
        </w:rPr>
        <w:t>学校有经费审查小组</w:t>
      </w:r>
      <w:r>
        <w:rPr>
          <w:rFonts w:hint="eastAsia" w:ascii="宋体" w:hAnsi="宋体" w:eastAsia="宋体" w:cs="宋体"/>
          <w:sz w:val="28"/>
          <w:szCs w:val="28"/>
          <w:lang w:val="en-US" w:eastAsia="zh-CN"/>
        </w:rPr>
        <w:t>,监督学校经费使用情况,并公开经费和检查的相关信息.</w:t>
      </w:r>
    </w:p>
    <w:p>
      <w:pPr>
        <w:spacing w:line="580" w:lineRule="exact"/>
        <w:rPr>
          <w:rFonts w:hint="eastAsia" w:ascii="宋体" w:hAnsi="宋体" w:eastAsia="宋体" w:cs="宋体"/>
          <w:sz w:val="28"/>
          <w:szCs w:val="28"/>
        </w:rPr>
      </w:pPr>
      <w:r>
        <w:rPr>
          <w:rFonts w:hint="eastAsia" w:ascii="宋体" w:hAnsi="宋体" w:eastAsia="宋体" w:cs="宋体"/>
          <w:sz w:val="28"/>
          <w:szCs w:val="28"/>
        </w:rPr>
        <w:t>（四）整体绩效。</w:t>
      </w:r>
    </w:p>
    <w:p>
      <w:pPr>
        <w:spacing w:line="58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rPr>
        <w:t>我校已按照财政局以及教育局的要求强化绩效管理理念，秉承客观公正、实事求是的原则开展了自评工作，把好的经验用于学校以后的工作中，力争使财政资金在更大程度上发挥积极的作用。</w:t>
      </w:r>
      <w:r>
        <w:rPr>
          <w:rFonts w:hint="eastAsia" w:ascii="宋体" w:hAnsi="宋体" w:eastAsia="宋体" w:cs="宋体"/>
          <w:sz w:val="28"/>
          <w:szCs w:val="28"/>
          <w:lang w:eastAsia="zh-CN"/>
        </w:rPr>
        <w:t>社会反响好</w:t>
      </w:r>
      <w:r>
        <w:rPr>
          <w:rFonts w:hint="eastAsia" w:ascii="宋体" w:hAnsi="宋体" w:eastAsia="宋体" w:cs="宋体"/>
          <w:sz w:val="28"/>
          <w:szCs w:val="28"/>
          <w:lang w:val="en-US" w:eastAsia="zh-CN"/>
        </w:rPr>
        <w:t>,上级认可,师生满意.</w:t>
      </w:r>
    </w:p>
    <w:p>
      <w:pPr>
        <w:spacing w:line="580" w:lineRule="exact"/>
        <w:rPr>
          <w:rFonts w:hint="eastAsia" w:ascii="宋体" w:hAnsi="宋体" w:eastAsia="宋体" w:cs="宋体"/>
          <w:b/>
          <w:sz w:val="28"/>
          <w:szCs w:val="28"/>
        </w:rPr>
      </w:pPr>
      <w:r>
        <w:rPr>
          <w:rFonts w:hint="eastAsia" w:ascii="宋体" w:hAnsi="宋体" w:eastAsia="宋体" w:cs="宋体"/>
          <w:b/>
          <w:sz w:val="28"/>
          <w:szCs w:val="28"/>
        </w:rPr>
        <w:t xml:space="preserve">四、评价结论及建议 </w:t>
      </w:r>
    </w:p>
    <w:p>
      <w:pPr>
        <w:spacing w:line="580" w:lineRule="exact"/>
        <w:rPr>
          <w:rFonts w:hint="eastAsia" w:ascii="宋体" w:hAnsi="宋体" w:eastAsia="宋体" w:cs="宋体"/>
          <w:sz w:val="28"/>
          <w:szCs w:val="28"/>
        </w:rPr>
      </w:pPr>
      <w:r>
        <w:rPr>
          <w:rFonts w:hint="eastAsia" w:ascii="宋体" w:hAnsi="宋体" w:eastAsia="宋体" w:cs="宋体"/>
          <w:sz w:val="28"/>
          <w:szCs w:val="28"/>
        </w:rPr>
        <w:t xml:space="preserve">（一）评价结论。 </w:t>
      </w:r>
    </w:p>
    <w:p>
      <w:pPr>
        <w:spacing w:line="580" w:lineRule="exact"/>
        <w:ind w:firstLine="555"/>
        <w:rPr>
          <w:rFonts w:hint="eastAsia" w:ascii="宋体" w:hAnsi="宋体" w:eastAsia="宋体" w:cs="宋体"/>
          <w:sz w:val="28"/>
          <w:szCs w:val="28"/>
        </w:rPr>
      </w:pPr>
      <w:r>
        <w:rPr>
          <w:rFonts w:hint="eastAsia" w:ascii="宋体" w:hAnsi="宋体" w:eastAsia="宋体" w:cs="宋体"/>
          <w:sz w:val="28"/>
          <w:szCs w:val="28"/>
        </w:rPr>
        <w:t xml:space="preserve">我校支出绩效总体良好，各项目标达到了相应时期执行进度，各项专项经费按预算实施，使财政收支预算执行都得了良好的制度保障和实施效果。 </w:t>
      </w:r>
    </w:p>
    <w:p>
      <w:pPr>
        <w:spacing w:line="580" w:lineRule="exact"/>
        <w:rPr>
          <w:rFonts w:hint="eastAsia" w:ascii="宋体" w:hAnsi="宋体" w:eastAsia="宋体" w:cs="宋体"/>
          <w:sz w:val="28"/>
          <w:szCs w:val="28"/>
        </w:rPr>
      </w:pPr>
      <w:r>
        <w:rPr>
          <w:rFonts w:hint="eastAsia" w:ascii="宋体" w:hAnsi="宋体" w:eastAsia="宋体" w:cs="宋体"/>
          <w:sz w:val="28"/>
          <w:szCs w:val="28"/>
        </w:rPr>
        <w:t xml:space="preserve">（二）存在问题。 </w:t>
      </w:r>
    </w:p>
    <w:p>
      <w:pPr>
        <w:spacing w:line="580" w:lineRule="exact"/>
        <w:ind w:firstLine="560" w:firstLineChars="200"/>
        <w:rPr>
          <w:rFonts w:hint="eastAsia" w:ascii="宋体" w:hAnsi="宋体" w:eastAsia="宋体" w:cs="宋体"/>
          <w:sz w:val="28"/>
          <w:szCs w:val="28"/>
        </w:rPr>
      </w:pPr>
      <w:r>
        <w:rPr>
          <w:rFonts w:hint="eastAsia" w:ascii="宋体" w:hAnsi="宋体" w:eastAsia="宋体" w:cs="宋体"/>
          <w:sz w:val="28"/>
          <w:szCs w:val="28"/>
          <w:lang w:eastAsia="zh-CN"/>
        </w:rPr>
        <w:t>工作信息有时接收</w:t>
      </w:r>
      <w:r>
        <w:rPr>
          <w:rFonts w:hint="eastAsia" w:ascii="宋体" w:hAnsi="宋体" w:eastAsia="宋体" w:cs="宋体"/>
          <w:sz w:val="28"/>
          <w:szCs w:val="28"/>
        </w:rPr>
        <w:t>不及时。</w:t>
      </w:r>
    </w:p>
    <w:p>
      <w:pPr>
        <w:spacing w:line="580" w:lineRule="exact"/>
        <w:rPr>
          <w:rFonts w:hint="eastAsia" w:ascii="宋体" w:hAnsi="宋体" w:eastAsia="宋体" w:cs="宋体"/>
          <w:sz w:val="28"/>
          <w:szCs w:val="28"/>
        </w:rPr>
      </w:pPr>
      <w:r>
        <w:rPr>
          <w:rFonts w:hint="eastAsia" w:ascii="宋体" w:hAnsi="宋体" w:eastAsia="宋体" w:cs="宋体"/>
          <w:sz w:val="28"/>
          <w:szCs w:val="28"/>
        </w:rPr>
        <w:t>（三）改进建议。</w:t>
      </w:r>
      <w:r>
        <w:rPr>
          <w:rFonts w:hint="eastAsia" w:ascii="宋体" w:hAnsi="宋体" w:eastAsia="宋体" w:cs="宋体"/>
          <w:sz w:val="28"/>
          <w:szCs w:val="28"/>
          <w:lang w:eastAsia="zh-CN"/>
        </w:rPr>
        <w:t>多关注各种渠道的资金信息</w:t>
      </w:r>
      <w:r>
        <w:rPr>
          <w:rFonts w:hint="eastAsia" w:ascii="宋体" w:hAnsi="宋体" w:eastAsia="宋体" w:cs="宋体"/>
          <w:sz w:val="28"/>
          <w:szCs w:val="28"/>
          <w:lang w:val="en-US" w:eastAsia="zh-CN"/>
        </w:rPr>
        <w:t>,</w:t>
      </w:r>
      <w:r>
        <w:rPr>
          <w:rFonts w:hint="eastAsia" w:ascii="宋体" w:hAnsi="宋体" w:eastAsia="宋体" w:cs="宋体"/>
          <w:sz w:val="28"/>
          <w:szCs w:val="28"/>
        </w:rPr>
        <w:t>让资金的审批和使用在短时间内得以</w:t>
      </w:r>
      <w:r>
        <w:rPr>
          <w:rFonts w:hint="eastAsia" w:ascii="宋体" w:hAnsi="宋体" w:eastAsia="宋体" w:cs="宋体"/>
          <w:sz w:val="28"/>
          <w:szCs w:val="28"/>
          <w:lang w:eastAsia="zh-CN"/>
        </w:rPr>
        <w:t>准确到位</w:t>
      </w:r>
      <w:r>
        <w:rPr>
          <w:rFonts w:hint="eastAsia" w:ascii="宋体" w:hAnsi="宋体" w:eastAsia="宋体" w:cs="宋体"/>
          <w:sz w:val="28"/>
          <w:szCs w:val="28"/>
        </w:rPr>
        <w:t>，进一步提高资金的使用效率。明年将进一步细化预算支出，</w:t>
      </w:r>
      <w:r>
        <w:rPr>
          <w:rFonts w:hint="eastAsia" w:ascii="宋体" w:hAnsi="宋体" w:eastAsia="宋体" w:cs="宋体"/>
          <w:sz w:val="28"/>
          <w:szCs w:val="28"/>
          <w:lang w:eastAsia="zh-CN"/>
        </w:rPr>
        <w:t>保证按细化项目要求支出</w:t>
      </w:r>
      <w:r>
        <w:rPr>
          <w:rFonts w:hint="eastAsia" w:ascii="宋体" w:hAnsi="宋体" w:eastAsia="宋体" w:cs="宋体"/>
          <w:sz w:val="28"/>
          <w:szCs w:val="28"/>
          <w:lang w:val="en-US" w:eastAsia="zh-CN"/>
        </w:rPr>
        <w:t>,</w:t>
      </w:r>
      <w:r>
        <w:rPr>
          <w:rFonts w:hint="eastAsia" w:ascii="宋体" w:hAnsi="宋体" w:eastAsia="宋体" w:cs="宋体"/>
          <w:sz w:val="28"/>
          <w:szCs w:val="28"/>
        </w:rPr>
        <w:t>做到绩效评价中的预算编制、预算执行、支出绩效相一致。</w:t>
      </w:r>
    </w:p>
    <w:p>
      <w:pPr>
        <w:ind w:right="560"/>
        <w:jc w:val="both"/>
        <w:rPr>
          <w:rFonts w:hint="eastAsia" w:ascii="宋体" w:hAnsi="宋体" w:eastAsia="宋体" w:cs="宋体"/>
          <w:b/>
          <w:bCs/>
          <w:sz w:val="28"/>
          <w:szCs w:val="28"/>
          <w:lang w:eastAsia="zh-CN"/>
        </w:rPr>
      </w:pPr>
      <w:r>
        <w:rPr>
          <w:rFonts w:hint="eastAsia" w:ascii="宋体" w:hAnsi="宋体" w:eastAsia="宋体" w:cs="宋体"/>
          <w:sz w:val="28"/>
          <w:szCs w:val="28"/>
          <w:lang w:eastAsia="zh-CN"/>
        </w:rPr>
        <w:t>五、</w:t>
      </w:r>
      <w:r>
        <w:rPr>
          <w:rFonts w:hint="eastAsia" w:ascii="宋体" w:hAnsi="宋体" w:eastAsia="宋体" w:cs="宋体"/>
          <w:b/>
          <w:bCs/>
          <w:sz w:val="28"/>
          <w:szCs w:val="28"/>
          <w:lang w:eastAsia="zh-CN"/>
        </w:rPr>
        <w:t>自评结论</w:t>
      </w:r>
    </w:p>
    <w:p>
      <w:pPr>
        <w:ind w:right="560" w:firstLine="560" w:firstLineChars="200"/>
        <w:jc w:val="both"/>
        <w:rPr>
          <w:rFonts w:hint="eastAsia" w:ascii="宋体" w:hAnsi="宋体" w:eastAsia="宋体" w:cs="宋体"/>
          <w:sz w:val="28"/>
          <w:szCs w:val="28"/>
          <w:lang w:val="en-US" w:eastAsia="zh-CN"/>
        </w:rPr>
      </w:pPr>
      <w:r>
        <w:rPr>
          <w:rFonts w:hint="eastAsia" w:ascii="宋体" w:hAnsi="宋体" w:eastAsia="宋体" w:cs="宋体"/>
          <w:sz w:val="28"/>
          <w:szCs w:val="28"/>
          <w:lang w:eastAsia="zh-CN"/>
        </w:rPr>
        <w:t>我校自评分数为</w:t>
      </w:r>
      <w:r>
        <w:rPr>
          <w:rFonts w:hint="eastAsia" w:ascii="宋体" w:hAnsi="宋体" w:eastAsia="宋体" w:cs="宋体"/>
          <w:sz w:val="28"/>
          <w:szCs w:val="28"/>
          <w:lang w:val="en-US" w:eastAsia="zh-CN"/>
        </w:rPr>
        <w:t>96分</w:t>
      </w:r>
    </w:p>
    <w:p>
      <w:pPr>
        <w:jc w:val="center"/>
        <w:rPr>
          <w:rFonts w:hint="eastAsia" w:ascii="宋体" w:hAnsi="宋体" w:cs="宋体"/>
          <w:sz w:val="28"/>
          <w:szCs w:val="28"/>
          <w:lang w:eastAsia="zh-CN"/>
        </w:rPr>
      </w:pPr>
      <w:r>
        <w:rPr>
          <w:rFonts w:hint="eastAsia" w:ascii="宋体" w:hAnsi="宋体" w:cs="宋体"/>
          <w:sz w:val="28"/>
          <w:szCs w:val="28"/>
          <w:lang w:val="en-US" w:eastAsia="zh-CN"/>
        </w:rPr>
        <w:t xml:space="preserve">                                                   </w:t>
      </w:r>
      <w:r>
        <w:rPr>
          <w:rFonts w:hint="eastAsia" w:ascii="宋体" w:hAnsi="宋体" w:cs="宋体"/>
          <w:sz w:val="28"/>
          <w:szCs w:val="28"/>
          <w:lang w:eastAsia="zh-CN"/>
        </w:rPr>
        <w:t>荔德小学</w:t>
      </w:r>
    </w:p>
    <w:p>
      <w:pPr>
        <w:jc w:val="right"/>
        <w:rPr>
          <w:rFonts w:hint="eastAsia" w:ascii="宋体" w:hAnsi="宋体" w:eastAsia="宋体" w:cs="宋体"/>
          <w:sz w:val="28"/>
          <w:szCs w:val="28"/>
        </w:rPr>
      </w:pPr>
      <w:r>
        <w:rPr>
          <w:rFonts w:hint="eastAsia" w:ascii="宋体" w:hAnsi="宋体" w:eastAsia="宋体" w:cs="宋体"/>
          <w:sz w:val="28"/>
          <w:szCs w:val="28"/>
        </w:rPr>
        <w:t>20</w:t>
      </w:r>
      <w:r>
        <w:rPr>
          <w:rFonts w:hint="eastAsia" w:ascii="宋体" w:hAnsi="宋体" w:eastAsia="宋体" w:cs="宋体"/>
          <w:sz w:val="28"/>
          <w:szCs w:val="28"/>
          <w:lang w:val="en-US" w:eastAsia="zh-CN"/>
        </w:rPr>
        <w:t>22</w:t>
      </w:r>
      <w:r>
        <w:rPr>
          <w:rFonts w:hint="eastAsia" w:ascii="宋体" w:hAnsi="宋体" w:eastAsia="宋体" w:cs="宋体"/>
          <w:sz w:val="28"/>
          <w:szCs w:val="28"/>
        </w:rPr>
        <w:t>年</w:t>
      </w:r>
      <w:r>
        <w:rPr>
          <w:rFonts w:hint="eastAsia" w:ascii="宋体" w:hAnsi="宋体" w:eastAsia="宋体" w:cs="宋体"/>
          <w:sz w:val="28"/>
          <w:szCs w:val="28"/>
          <w:lang w:val="en-US" w:eastAsia="zh-CN"/>
        </w:rPr>
        <w:t>3</w:t>
      </w:r>
      <w:r>
        <w:rPr>
          <w:rFonts w:hint="eastAsia" w:ascii="宋体" w:hAnsi="宋体" w:eastAsia="宋体" w:cs="宋体"/>
          <w:sz w:val="28"/>
          <w:szCs w:val="28"/>
        </w:rPr>
        <w:t>月</w:t>
      </w:r>
      <w:r>
        <w:rPr>
          <w:rFonts w:hint="eastAsia" w:ascii="宋体" w:hAnsi="宋体" w:eastAsia="宋体" w:cs="宋体"/>
          <w:sz w:val="28"/>
          <w:szCs w:val="28"/>
          <w:lang w:val="en-US" w:eastAsia="zh-CN"/>
        </w:rPr>
        <w:t>18</w:t>
      </w:r>
      <w:r>
        <w:rPr>
          <w:rFonts w:hint="eastAsia" w:ascii="宋体" w:hAnsi="宋体" w:eastAsia="宋体" w:cs="宋体"/>
          <w:sz w:val="28"/>
          <w:szCs w:val="28"/>
        </w:rPr>
        <w:t>日</w:t>
      </w:r>
    </w:p>
    <w:p>
      <w:pPr>
        <w:pStyle w:val="2"/>
        <w:rPr>
          <w:rFonts w:hint="eastAsia" w:ascii="黑体" w:hAnsi="黑体" w:eastAsia="黑体" w:cs="黑体"/>
          <w:sz w:val="32"/>
          <w:szCs w:val="32"/>
          <w:lang w:eastAsia="zh-CN"/>
        </w:rPr>
      </w:pPr>
    </w:p>
    <w:p>
      <w:pPr>
        <w:pStyle w:val="2"/>
        <w:rPr>
          <w:rFonts w:hint="eastAsia" w:ascii="黑体" w:hAnsi="黑体" w:eastAsia="黑体"/>
          <w:sz w:val="44"/>
          <w:szCs w:val="44"/>
          <w:lang w:eastAsia="zh-CN"/>
        </w:rPr>
      </w:pPr>
      <w:bookmarkStart w:id="52" w:name="_Toc15396618"/>
      <w:r>
        <w:rPr>
          <w:rFonts w:hint="eastAsia" w:ascii="黑体" w:hAnsi="黑体" w:eastAsia="黑体"/>
          <w:sz w:val="44"/>
          <w:szCs w:val="44"/>
          <w:lang w:eastAsia="zh-CN"/>
        </w:rPr>
        <w:drawing>
          <wp:inline distT="0" distB="0" distL="114300" distR="114300">
            <wp:extent cx="3543300" cy="4838700"/>
            <wp:effectExtent l="0" t="0" r="0" b="0"/>
            <wp:docPr id="11" name="图片 11" descr="0a372751d1bf384ceda0c0a6b99b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0a372751d1bf384ceda0c0a6b99b171"/>
                    <pic:cNvPicPr>
                      <a:picLocks noChangeAspect="1"/>
                    </pic:cNvPicPr>
                  </pic:nvPicPr>
                  <pic:blipFill>
                    <a:blip r:embed="rId13"/>
                    <a:stretch>
                      <a:fillRect/>
                    </a:stretch>
                  </pic:blipFill>
                  <pic:spPr>
                    <a:xfrm>
                      <a:off x="0" y="0"/>
                      <a:ext cx="3543300" cy="4838700"/>
                    </a:xfrm>
                    <a:prstGeom prst="rect">
                      <a:avLst/>
                    </a:prstGeom>
                  </pic:spPr>
                </pic:pic>
              </a:graphicData>
            </a:graphic>
          </wp:inline>
        </w:drawing>
      </w:r>
    </w:p>
    <w:p>
      <w:pPr>
        <w:pStyle w:val="2"/>
        <w:rPr>
          <w:rFonts w:hint="eastAsia" w:ascii="黑体" w:hAnsi="黑体" w:eastAsia="黑体"/>
          <w:sz w:val="44"/>
          <w:szCs w:val="44"/>
          <w:lang w:eastAsia="zh-CN"/>
        </w:rPr>
      </w:pPr>
      <w:r>
        <w:rPr>
          <w:rFonts w:hint="eastAsia" w:ascii="黑体" w:hAnsi="黑体" w:eastAsia="黑体"/>
          <w:sz w:val="44"/>
          <w:szCs w:val="44"/>
          <w:lang w:eastAsia="zh-CN"/>
        </w:rPr>
        <w:drawing>
          <wp:inline distT="0" distB="0" distL="114300" distR="114300">
            <wp:extent cx="3457575" cy="4362450"/>
            <wp:effectExtent l="0" t="0" r="9525" b="0"/>
            <wp:docPr id="13" name="图片 13" descr="05785200afb8fe1950c691f629689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05785200afb8fe1950c691f629689e0"/>
                    <pic:cNvPicPr>
                      <a:picLocks noChangeAspect="1"/>
                    </pic:cNvPicPr>
                  </pic:nvPicPr>
                  <pic:blipFill>
                    <a:blip r:embed="rId14"/>
                    <a:stretch>
                      <a:fillRect/>
                    </a:stretch>
                  </pic:blipFill>
                  <pic:spPr>
                    <a:xfrm>
                      <a:off x="0" y="0"/>
                      <a:ext cx="3457575" cy="4362450"/>
                    </a:xfrm>
                    <a:prstGeom prst="rect">
                      <a:avLst/>
                    </a:prstGeom>
                  </pic:spPr>
                </pic:pic>
              </a:graphicData>
            </a:graphic>
          </wp:inline>
        </w:drawing>
      </w:r>
      <w:r>
        <w:rPr>
          <w:rFonts w:hint="eastAsia" w:ascii="黑体" w:hAnsi="黑体" w:eastAsia="黑体"/>
          <w:sz w:val="44"/>
          <w:szCs w:val="44"/>
          <w:lang w:eastAsia="zh-CN"/>
        </w:rPr>
        <w:drawing>
          <wp:inline distT="0" distB="0" distL="114300" distR="114300">
            <wp:extent cx="3400425" cy="4476750"/>
            <wp:effectExtent l="0" t="0" r="9525" b="0"/>
            <wp:docPr id="17" name="图片 17" descr="a1d044dc01bae856032a59eba8d86a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a1d044dc01bae856032a59eba8d86af"/>
                    <pic:cNvPicPr>
                      <a:picLocks noChangeAspect="1"/>
                    </pic:cNvPicPr>
                  </pic:nvPicPr>
                  <pic:blipFill>
                    <a:blip r:embed="rId15"/>
                    <a:stretch>
                      <a:fillRect/>
                    </a:stretch>
                  </pic:blipFill>
                  <pic:spPr>
                    <a:xfrm>
                      <a:off x="0" y="0"/>
                      <a:ext cx="3400425" cy="4476750"/>
                    </a:xfrm>
                    <a:prstGeom prst="rect">
                      <a:avLst/>
                    </a:prstGeom>
                  </pic:spPr>
                </pic:pic>
              </a:graphicData>
            </a:graphic>
          </wp:inline>
        </w:drawing>
      </w:r>
      <w:r>
        <w:rPr>
          <w:rFonts w:hint="eastAsia" w:ascii="黑体" w:hAnsi="黑体" w:eastAsia="黑体"/>
          <w:sz w:val="44"/>
          <w:szCs w:val="44"/>
          <w:lang w:eastAsia="zh-CN"/>
        </w:rPr>
        <w:drawing>
          <wp:inline distT="0" distB="0" distL="114300" distR="114300">
            <wp:extent cx="3305175" cy="4486275"/>
            <wp:effectExtent l="0" t="0" r="9525" b="9525"/>
            <wp:docPr id="20" name="图片 20" descr="95c490a82df51cec2baeb0f9d12f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95c490a82df51cec2baeb0f9d12f438"/>
                    <pic:cNvPicPr>
                      <a:picLocks noChangeAspect="1"/>
                    </pic:cNvPicPr>
                  </pic:nvPicPr>
                  <pic:blipFill>
                    <a:blip r:embed="rId16"/>
                    <a:stretch>
                      <a:fillRect/>
                    </a:stretch>
                  </pic:blipFill>
                  <pic:spPr>
                    <a:xfrm>
                      <a:off x="0" y="0"/>
                      <a:ext cx="3305175" cy="4486275"/>
                    </a:xfrm>
                    <a:prstGeom prst="rect">
                      <a:avLst/>
                    </a:prstGeom>
                  </pic:spPr>
                </pic:pic>
              </a:graphicData>
            </a:graphic>
          </wp:inline>
        </w:drawing>
      </w:r>
      <w:r>
        <w:rPr>
          <w:rFonts w:hint="eastAsia" w:ascii="黑体" w:hAnsi="黑体" w:eastAsia="黑体"/>
          <w:sz w:val="44"/>
          <w:szCs w:val="44"/>
          <w:lang w:eastAsia="zh-CN"/>
        </w:rPr>
        <w:drawing>
          <wp:inline distT="0" distB="0" distL="114300" distR="114300">
            <wp:extent cx="3314700" cy="4238625"/>
            <wp:effectExtent l="0" t="0" r="0" b="9525"/>
            <wp:docPr id="22" name="图片 22" descr="8c094db457a4e4135c9929def65d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8c094db457a4e4135c9929def65d353"/>
                    <pic:cNvPicPr>
                      <a:picLocks noChangeAspect="1"/>
                    </pic:cNvPicPr>
                  </pic:nvPicPr>
                  <pic:blipFill>
                    <a:blip r:embed="rId17"/>
                    <a:stretch>
                      <a:fillRect/>
                    </a:stretch>
                  </pic:blipFill>
                  <pic:spPr>
                    <a:xfrm>
                      <a:off x="0" y="0"/>
                      <a:ext cx="3314700" cy="4238625"/>
                    </a:xfrm>
                    <a:prstGeom prst="rect">
                      <a:avLst/>
                    </a:prstGeom>
                  </pic:spPr>
                </pic:pic>
              </a:graphicData>
            </a:graphic>
          </wp:inline>
        </w:drawing>
      </w:r>
      <w:r>
        <w:rPr>
          <w:rFonts w:hint="eastAsia" w:ascii="黑体" w:hAnsi="黑体" w:eastAsia="黑体"/>
          <w:sz w:val="44"/>
          <w:szCs w:val="44"/>
          <w:lang w:eastAsia="zh-CN"/>
        </w:rPr>
        <w:drawing>
          <wp:inline distT="0" distB="0" distL="114300" distR="114300">
            <wp:extent cx="3295650" cy="4286250"/>
            <wp:effectExtent l="0" t="0" r="0" b="0"/>
            <wp:docPr id="23" name="图片 23" descr="6295de5870b422c017ebe71b675e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6295de5870b422c017ebe71b675e412"/>
                    <pic:cNvPicPr>
                      <a:picLocks noChangeAspect="1"/>
                    </pic:cNvPicPr>
                  </pic:nvPicPr>
                  <pic:blipFill>
                    <a:blip r:embed="rId18"/>
                    <a:stretch>
                      <a:fillRect/>
                    </a:stretch>
                  </pic:blipFill>
                  <pic:spPr>
                    <a:xfrm>
                      <a:off x="0" y="0"/>
                      <a:ext cx="3295650" cy="4286250"/>
                    </a:xfrm>
                    <a:prstGeom prst="rect">
                      <a:avLst/>
                    </a:prstGeom>
                  </pic:spPr>
                </pic:pic>
              </a:graphicData>
            </a:graphic>
          </wp:inline>
        </w:drawing>
      </w:r>
    </w:p>
    <w:p>
      <w:pPr>
        <w:pStyle w:val="2"/>
        <w:rPr>
          <w:rFonts w:hint="eastAsia" w:ascii="黑体" w:hAnsi="黑体" w:eastAsia="黑体"/>
          <w:sz w:val="44"/>
          <w:szCs w:val="44"/>
          <w:lang w:eastAsia="zh-CN"/>
        </w:rPr>
      </w:pPr>
    </w:p>
    <w:p>
      <w:pPr>
        <w:pStyle w:val="2"/>
        <w:rPr>
          <w:rFonts w:hint="eastAsia" w:eastAsia="仿宋_GB2312"/>
          <w:lang w:eastAsia="zh-CN"/>
        </w:rPr>
      </w:pPr>
    </w:p>
    <w:p>
      <w:pPr>
        <w:pStyle w:val="2"/>
        <w:rPr>
          <w:rFonts w:hint="eastAsia" w:eastAsia="仿宋_GB2312"/>
          <w:lang w:eastAsia="zh-CN"/>
        </w:rPr>
      </w:pPr>
    </w:p>
    <w:p>
      <w:pPr>
        <w:pStyle w:val="2"/>
        <w:rPr>
          <w:rFonts w:hint="eastAsia" w:eastAsia="仿宋_GB2312"/>
          <w:lang w:eastAsia="zh-CN"/>
        </w:rPr>
      </w:pPr>
    </w:p>
    <w:p>
      <w:pPr>
        <w:pStyle w:val="2"/>
        <w:rPr>
          <w:rFonts w:hint="eastAsia" w:eastAsia="仿宋_GB2312"/>
          <w:lang w:eastAsia="zh-CN"/>
        </w:rPr>
      </w:pPr>
    </w:p>
    <w:p>
      <w:pPr>
        <w:pStyle w:val="2"/>
        <w:rPr>
          <w:rFonts w:hint="eastAsia" w:eastAsia="仿宋_GB2312"/>
          <w:lang w:eastAsia="zh-CN"/>
        </w:rPr>
      </w:pPr>
    </w:p>
    <w:p>
      <w:pPr>
        <w:pStyle w:val="2"/>
        <w:rPr>
          <w:rFonts w:hint="eastAsia" w:eastAsia="仿宋_GB2312"/>
          <w:lang w:eastAsia="zh-CN"/>
        </w:rPr>
      </w:pPr>
    </w:p>
    <w:p>
      <w:pPr>
        <w:pStyle w:val="2"/>
      </w:pPr>
    </w:p>
    <w:p>
      <w:pPr>
        <w:widowControl/>
        <w:adjustRightInd w:val="0"/>
        <w:snapToGrid w:val="0"/>
        <w:spacing w:line="580" w:lineRule="exact"/>
        <w:contextualSpacing/>
        <w:jc w:val="left"/>
      </w:pPr>
      <w:r>
        <w:rPr>
          <w:rFonts w:hint="eastAsia" w:ascii="仿宋_GB2312" w:hAnsi="宋体" w:eastAsia="仿宋_GB2312" w:cs="宋体"/>
          <w:color w:val="000000"/>
          <w:kern w:val="0"/>
          <w:sz w:val="32"/>
          <w:szCs w:val="32"/>
          <w:shd w:val="clear" w:color="auto" w:fill="FFFFFF"/>
        </w:rPr>
        <w:t>（注：有两个及以上特定目标类部门预算项目的，需分别开展绩效目标自评并填写附表）</w:t>
      </w:r>
    </w:p>
    <w:p>
      <w:pPr>
        <w:spacing w:line="600" w:lineRule="exact"/>
        <w:jc w:val="center"/>
        <w:outlineLvl w:val="0"/>
        <w:rPr>
          <w:rFonts w:ascii="黑体" w:hAnsi="黑体" w:eastAsia="黑体"/>
          <w:sz w:val="44"/>
          <w:szCs w:val="44"/>
        </w:rPr>
      </w:pPr>
    </w:p>
    <w:p>
      <w:pPr>
        <w:spacing w:line="600" w:lineRule="exact"/>
        <w:jc w:val="center"/>
        <w:outlineLvl w:val="0"/>
        <w:rPr>
          <w:rFonts w:ascii="黑体" w:hAnsi="黑体" w:eastAsia="黑体"/>
          <w:sz w:val="44"/>
          <w:szCs w:val="44"/>
        </w:rPr>
      </w:pPr>
    </w:p>
    <w:p>
      <w:pPr>
        <w:spacing w:line="600" w:lineRule="exact"/>
        <w:jc w:val="center"/>
        <w:outlineLvl w:val="0"/>
        <w:rPr>
          <w:rFonts w:hint="eastAsia" w:ascii="仿宋" w:hAnsi="仿宋" w:eastAsia="黑体"/>
          <w:lang w:eastAsia="zh-CN"/>
        </w:rPr>
      </w:pPr>
      <w:r>
        <w:rPr>
          <w:rFonts w:hint="eastAsia" w:ascii="黑体" w:hAnsi="黑体" w:eastAsia="黑体"/>
          <w:sz w:val="44"/>
          <w:szCs w:val="44"/>
        </w:rPr>
        <w:t>第</w:t>
      </w:r>
      <w:r>
        <w:rPr>
          <w:rStyle w:val="24"/>
          <w:rFonts w:hint="eastAsia" w:ascii="黑体" w:hAnsi="黑体" w:eastAsia="黑体"/>
          <w:b w:val="0"/>
        </w:rPr>
        <w:t>五部分 附</w:t>
      </w:r>
      <w:bookmarkEnd w:id="51"/>
      <w:bookmarkEnd w:id="52"/>
      <w:bookmarkStart w:id="53" w:name="_Toc15396619"/>
      <w:r>
        <w:rPr>
          <w:rStyle w:val="24"/>
          <w:rFonts w:hint="eastAsia" w:ascii="黑体" w:hAnsi="黑体" w:eastAsia="黑体"/>
          <w:b w:val="0"/>
          <w:lang w:eastAsia="zh-CN"/>
        </w:rPr>
        <w:t>表</w:t>
      </w:r>
    </w:p>
    <w:p>
      <w:pPr>
        <w:pStyle w:val="4"/>
        <w:rPr>
          <w:rFonts w:hint="eastAsia" w:ascii="仿宋" w:hAnsi="仿宋" w:eastAsia="仿宋"/>
          <w:lang w:eastAsia="zh-CN"/>
        </w:rPr>
      </w:pPr>
      <w:r>
        <w:rPr>
          <w:rFonts w:hint="eastAsia" w:ascii="仿宋" w:hAnsi="仿宋" w:eastAsia="仿宋"/>
          <w:b w:val="0"/>
        </w:rPr>
        <w:t>一、收</w:t>
      </w:r>
      <w:r>
        <w:rPr>
          <w:rStyle w:val="25"/>
          <w:rFonts w:hint="eastAsia" w:ascii="仿宋" w:hAnsi="仿宋" w:eastAsia="仿宋"/>
          <w:b w:val="0"/>
          <w:bCs w:val="0"/>
        </w:rPr>
        <w:t>入支出决算总表</w:t>
      </w:r>
      <w:bookmarkEnd w:id="53"/>
      <w:bookmarkStart w:id="54" w:name="_Toc15396620"/>
      <w:r>
        <w:rPr>
          <w:rFonts w:hint="eastAsia" w:ascii="仿宋" w:hAnsi="仿宋" w:eastAsia="仿宋"/>
          <w:b w:val="0"/>
        </w:rPr>
        <w:drawing>
          <wp:inline distT="0" distB="0" distL="114300" distR="114300">
            <wp:extent cx="5268595" cy="4038600"/>
            <wp:effectExtent l="0" t="0" r="8255" b="0"/>
            <wp:docPr id="24" name="图片 24" descr="191641adf28f15c0db60387822a5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191641adf28f15c0db60387822a5851"/>
                    <pic:cNvPicPr>
                      <a:picLocks noChangeAspect="1"/>
                    </pic:cNvPicPr>
                  </pic:nvPicPr>
                  <pic:blipFill>
                    <a:blip r:embed="rId19"/>
                    <a:stretch>
                      <a:fillRect/>
                    </a:stretch>
                  </pic:blipFill>
                  <pic:spPr>
                    <a:xfrm>
                      <a:off x="0" y="0"/>
                      <a:ext cx="5268595" cy="4038600"/>
                    </a:xfrm>
                    <a:prstGeom prst="rect">
                      <a:avLst/>
                    </a:prstGeom>
                  </pic:spPr>
                </pic:pic>
              </a:graphicData>
            </a:graphic>
          </wp:inline>
        </w:drawing>
      </w:r>
      <w:r>
        <w:rPr>
          <w:rFonts w:hint="eastAsia" w:ascii="仿宋" w:hAnsi="仿宋" w:eastAsia="仿宋"/>
          <w:b w:val="0"/>
        </w:rPr>
        <w:t>二、收</w:t>
      </w:r>
      <w:r>
        <w:rPr>
          <w:rStyle w:val="25"/>
          <w:rFonts w:hint="eastAsia" w:ascii="仿宋" w:hAnsi="仿宋" w:eastAsia="仿宋"/>
          <w:b w:val="0"/>
          <w:bCs w:val="0"/>
        </w:rPr>
        <w:t>入决算表</w:t>
      </w:r>
      <w:bookmarkEnd w:id="54"/>
      <w:r>
        <w:rPr>
          <w:rFonts w:hint="eastAsia" w:ascii="仿宋" w:hAnsi="仿宋" w:eastAsia="仿宋"/>
          <w:lang w:eastAsia="zh-CN"/>
        </w:rPr>
        <w:drawing>
          <wp:inline distT="0" distB="0" distL="114300" distR="114300">
            <wp:extent cx="5274310" cy="2818765"/>
            <wp:effectExtent l="0" t="0" r="2540" b="635"/>
            <wp:docPr id="25" name="图片 25" descr="b620b5ea2a1e4251c6f3545747e9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b620b5ea2a1e4251c6f3545747e9607"/>
                    <pic:cNvPicPr>
                      <a:picLocks noChangeAspect="1"/>
                    </pic:cNvPicPr>
                  </pic:nvPicPr>
                  <pic:blipFill>
                    <a:blip r:embed="rId20"/>
                    <a:stretch>
                      <a:fillRect/>
                    </a:stretch>
                  </pic:blipFill>
                  <pic:spPr>
                    <a:xfrm>
                      <a:off x="0" y="0"/>
                      <a:ext cx="5274310" cy="2818765"/>
                    </a:xfrm>
                    <a:prstGeom prst="rect">
                      <a:avLst/>
                    </a:prstGeom>
                  </pic:spPr>
                </pic:pic>
              </a:graphicData>
            </a:graphic>
          </wp:inline>
        </w:drawing>
      </w:r>
    </w:p>
    <w:p>
      <w:pPr>
        <w:pStyle w:val="4"/>
        <w:rPr>
          <w:rFonts w:hint="eastAsia" w:ascii="仿宋" w:hAnsi="仿宋" w:eastAsia="仿宋"/>
          <w:lang w:eastAsia="zh-CN"/>
        </w:rPr>
      </w:pPr>
      <w:bookmarkStart w:id="55" w:name="_Toc15396621"/>
      <w:r>
        <w:rPr>
          <w:rStyle w:val="25"/>
          <w:rFonts w:hint="eastAsia" w:ascii="仿宋" w:hAnsi="仿宋" w:eastAsia="仿宋"/>
          <w:b w:val="0"/>
          <w:bCs w:val="0"/>
        </w:rPr>
        <w:t>三、</w:t>
      </w:r>
      <w:r>
        <w:rPr>
          <w:rFonts w:hint="eastAsia" w:ascii="仿宋" w:hAnsi="仿宋" w:eastAsia="仿宋"/>
          <w:b w:val="0"/>
        </w:rPr>
        <w:t>支</w:t>
      </w:r>
      <w:r>
        <w:rPr>
          <w:rStyle w:val="25"/>
          <w:rFonts w:hint="eastAsia" w:ascii="仿宋" w:hAnsi="仿宋" w:eastAsia="仿宋"/>
          <w:b w:val="0"/>
          <w:bCs w:val="0"/>
        </w:rPr>
        <w:t>出决算表</w:t>
      </w:r>
      <w:bookmarkEnd w:id="55"/>
      <w:r>
        <w:rPr>
          <w:rFonts w:hint="eastAsia" w:ascii="仿宋" w:hAnsi="仿宋" w:eastAsia="仿宋"/>
          <w:lang w:eastAsia="zh-CN"/>
        </w:rPr>
        <w:drawing>
          <wp:inline distT="0" distB="0" distL="114300" distR="114300">
            <wp:extent cx="5266055" cy="2832100"/>
            <wp:effectExtent l="0" t="0" r="10795" b="6350"/>
            <wp:docPr id="26" name="图片 26" descr="2c8e740fff79934d10dfb4d05167c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2c8e740fff79934d10dfb4d05167c55"/>
                    <pic:cNvPicPr>
                      <a:picLocks noChangeAspect="1"/>
                    </pic:cNvPicPr>
                  </pic:nvPicPr>
                  <pic:blipFill>
                    <a:blip r:embed="rId21"/>
                    <a:stretch>
                      <a:fillRect/>
                    </a:stretch>
                  </pic:blipFill>
                  <pic:spPr>
                    <a:xfrm>
                      <a:off x="0" y="0"/>
                      <a:ext cx="5266055" cy="2832100"/>
                    </a:xfrm>
                    <a:prstGeom prst="rect">
                      <a:avLst/>
                    </a:prstGeom>
                  </pic:spPr>
                </pic:pic>
              </a:graphicData>
            </a:graphic>
          </wp:inline>
        </w:drawing>
      </w:r>
    </w:p>
    <w:p>
      <w:pPr>
        <w:pStyle w:val="4"/>
        <w:rPr>
          <w:rFonts w:hint="eastAsia" w:ascii="仿宋" w:hAnsi="仿宋" w:eastAsia="仿宋"/>
          <w:b w:val="0"/>
          <w:lang w:eastAsia="zh-CN"/>
        </w:rPr>
      </w:pPr>
      <w:bookmarkStart w:id="56" w:name="_Toc15396622"/>
      <w:r>
        <w:rPr>
          <w:rStyle w:val="25"/>
          <w:rFonts w:hint="eastAsia" w:ascii="仿宋" w:hAnsi="仿宋" w:eastAsia="仿宋"/>
          <w:b w:val="0"/>
          <w:bCs w:val="0"/>
        </w:rPr>
        <w:t>四、</w:t>
      </w:r>
      <w:r>
        <w:rPr>
          <w:rFonts w:hint="eastAsia" w:ascii="仿宋" w:hAnsi="仿宋" w:eastAsia="仿宋"/>
          <w:b w:val="0"/>
        </w:rPr>
        <w:t>财</w:t>
      </w:r>
      <w:r>
        <w:rPr>
          <w:rStyle w:val="25"/>
          <w:rFonts w:hint="eastAsia" w:ascii="仿宋" w:hAnsi="仿宋" w:eastAsia="仿宋"/>
          <w:b w:val="0"/>
          <w:bCs w:val="0"/>
        </w:rPr>
        <w:t>政拨款收入支出决算总表</w:t>
      </w:r>
      <w:bookmarkEnd w:id="56"/>
      <w:r>
        <w:rPr>
          <w:rFonts w:hint="eastAsia" w:ascii="仿宋" w:hAnsi="仿宋" w:eastAsia="仿宋"/>
          <w:b w:val="0"/>
          <w:lang w:eastAsia="zh-CN"/>
        </w:rPr>
        <w:drawing>
          <wp:inline distT="0" distB="0" distL="114300" distR="114300">
            <wp:extent cx="5271135" cy="3945890"/>
            <wp:effectExtent l="0" t="0" r="5715" b="16510"/>
            <wp:docPr id="27" name="图片 27" descr="5808c44325b7f68f6be09c462073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5808c44325b7f68f6be09c462073094"/>
                    <pic:cNvPicPr>
                      <a:picLocks noChangeAspect="1"/>
                    </pic:cNvPicPr>
                  </pic:nvPicPr>
                  <pic:blipFill>
                    <a:blip r:embed="rId22"/>
                    <a:stretch>
                      <a:fillRect/>
                    </a:stretch>
                  </pic:blipFill>
                  <pic:spPr>
                    <a:xfrm>
                      <a:off x="0" y="0"/>
                      <a:ext cx="5271135" cy="3945890"/>
                    </a:xfrm>
                    <a:prstGeom prst="rect">
                      <a:avLst/>
                    </a:prstGeom>
                  </pic:spPr>
                </pic:pic>
              </a:graphicData>
            </a:graphic>
          </wp:inline>
        </w:drawing>
      </w:r>
    </w:p>
    <w:p>
      <w:pPr>
        <w:pStyle w:val="4"/>
        <w:rPr>
          <w:rStyle w:val="25"/>
          <w:rFonts w:hint="eastAsia" w:ascii="仿宋" w:hAnsi="仿宋" w:eastAsia="仿宋"/>
          <w:b w:val="0"/>
          <w:bCs w:val="0"/>
          <w:lang w:eastAsia="zh-CN"/>
        </w:rPr>
      </w:pPr>
      <w:bookmarkStart w:id="57" w:name="_Toc15396623"/>
      <w:r>
        <w:rPr>
          <w:rStyle w:val="25"/>
          <w:rFonts w:hint="eastAsia" w:ascii="仿宋" w:hAnsi="仿宋" w:eastAsia="仿宋"/>
          <w:b w:val="0"/>
          <w:bCs w:val="0"/>
        </w:rPr>
        <w:t>五、</w:t>
      </w:r>
      <w:r>
        <w:rPr>
          <w:rFonts w:hint="eastAsia" w:ascii="仿宋" w:hAnsi="仿宋" w:eastAsia="仿宋"/>
          <w:b w:val="0"/>
        </w:rPr>
        <w:t>财</w:t>
      </w:r>
      <w:r>
        <w:rPr>
          <w:rStyle w:val="25"/>
          <w:rFonts w:hint="eastAsia" w:ascii="仿宋" w:hAnsi="仿宋" w:eastAsia="仿宋"/>
          <w:b w:val="0"/>
          <w:bCs w:val="0"/>
        </w:rPr>
        <w:t>政拨款支出决算明细表</w:t>
      </w:r>
      <w:bookmarkEnd w:id="57"/>
      <w:bookmarkStart w:id="58" w:name="_Toc15396624"/>
      <w:r>
        <w:rPr>
          <w:rStyle w:val="25"/>
          <w:rFonts w:hint="eastAsia" w:ascii="仿宋" w:hAnsi="仿宋" w:eastAsia="仿宋"/>
          <w:b w:val="0"/>
          <w:bCs w:val="0"/>
          <w:lang w:eastAsia="zh-CN"/>
        </w:rPr>
        <w:drawing>
          <wp:inline distT="0" distB="0" distL="114300" distR="114300">
            <wp:extent cx="5269865" cy="3515360"/>
            <wp:effectExtent l="0" t="0" r="6985" b="8890"/>
            <wp:docPr id="28" name="图片 28" descr="a5072deb79dcbf6bef9564bc118a6f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a5072deb79dcbf6bef9564bc118a6f5"/>
                    <pic:cNvPicPr>
                      <a:picLocks noChangeAspect="1"/>
                    </pic:cNvPicPr>
                  </pic:nvPicPr>
                  <pic:blipFill>
                    <a:blip r:embed="rId23"/>
                    <a:stretch>
                      <a:fillRect/>
                    </a:stretch>
                  </pic:blipFill>
                  <pic:spPr>
                    <a:xfrm>
                      <a:off x="0" y="0"/>
                      <a:ext cx="5269865" cy="3515360"/>
                    </a:xfrm>
                    <a:prstGeom prst="rect">
                      <a:avLst/>
                    </a:prstGeom>
                  </pic:spPr>
                </pic:pic>
              </a:graphicData>
            </a:graphic>
          </wp:inline>
        </w:drawing>
      </w:r>
    </w:p>
    <w:p>
      <w:pPr>
        <w:pStyle w:val="4"/>
        <w:rPr>
          <w:rFonts w:hint="eastAsia" w:ascii="仿宋" w:hAnsi="仿宋" w:eastAsia="仿宋"/>
          <w:lang w:eastAsia="zh-CN"/>
        </w:rPr>
      </w:pPr>
      <w:r>
        <w:rPr>
          <w:rStyle w:val="25"/>
          <w:rFonts w:hint="eastAsia" w:ascii="仿宋" w:hAnsi="仿宋" w:eastAsia="仿宋"/>
          <w:b w:val="0"/>
          <w:bCs w:val="0"/>
        </w:rPr>
        <w:t>六、</w:t>
      </w:r>
      <w:r>
        <w:rPr>
          <w:rFonts w:hint="eastAsia" w:ascii="仿宋" w:hAnsi="仿宋" w:eastAsia="仿宋"/>
          <w:b w:val="0"/>
        </w:rPr>
        <w:t>一</w:t>
      </w:r>
      <w:r>
        <w:rPr>
          <w:rStyle w:val="25"/>
          <w:rFonts w:hint="eastAsia" w:ascii="仿宋" w:hAnsi="仿宋" w:eastAsia="仿宋"/>
          <w:b w:val="0"/>
          <w:bCs w:val="0"/>
        </w:rPr>
        <w:t>般公共预算财政拨款支出决算表</w:t>
      </w:r>
      <w:bookmarkEnd w:id="58"/>
      <w:r>
        <w:rPr>
          <w:rFonts w:hint="eastAsia" w:ascii="仿宋" w:hAnsi="仿宋" w:eastAsia="仿宋"/>
          <w:lang w:eastAsia="zh-CN"/>
        </w:rPr>
        <w:drawing>
          <wp:inline distT="0" distB="0" distL="114300" distR="114300">
            <wp:extent cx="5269230" cy="3359785"/>
            <wp:effectExtent l="0" t="0" r="7620" b="12065"/>
            <wp:docPr id="29" name="图片 29" descr="70747160283d043342ba1485fd21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70747160283d043342ba1485fd21793"/>
                    <pic:cNvPicPr>
                      <a:picLocks noChangeAspect="1"/>
                    </pic:cNvPicPr>
                  </pic:nvPicPr>
                  <pic:blipFill>
                    <a:blip r:embed="rId24"/>
                    <a:stretch>
                      <a:fillRect/>
                    </a:stretch>
                  </pic:blipFill>
                  <pic:spPr>
                    <a:xfrm>
                      <a:off x="0" y="0"/>
                      <a:ext cx="5269230" cy="3359785"/>
                    </a:xfrm>
                    <a:prstGeom prst="rect">
                      <a:avLst/>
                    </a:prstGeom>
                  </pic:spPr>
                </pic:pic>
              </a:graphicData>
            </a:graphic>
          </wp:inline>
        </w:drawing>
      </w:r>
    </w:p>
    <w:p>
      <w:pPr>
        <w:pStyle w:val="4"/>
        <w:rPr>
          <w:rFonts w:hint="eastAsia" w:ascii="仿宋" w:hAnsi="仿宋" w:eastAsia="仿宋"/>
          <w:lang w:eastAsia="zh-CN"/>
        </w:rPr>
      </w:pPr>
      <w:bookmarkStart w:id="59" w:name="_Toc15396625"/>
      <w:r>
        <w:rPr>
          <w:rStyle w:val="25"/>
          <w:rFonts w:hint="eastAsia" w:ascii="仿宋" w:hAnsi="仿宋" w:eastAsia="仿宋"/>
          <w:b w:val="0"/>
          <w:bCs w:val="0"/>
        </w:rPr>
        <w:t>七、</w:t>
      </w:r>
      <w:r>
        <w:rPr>
          <w:rFonts w:hint="eastAsia" w:ascii="仿宋" w:hAnsi="仿宋" w:eastAsia="仿宋"/>
          <w:b w:val="0"/>
        </w:rPr>
        <w:t>一</w:t>
      </w:r>
      <w:r>
        <w:rPr>
          <w:rStyle w:val="25"/>
          <w:rFonts w:hint="eastAsia" w:ascii="仿宋" w:hAnsi="仿宋" w:eastAsia="仿宋"/>
          <w:b w:val="0"/>
          <w:bCs w:val="0"/>
        </w:rPr>
        <w:t>般公共预算财政拨款支出决算明细表</w:t>
      </w:r>
      <w:bookmarkEnd w:id="59"/>
      <w:r>
        <w:rPr>
          <w:rFonts w:hint="eastAsia" w:ascii="仿宋" w:hAnsi="仿宋" w:eastAsia="仿宋"/>
          <w:lang w:eastAsia="zh-CN"/>
        </w:rPr>
        <w:drawing>
          <wp:inline distT="0" distB="0" distL="114300" distR="114300">
            <wp:extent cx="5268595" cy="2868930"/>
            <wp:effectExtent l="0" t="0" r="8255" b="7620"/>
            <wp:docPr id="30" name="图片 30" descr="57bcddd32f4a2ffb1649d293669db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57bcddd32f4a2ffb1649d293669db23"/>
                    <pic:cNvPicPr>
                      <a:picLocks noChangeAspect="1"/>
                    </pic:cNvPicPr>
                  </pic:nvPicPr>
                  <pic:blipFill>
                    <a:blip r:embed="rId25"/>
                    <a:stretch>
                      <a:fillRect/>
                    </a:stretch>
                  </pic:blipFill>
                  <pic:spPr>
                    <a:xfrm>
                      <a:off x="0" y="0"/>
                      <a:ext cx="5268595" cy="2868930"/>
                    </a:xfrm>
                    <a:prstGeom prst="rect">
                      <a:avLst/>
                    </a:prstGeom>
                  </pic:spPr>
                </pic:pic>
              </a:graphicData>
            </a:graphic>
          </wp:inline>
        </w:drawing>
      </w:r>
      <w:r>
        <w:rPr>
          <w:rFonts w:hint="eastAsia" w:ascii="仿宋" w:hAnsi="仿宋" w:eastAsia="仿宋"/>
          <w:lang w:eastAsia="zh-CN"/>
        </w:rPr>
        <w:drawing>
          <wp:inline distT="0" distB="0" distL="114300" distR="114300">
            <wp:extent cx="5271135" cy="2917825"/>
            <wp:effectExtent l="0" t="0" r="5715" b="15875"/>
            <wp:docPr id="31" name="图片 31" descr="50cee7dbb63b04be7ac9c44196e0c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50cee7dbb63b04be7ac9c44196e0c57"/>
                    <pic:cNvPicPr>
                      <a:picLocks noChangeAspect="1"/>
                    </pic:cNvPicPr>
                  </pic:nvPicPr>
                  <pic:blipFill>
                    <a:blip r:embed="rId26"/>
                    <a:stretch>
                      <a:fillRect/>
                    </a:stretch>
                  </pic:blipFill>
                  <pic:spPr>
                    <a:xfrm>
                      <a:off x="0" y="0"/>
                      <a:ext cx="5271135" cy="2917825"/>
                    </a:xfrm>
                    <a:prstGeom prst="rect">
                      <a:avLst/>
                    </a:prstGeom>
                  </pic:spPr>
                </pic:pic>
              </a:graphicData>
            </a:graphic>
          </wp:inline>
        </w:drawing>
      </w:r>
    </w:p>
    <w:p>
      <w:pPr>
        <w:pStyle w:val="4"/>
        <w:rPr>
          <w:rFonts w:hint="eastAsia" w:ascii="仿宋" w:hAnsi="仿宋" w:eastAsia="仿宋"/>
          <w:lang w:eastAsia="zh-CN"/>
        </w:rPr>
      </w:pPr>
      <w:bookmarkStart w:id="60" w:name="_Toc15396626"/>
      <w:r>
        <w:rPr>
          <w:rStyle w:val="25"/>
          <w:rFonts w:hint="eastAsia" w:ascii="仿宋" w:hAnsi="仿宋" w:eastAsia="仿宋"/>
          <w:b w:val="0"/>
          <w:bCs w:val="0"/>
        </w:rPr>
        <w:t>八、</w:t>
      </w:r>
      <w:r>
        <w:rPr>
          <w:rFonts w:hint="eastAsia" w:ascii="仿宋" w:hAnsi="仿宋" w:eastAsia="仿宋"/>
          <w:b w:val="0"/>
        </w:rPr>
        <w:t>一</w:t>
      </w:r>
      <w:r>
        <w:rPr>
          <w:rStyle w:val="25"/>
          <w:rFonts w:hint="eastAsia" w:ascii="仿宋" w:hAnsi="仿宋" w:eastAsia="仿宋"/>
          <w:b w:val="0"/>
          <w:bCs w:val="0"/>
        </w:rPr>
        <w:t>般公共预算财政拨款基本支出决算表</w:t>
      </w:r>
      <w:bookmarkEnd w:id="60"/>
      <w:bookmarkStart w:id="61" w:name="_Toc15396627"/>
      <w:r>
        <w:rPr>
          <w:rStyle w:val="25"/>
          <w:rFonts w:hint="eastAsia" w:ascii="仿宋" w:hAnsi="仿宋" w:eastAsia="仿宋"/>
          <w:b w:val="0"/>
          <w:bCs w:val="0"/>
        </w:rPr>
        <w:drawing>
          <wp:inline distT="0" distB="0" distL="114300" distR="114300">
            <wp:extent cx="5271135" cy="3698240"/>
            <wp:effectExtent l="0" t="0" r="5715" b="16510"/>
            <wp:docPr id="32" name="图片 32" descr="9d0af9cbf6129ea4aeafa533798f42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9d0af9cbf6129ea4aeafa533798f42d"/>
                    <pic:cNvPicPr>
                      <a:picLocks noChangeAspect="1"/>
                    </pic:cNvPicPr>
                  </pic:nvPicPr>
                  <pic:blipFill>
                    <a:blip r:embed="rId27"/>
                    <a:stretch>
                      <a:fillRect/>
                    </a:stretch>
                  </pic:blipFill>
                  <pic:spPr>
                    <a:xfrm>
                      <a:off x="0" y="0"/>
                      <a:ext cx="5271135" cy="3698240"/>
                    </a:xfrm>
                    <a:prstGeom prst="rect">
                      <a:avLst/>
                    </a:prstGeom>
                  </pic:spPr>
                </pic:pic>
              </a:graphicData>
            </a:graphic>
          </wp:inline>
        </w:drawing>
      </w:r>
      <w:r>
        <w:rPr>
          <w:rStyle w:val="25"/>
          <w:rFonts w:hint="eastAsia" w:ascii="仿宋" w:hAnsi="仿宋" w:eastAsia="仿宋"/>
          <w:b w:val="0"/>
          <w:bCs w:val="0"/>
        </w:rPr>
        <w:t>九、</w:t>
      </w:r>
      <w:r>
        <w:rPr>
          <w:rFonts w:hint="eastAsia" w:ascii="仿宋" w:hAnsi="仿宋" w:eastAsia="仿宋"/>
          <w:b w:val="0"/>
        </w:rPr>
        <w:t>一</w:t>
      </w:r>
      <w:r>
        <w:rPr>
          <w:rStyle w:val="25"/>
          <w:rFonts w:hint="eastAsia" w:ascii="仿宋" w:hAnsi="仿宋" w:eastAsia="仿宋"/>
          <w:b w:val="0"/>
          <w:bCs w:val="0"/>
        </w:rPr>
        <w:t>般公共预算财政拨款项目支出决算表</w:t>
      </w:r>
      <w:bookmarkEnd w:id="61"/>
      <w:r>
        <w:rPr>
          <w:rFonts w:hint="eastAsia" w:ascii="仿宋" w:hAnsi="仿宋" w:eastAsia="仿宋"/>
          <w:lang w:eastAsia="zh-CN"/>
        </w:rPr>
        <w:drawing>
          <wp:inline distT="0" distB="0" distL="114300" distR="114300">
            <wp:extent cx="5273040" cy="3369945"/>
            <wp:effectExtent l="0" t="0" r="3810" b="1905"/>
            <wp:docPr id="33" name="图片 33" descr="d295185040eeba0882a414db839746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d295185040eeba0882a414db839746c"/>
                    <pic:cNvPicPr>
                      <a:picLocks noChangeAspect="1"/>
                    </pic:cNvPicPr>
                  </pic:nvPicPr>
                  <pic:blipFill>
                    <a:blip r:embed="rId28"/>
                    <a:stretch>
                      <a:fillRect/>
                    </a:stretch>
                  </pic:blipFill>
                  <pic:spPr>
                    <a:xfrm>
                      <a:off x="0" y="0"/>
                      <a:ext cx="5273040" cy="3369945"/>
                    </a:xfrm>
                    <a:prstGeom prst="rect">
                      <a:avLst/>
                    </a:prstGeom>
                  </pic:spPr>
                </pic:pic>
              </a:graphicData>
            </a:graphic>
          </wp:inline>
        </w:drawing>
      </w:r>
    </w:p>
    <w:p>
      <w:pPr>
        <w:pStyle w:val="4"/>
        <w:rPr>
          <w:rFonts w:hint="eastAsia" w:ascii="仿宋" w:hAnsi="仿宋" w:eastAsia="仿宋"/>
          <w:lang w:eastAsia="zh-CN"/>
        </w:rPr>
      </w:pPr>
      <w:bookmarkStart w:id="62" w:name="_Toc15396628"/>
      <w:r>
        <w:rPr>
          <w:rStyle w:val="25"/>
          <w:rFonts w:hint="eastAsia" w:ascii="仿宋" w:hAnsi="仿宋" w:eastAsia="仿宋"/>
          <w:b w:val="0"/>
          <w:bCs w:val="0"/>
        </w:rPr>
        <w:t>十、</w:t>
      </w:r>
      <w:r>
        <w:rPr>
          <w:rFonts w:hint="eastAsia" w:ascii="仿宋" w:hAnsi="仿宋" w:eastAsia="仿宋"/>
          <w:b w:val="0"/>
        </w:rPr>
        <w:t>一</w:t>
      </w:r>
      <w:r>
        <w:rPr>
          <w:rStyle w:val="25"/>
          <w:rFonts w:hint="eastAsia" w:ascii="仿宋" w:hAnsi="仿宋" w:eastAsia="仿宋"/>
          <w:b w:val="0"/>
          <w:bCs w:val="0"/>
        </w:rPr>
        <w:t>般公共预算财政拨款“三公”经费支出决算表</w:t>
      </w:r>
      <w:bookmarkEnd w:id="62"/>
      <w:r>
        <w:rPr>
          <w:rFonts w:hint="eastAsia" w:ascii="仿宋" w:hAnsi="仿宋" w:eastAsia="仿宋"/>
          <w:lang w:eastAsia="zh-CN"/>
        </w:rPr>
        <w:drawing>
          <wp:inline distT="0" distB="0" distL="114300" distR="114300">
            <wp:extent cx="5271135" cy="2682240"/>
            <wp:effectExtent l="0" t="0" r="5715" b="3810"/>
            <wp:docPr id="34" name="图片 34" descr="f3e40c3e161218731736957db14544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descr="f3e40c3e161218731736957db14544e"/>
                    <pic:cNvPicPr>
                      <a:picLocks noChangeAspect="1"/>
                    </pic:cNvPicPr>
                  </pic:nvPicPr>
                  <pic:blipFill>
                    <a:blip r:embed="rId29"/>
                    <a:stretch>
                      <a:fillRect/>
                    </a:stretch>
                  </pic:blipFill>
                  <pic:spPr>
                    <a:xfrm>
                      <a:off x="0" y="0"/>
                      <a:ext cx="5271135" cy="2682240"/>
                    </a:xfrm>
                    <a:prstGeom prst="rect">
                      <a:avLst/>
                    </a:prstGeom>
                  </pic:spPr>
                </pic:pic>
              </a:graphicData>
            </a:graphic>
          </wp:inline>
        </w:drawing>
      </w:r>
    </w:p>
    <w:p>
      <w:pPr>
        <w:pStyle w:val="4"/>
        <w:rPr>
          <w:rFonts w:hint="eastAsia" w:ascii="仿宋" w:hAnsi="仿宋" w:eastAsia="仿宋"/>
          <w:lang w:eastAsia="zh-CN"/>
        </w:rPr>
      </w:pPr>
      <w:bookmarkStart w:id="63" w:name="_Toc15396629"/>
      <w:r>
        <w:rPr>
          <w:rStyle w:val="25"/>
          <w:rFonts w:hint="eastAsia" w:ascii="仿宋" w:hAnsi="仿宋" w:eastAsia="仿宋"/>
          <w:b w:val="0"/>
          <w:bCs w:val="0"/>
        </w:rPr>
        <w:t>十一、</w:t>
      </w:r>
      <w:r>
        <w:rPr>
          <w:rFonts w:hint="eastAsia" w:ascii="仿宋" w:hAnsi="仿宋" w:eastAsia="仿宋"/>
          <w:b w:val="0"/>
        </w:rPr>
        <w:t>政</w:t>
      </w:r>
      <w:r>
        <w:rPr>
          <w:rStyle w:val="25"/>
          <w:rFonts w:hint="eastAsia" w:ascii="仿宋" w:hAnsi="仿宋" w:eastAsia="仿宋"/>
          <w:b w:val="0"/>
          <w:bCs w:val="0"/>
        </w:rPr>
        <w:t>府性基金预算财政拨款收入支出决算表</w:t>
      </w:r>
      <w:bookmarkEnd w:id="63"/>
      <w:r>
        <w:rPr>
          <w:rFonts w:hint="eastAsia" w:ascii="仿宋" w:hAnsi="仿宋" w:eastAsia="仿宋"/>
          <w:lang w:eastAsia="zh-CN"/>
        </w:rPr>
        <w:drawing>
          <wp:inline distT="0" distB="0" distL="114300" distR="114300">
            <wp:extent cx="5274310" cy="2669540"/>
            <wp:effectExtent l="0" t="0" r="2540" b="16510"/>
            <wp:docPr id="35" name="图片 35" descr="e00289d75f7d8822789d76698d36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descr="e00289d75f7d8822789d76698d36798"/>
                    <pic:cNvPicPr>
                      <a:picLocks noChangeAspect="1"/>
                    </pic:cNvPicPr>
                  </pic:nvPicPr>
                  <pic:blipFill>
                    <a:blip r:embed="rId30"/>
                    <a:stretch>
                      <a:fillRect/>
                    </a:stretch>
                  </pic:blipFill>
                  <pic:spPr>
                    <a:xfrm>
                      <a:off x="0" y="0"/>
                      <a:ext cx="5274310" cy="2669540"/>
                    </a:xfrm>
                    <a:prstGeom prst="rect">
                      <a:avLst/>
                    </a:prstGeom>
                  </pic:spPr>
                </pic:pic>
              </a:graphicData>
            </a:graphic>
          </wp:inline>
        </w:drawing>
      </w:r>
    </w:p>
    <w:p>
      <w:pPr>
        <w:pStyle w:val="4"/>
        <w:rPr>
          <w:rFonts w:hint="eastAsia" w:ascii="仿宋" w:hAnsi="仿宋" w:eastAsia="仿宋"/>
          <w:lang w:eastAsia="zh-CN"/>
        </w:rPr>
      </w:pPr>
      <w:bookmarkStart w:id="64" w:name="_Toc15396630"/>
      <w:r>
        <w:rPr>
          <w:rStyle w:val="25"/>
          <w:rFonts w:hint="eastAsia" w:ascii="仿宋" w:hAnsi="仿宋" w:eastAsia="仿宋"/>
          <w:b w:val="0"/>
          <w:bCs w:val="0"/>
        </w:rPr>
        <w:t>十二、</w:t>
      </w:r>
      <w:r>
        <w:rPr>
          <w:rFonts w:hint="eastAsia" w:ascii="仿宋" w:hAnsi="仿宋" w:eastAsia="仿宋"/>
          <w:b w:val="0"/>
        </w:rPr>
        <w:t>政</w:t>
      </w:r>
      <w:r>
        <w:rPr>
          <w:rStyle w:val="25"/>
          <w:rFonts w:hint="eastAsia" w:ascii="仿宋" w:hAnsi="仿宋" w:eastAsia="仿宋"/>
          <w:b w:val="0"/>
          <w:bCs w:val="0"/>
        </w:rPr>
        <w:t>府性基金预算财政拨款“三公”经费支出决算表</w:t>
      </w:r>
      <w:bookmarkEnd w:id="64"/>
      <w:r>
        <w:rPr>
          <w:rFonts w:hint="eastAsia" w:ascii="仿宋" w:hAnsi="仿宋" w:eastAsia="仿宋"/>
          <w:lang w:eastAsia="zh-CN"/>
        </w:rPr>
        <w:drawing>
          <wp:inline distT="0" distB="0" distL="114300" distR="114300">
            <wp:extent cx="5273675" cy="2400935"/>
            <wp:effectExtent l="0" t="0" r="3175" b="18415"/>
            <wp:docPr id="36" name="图片 36" descr="434bd89deec1c7f2161c8b23ca2e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descr="434bd89deec1c7f2161c8b23ca2e472"/>
                    <pic:cNvPicPr>
                      <a:picLocks noChangeAspect="1"/>
                    </pic:cNvPicPr>
                  </pic:nvPicPr>
                  <pic:blipFill>
                    <a:blip r:embed="rId31"/>
                    <a:stretch>
                      <a:fillRect/>
                    </a:stretch>
                  </pic:blipFill>
                  <pic:spPr>
                    <a:xfrm>
                      <a:off x="0" y="0"/>
                      <a:ext cx="5273675" cy="2400935"/>
                    </a:xfrm>
                    <a:prstGeom prst="rect">
                      <a:avLst/>
                    </a:prstGeom>
                  </pic:spPr>
                </pic:pic>
              </a:graphicData>
            </a:graphic>
          </wp:inline>
        </w:drawing>
      </w:r>
    </w:p>
    <w:p>
      <w:pPr>
        <w:pStyle w:val="4"/>
        <w:rPr>
          <w:rStyle w:val="25"/>
          <w:rFonts w:hint="eastAsia" w:ascii="仿宋" w:hAnsi="仿宋" w:eastAsia="仿宋"/>
          <w:b w:val="0"/>
          <w:bCs w:val="0"/>
          <w:lang w:eastAsia="zh-CN"/>
        </w:rPr>
      </w:pPr>
      <w:bookmarkStart w:id="65" w:name="_Toc15396631"/>
      <w:r>
        <w:rPr>
          <w:rStyle w:val="25"/>
          <w:rFonts w:hint="eastAsia" w:ascii="仿宋" w:hAnsi="仿宋" w:eastAsia="仿宋"/>
          <w:b w:val="0"/>
          <w:bCs w:val="0"/>
        </w:rPr>
        <w:t>十三、</w:t>
      </w:r>
      <w:r>
        <w:rPr>
          <w:rFonts w:hint="eastAsia" w:ascii="仿宋" w:hAnsi="仿宋" w:eastAsia="仿宋"/>
          <w:b w:val="0"/>
        </w:rPr>
        <w:t>国</w:t>
      </w:r>
      <w:r>
        <w:rPr>
          <w:rStyle w:val="25"/>
          <w:rFonts w:hint="eastAsia" w:ascii="仿宋" w:hAnsi="仿宋" w:eastAsia="仿宋"/>
          <w:b w:val="0"/>
          <w:bCs w:val="0"/>
        </w:rPr>
        <w:t>有资本经营预算财政拨款收入支出决算表</w:t>
      </w:r>
      <w:bookmarkEnd w:id="65"/>
      <w:r>
        <w:rPr>
          <w:rStyle w:val="25"/>
          <w:rFonts w:hint="eastAsia" w:ascii="仿宋" w:hAnsi="仿宋" w:eastAsia="仿宋"/>
          <w:b w:val="0"/>
          <w:bCs w:val="0"/>
          <w:lang w:eastAsia="zh-CN"/>
        </w:rPr>
        <w:drawing>
          <wp:inline distT="0" distB="0" distL="114300" distR="114300">
            <wp:extent cx="5273040" cy="2567940"/>
            <wp:effectExtent l="0" t="0" r="3810" b="3810"/>
            <wp:docPr id="37" name="图片 37" descr="d0feb39ff8eace693f2b54f0a6c3c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descr="d0feb39ff8eace693f2b54f0a6c3c17"/>
                    <pic:cNvPicPr>
                      <a:picLocks noChangeAspect="1"/>
                    </pic:cNvPicPr>
                  </pic:nvPicPr>
                  <pic:blipFill>
                    <a:blip r:embed="rId32"/>
                    <a:stretch>
                      <a:fillRect/>
                    </a:stretch>
                  </pic:blipFill>
                  <pic:spPr>
                    <a:xfrm>
                      <a:off x="0" y="0"/>
                      <a:ext cx="5273040" cy="2567940"/>
                    </a:xfrm>
                    <a:prstGeom prst="rect">
                      <a:avLst/>
                    </a:prstGeom>
                  </pic:spPr>
                </pic:pic>
              </a:graphicData>
            </a:graphic>
          </wp:inline>
        </w:drawing>
      </w:r>
    </w:p>
    <w:p>
      <w:pPr>
        <w:rPr>
          <w:rStyle w:val="25"/>
          <w:rFonts w:hint="eastAsia" w:ascii="仿宋" w:hAnsi="仿宋" w:eastAsia="仿宋"/>
          <w:b w:val="0"/>
          <w:bCs w:val="0"/>
        </w:rPr>
      </w:pPr>
    </w:p>
    <w:p>
      <w:pPr>
        <w:rPr>
          <w:rStyle w:val="25"/>
          <w:rFonts w:hint="eastAsia" w:ascii="仿宋" w:hAnsi="仿宋" w:eastAsia="仿宋"/>
          <w:b w:val="0"/>
          <w:bCs w:val="0"/>
        </w:rPr>
      </w:pPr>
    </w:p>
    <w:p>
      <w:pPr>
        <w:rPr>
          <w:rStyle w:val="25"/>
          <w:rFonts w:hint="eastAsia" w:ascii="仿宋" w:hAnsi="仿宋" w:eastAsia="仿宋"/>
          <w:b w:val="0"/>
          <w:bCs w:val="0"/>
        </w:rPr>
      </w:pPr>
    </w:p>
    <w:p>
      <w:pPr>
        <w:rPr>
          <w:rStyle w:val="25"/>
          <w:rFonts w:hint="eastAsia" w:ascii="仿宋" w:hAnsi="仿宋" w:eastAsia="仿宋"/>
          <w:b w:val="0"/>
          <w:bCs w:val="0"/>
        </w:rPr>
      </w:pPr>
    </w:p>
    <w:p>
      <w:pPr>
        <w:rPr>
          <w:rStyle w:val="25"/>
          <w:rFonts w:hint="eastAsia" w:ascii="仿宋" w:hAnsi="仿宋" w:eastAsia="仿宋"/>
          <w:b w:val="0"/>
          <w:bCs w:val="0"/>
        </w:rPr>
      </w:pPr>
    </w:p>
    <w:p>
      <w:pPr>
        <w:rPr>
          <w:rStyle w:val="25"/>
          <w:rFonts w:hint="eastAsia" w:ascii="仿宋" w:hAnsi="仿宋" w:eastAsia="仿宋"/>
          <w:b w:val="0"/>
          <w:bCs w:val="0"/>
        </w:rPr>
      </w:pPr>
    </w:p>
    <w:p>
      <w:pPr>
        <w:rPr>
          <w:rFonts w:hint="eastAsia" w:eastAsia="仿宋"/>
          <w:lang w:eastAsia="zh-CN"/>
        </w:rPr>
      </w:pPr>
      <w:r>
        <w:rPr>
          <w:rStyle w:val="25"/>
          <w:rFonts w:hint="eastAsia" w:ascii="仿宋" w:hAnsi="仿宋" w:eastAsia="仿宋"/>
          <w:b w:val="0"/>
          <w:bCs w:val="0"/>
        </w:rPr>
        <w:t>十四、国有资本经营预算财政拨款支出决算表</w:t>
      </w:r>
      <w:r>
        <w:rPr>
          <w:rFonts w:hint="eastAsia" w:eastAsia="仿宋"/>
          <w:lang w:eastAsia="zh-CN"/>
        </w:rPr>
        <w:drawing>
          <wp:inline distT="0" distB="0" distL="114300" distR="114300">
            <wp:extent cx="5271770" cy="2740025"/>
            <wp:effectExtent l="0" t="0" r="5080" b="3175"/>
            <wp:docPr id="38" name="图片 38" descr="549a8959a5c33ec353e7c6d8ca159b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descr="549a8959a5c33ec353e7c6d8ca159b4"/>
                    <pic:cNvPicPr>
                      <a:picLocks noChangeAspect="1"/>
                    </pic:cNvPicPr>
                  </pic:nvPicPr>
                  <pic:blipFill>
                    <a:blip r:embed="rId33"/>
                    <a:stretch>
                      <a:fillRect/>
                    </a:stretch>
                  </pic:blipFill>
                  <pic:spPr>
                    <a:xfrm>
                      <a:off x="0" y="0"/>
                      <a:ext cx="5271770" cy="2740025"/>
                    </a:xfrm>
                    <a:prstGeom prst="rect">
                      <a:avLst/>
                    </a:prstGeom>
                  </pic:spPr>
                </pic:pic>
              </a:graphicData>
            </a:graphic>
          </wp:inline>
        </w:drawing>
      </w:r>
    </w:p>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pPr>
          <w:pStyle w:val="8"/>
          <w:jc w:val="center"/>
        </w:pPr>
        <w:r>
          <w:fldChar w:fldCharType="begin"/>
        </w:r>
        <w:r>
          <w:instrText xml:space="preserve">PAGE   \* MERGEFORMAT</w:instrText>
        </w:r>
        <w:r>
          <w:fldChar w:fldCharType="separate"/>
        </w:r>
        <w:r>
          <w:rPr>
            <w:lang w:val="zh-CN"/>
          </w:rPr>
          <w:t>3</w:t>
        </w:r>
        <w:r>
          <w:fldChar w:fldCharType="end"/>
        </w:r>
      </w:p>
    </w:sdtContent>
  </w:sdt>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6C4AFBFC"/>
    <w:multiLevelType w:val="singleLevel"/>
    <w:tmpl w:val="6C4AFBFC"/>
    <w:lvl w:ilvl="0" w:tentative="0">
      <w:start w:val="1"/>
      <w:numFmt w:val="decimal"/>
      <w:lvlText w:val="%1."/>
      <w:lvlJc w:val="left"/>
      <w:pPr>
        <w:tabs>
          <w:tab w:val="left" w:pos="312"/>
        </w:tabs>
      </w:pPr>
    </w:lvl>
  </w:abstractNum>
  <w:abstractNum w:abstractNumId="4">
    <w:nsid w:val="7243D193"/>
    <w:multiLevelType w:val="singleLevel"/>
    <w:tmpl w:val="7243D193"/>
    <w:lvl w:ilvl="0" w:tentative="0">
      <w:start w:val="1"/>
      <w:numFmt w:val="chineseCounting"/>
      <w:suff w:val="nothing"/>
      <w:lvlText w:val="%1、"/>
      <w:lvlJc w:val="left"/>
      <w:rPr>
        <w:rFonts w:hint="eastAsia"/>
      </w:r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DlmMDgwYzI1N2UxNDRmOTNiNmVhMjc4N2NlNWNkNTA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74E20"/>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92D20"/>
    <w:rsid w:val="003A484F"/>
    <w:rsid w:val="003A4883"/>
    <w:rsid w:val="003B0BE0"/>
    <w:rsid w:val="003B0C1B"/>
    <w:rsid w:val="003B688C"/>
    <w:rsid w:val="003C0291"/>
    <w:rsid w:val="003C39AE"/>
    <w:rsid w:val="003C7B60"/>
    <w:rsid w:val="003D0C0F"/>
    <w:rsid w:val="003D1FB2"/>
    <w:rsid w:val="003D66DA"/>
    <w:rsid w:val="003E1310"/>
    <w:rsid w:val="003E5CB4"/>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609F9"/>
    <w:rsid w:val="00871F71"/>
    <w:rsid w:val="00872FD8"/>
    <w:rsid w:val="00885AF4"/>
    <w:rsid w:val="008939CD"/>
    <w:rsid w:val="008B768C"/>
    <w:rsid w:val="008C4DB1"/>
    <w:rsid w:val="008C4EAF"/>
    <w:rsid w:val="008C5176"/>
    <w:rsid w:val="008C7FD0"/>
    <w:rsid w:val="008E1DE7"/>
    <w:rsid w:val="008E707C"/>
    <w:rsid w:val="008F4605"/>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57CE8"/>
    <w:rsid w:val="00A67AB5"/>
    <w:rsid w:val="00A733B2"/>
    <w:rsid w:val="00A741C2"/>
    <w:rsid w:val="00A774A1"/>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65748"/>
    <w:rsid w:val="00C87FD8"/>
    <w:rsid w:val="00C91381"/>
    <w:rsid w:val="00C91CBB"/>
    <w:rsid w:val="00CA6A66"/>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B6D64"/>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A2032A3"/>
    <w:rsid w:val="0B8A37D8"/>
    <w:rsid w:val="10C055FF"/>
    <w:rsid w:val="118107EC"/>
    <w:rsid w:val="11DD6519"/>
    <w:rsid w:val="1467536A"/>
    <w:rsid w:val="16BB723D"/>
    <w:rsid w:val="18015F3F"/>
    <w:rsid w:val="1BE8440E"/>
    <w:rsid w:val="1D155CEE"/>
    <w:rsid w:val="20F57F95"/>
    <w:rsid w:val="240371BF"/>
    <w:rsid w:val="24FC5A8F"/>
    <w:rsid w:val="25C741E6"/>
    <w:rsid w:val="27842671"/>
    <w:rsid w:val="29FD04D3"/>
    <w:rsid w:val="2ABE7A3E"/>
    <w:rsid w:val="2EFA178C"/>
    <w:rsid w:val="30B46D73"/>
    <w:rsid w:val="319F7F4E"/>
    <w:rsid w:val="38625C26"/>
    <w:rsid w:val="39AE70AB"/>
    <w:rsid w:val="3C0C0783"/>
    <w:rsid w:val="3E590665"/>
    <w:rsid w:val="3F9F3A96"/>
    <w:rsid w:val="493C27E9"/>
    <w:rsid w:val="496F39ED"/>
    <w:rsid w:val="49FF41D3"/>
    <w:rsid w:val="4BE068DB"/>
    <w:rsid w:val="4BF6002B"/>
    <w:rsid w:val="4ECE2238"/>
    <w:rsid w:val="51DB4B86"/>
    <w:rsid w:val="55333C3E"/>
    <w:rsid w:val="64CA39A1"/>
    <w:rsid w:val="6C4A05C8"/>
    <w:rsid w:val="72734D90"/>
    <w:rsid w:val="78140AAA"/>
    <w:rsid w:val="79E7B28D"/>
    <w:rsid w:val="7BCF4ED9"/>
    <w:rsid w:val="7CB4148F"/>
    <w:rsid w:val="7E81225C"/>
    <w:rsid w:val="7F8E10F1"/>
    <w:rsid w:val="7F9F20EE"/>
    <w:rsid w:val="9E3A10E2"/>
    <w:rsid w:val="F2E1F9D4"/>
    <w:rsid w:val="F78808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4"/>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8"/>
    <w:unhideWhenUsed/>
    <w:qFormat/>
    <w:uiPriority w:val="9"/>
    <w:pPr>
      <w:keepNext/>
      <w:keepLines/>
      <w:spacing w:before="260" w:after="260" w:line="416" w:lineRule="auto"/>
      <w:outlineLvl w:val="2"/>
    </w:pPr>
    <w:rPr>
      <w:b/>
      <w:bCs/>
      <w:sz w:val="32"/>
      <w:szCs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1"/>
    <w:qFormat/>
    <w:uiPriority w:val="99"/>
    <w:pPr>
      <w:spacing w:beforeLines="30"/>
    </w:pPr>
    <w:rPr>
      <w:rFonts w:ascii="仿宋_GB2312" w:eastAsia="仿宋_GB2312"/>
      <w:kern w:val="0"/>
      <w:sz w:val="30"/>
    </w:rPr>
  </w:style>
  <w:style w:type="paragraph" w:styleId="6">
    <w:name w:val="toc 3"/>
    <w:basedOn w:val="1"/>
    <w:next w:val="1"/>
    <w:unhideWhenUsed/>
    <w:qFormat/>
    <w:uiPriority w:val="39"/>
    <w:pPr>
      <w:tabs>
        <w:tab w:val="right" w:leader="dot" w:pos="8296"/>
      </w:tabs>
      <w:ind w:left="840" w:leftChars="400"/>
    </w:pPr>
  </w:style>
  <w:style w:type="paragraph" w:styleId="7">
    <w:name w:val="Balloon Text"/>
    <w:basedOn w:val="1"/>
    <w:link w:val="27"/>
    <w:semiHidden/>
    <w:unhideWhenUsed/>
    <w:qFormat/>
    <w:uiPriority w:val="99"/>
    <w:rPr>
      <w:sz w:val="18"/>
      <w:szCs w:val="18"/>
    </w:rPr>
  </w:style>
  <w:style w:type="paragraph" w:styleId="8">
    <w:name w:val="footer"/>
    <w:basedOn w:val="1"/>
    <w:link w:val="19"/>
    <w:qFormat/>
    <w:uiPriority w:val="99"/>
    <w:pPr>
      <w:tabs>
        <w:tab w:val="center" w:pos="4153"/>
        <w:tab w:val="right" w:pos="8306"/>
      </w:tabs>
      <w:snapToGrid w:val="0"/>
      <w:jc w:val="left"/>
    </w:pPr>
    <w:rPr>
      <w:rFonts w:ascii="Calibri" w:hAnsi="Calibri"/>
      <w:kern w:val="0"/>
      <w:sz w:val="18"/>
      <w:szCs w:val="18"/>
    </w:rPr>
  </w:style>
  <w:style w:type="paragraph" w:styleId="9">
    <w:name w:val="header"/>
    <w:basedOn w:val="1"/>
    <w:link w:val="17"/>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0">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1">
    <w:name w:val="toc 2"/>
    <w:basedOn w:val="1"/>
    <w:next w:val="1"/>
    <w:unhideWhenUsed/>
    <w:qFormat/>
    <w:uiPriority w:val="39"/>
    <w:pPr>
      <w:tabs>
        <w:tab w:val="right" w:leader="dot" w:pos="8296"/>
      </w:tabs>
      <w:ind w:left="420" w:leftChars="200"/>
    </w:pPr>
  </w:style>
  <w:style w:type="character" w:styleId="14">
    <w:name w:val="Strong"/>
    <w:basedOn w:val="13"/>
    <w:qFormat/>
    <w:uiPriority w:val="99"/>
    <w:rPr>
      <w:b/>
    </w:rPr>
  </w:style>
  <w:style w:type="character" w:styleId="15">
    <w:name w:val="Hyperlink"/>
    <w:basedOn w:val="13"/>
    <w:unhideWhenUsed/>
    <w:qFormat/>
    <w:uiPriority w:val="99"/>
    <w:rPr>
      <w:color w:val="0000FF" w:themeColor="hyperlink"/>
      <w:u w:val="single"/>
    </w:rPr>
  </w:style>
  <w:style w:type="character" w:customStyle="1" w:styleId="16">
    <w:name w:val="Header Char"/>
    <w:basedOn w:val="13"/>
    <w:semiHidden/>
    <w:qFormat/>
    <w:uiPriority w:val="99"/>
    <w:rPr>
      <w:rFonts w:ascii="Times New Roman" w:hAnsi="Times New Roman"/>
      <w:sz w:val="18"/>
      <w:szCs w:val="18"/>
    </w:rPr>
  </w:style>
  <w:style w:type="character" w:customStyle="1" w:styleId="17">
    <w:name w:val="页眉 Char"/>
    <w:link w:val="9"/>
    <w:semiHidden/>
    <w:qFormat/>
    <w:locked/>
    <w:uiPriority w:val="99"/>
    <w:rPr>
      <w:sz w:val="18"/>
    </w:rPr>
  </w:style>
  <w:style w:type="character" w:customStyle="1" w:styleId="18">
    <w:name w:val="Footer Char"/>
    <w:basedOn w:val="13"/>
    <w:semiHidden/>
    <w:qFormat/>
    <w:uiPriority w:val="99"/>
    <w:rPr>
      <w:rFonts w:ascii="Times New Roman" w:hAnsi="Times New Roman"/>
      <w:sz w:val="18"/>
      <w:szCs w:val="18"/>
    </w:rPr>
  </w:style>
  <w:style w:type="character" w:customStyle="1" w:styleId="19">
    <w:name w:val="页脚 Char"/>
    <w:link w:val="8"/>
    <w:qFormat/>
    <w:locked/>
    <w:uiPriority w:val="99"/>
    <w:rPr>
      <w:sz w:val="18"/>
    </w:rPr>
  </w:style>
  <w:style w:type="character" w:customStyle="1" w:styleId="20">
    <w:name w:val="Body Text Char"/>
    <w:basedOn w:val="13"/>
    <w:semiHidden/>
    <w:qFormat/>
    <w:uiPriority w:val="99"/>
    <w:rPr>
      <w:rFonts w:ascii="Times New Roman" w:hAnsi="Times New Roman"/>
      <w:szCs w:val="24"/>
    </w:rPr>
  </w:style>
  <w:style w:type="character" w:customStyle="1" w:styleId="21">
    <w:name w:val="正文文本 Char"/>
    <w:link w:val="2"/>
    <w:qFormat/>
    <w:locked/>
    <w:uiPriority w:val="99"/>
    <w:rPr>
      <w:rFonts w:ascii="仿宋_GB2312" w:hAnsi="Times New Roman" w:eastAsia="仿宋_GB2312"/>
      <w:sz w:val="24"/>
    </w:rPr>
  </w:style>
  <w:style w:type="paragraph" w:customStyle="1" w:styleId="22">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3">
    <w:name w:val="List Paragraph"/>
    <w:basedOn w:val="1"/>
    <w:qFormat/>
    <w:uiPriority w:val="34"/>
    <w:pPr>
      <w:ind w:firstLine="420" w:firstLineChars="200"/>
    </w:pPr>
  </w:style>
  <w:style w:type="character" w:customStyle="1" w:styleId="24">
    <w:name w:val="标题 1 Char"/>
    <w:basedOn w:val="13"/>
    <w:link w:val="3"/>
    <w:qFormat/>
    <w:uiPriority w:val="9"/>
    <w:rPr>
      <w:rFonts w:ascii="Times New Roman" w:hAnsi="Times New Roman"/>
      <w:b/>
      <w:bCs/>
      <w:kern w:val="44"/>
      <w:sz w:val="44"/>
      <w:szCs w:val="44"/>
    </w:rPr>
  </w:style>
  <w:style w:type="character" w:customStyle="1" w:styleId="25">
    <w:name w:val="标题 2 Char"/>
    <w:basedOn w:val="13"/>
    <w:link w:val="4"/>
    <w:qFormat/>
    <w:uiPriority w:val="9"/>
    <w:rPr>
      <w:rFonts w:asciiTheme="majorHAnsi" w:hAnsiTheme="majorHAnsi" w:eastAsiaTheme="majorEastAsia" w:cstheme="majorBidi"/>
      <w:b/>
      <w:bCs/>
      <w:kern w:val="2"/>
      <w:sz w:val="32"/>
      <w:szCs w:val="32"/>
    </w:rPr>
  </w:style>
  <w:style w:type="paragraph" w:customStyle="1" w:styleId="26">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character" w:customStyle="1" w:styleId="27">
    <w:name w:val="批注框文本 Char"/>
    <w:basedOn w:val="13"/>
    <w:link w:val="7"/>
    <w:semiHidden/>
    <w:qFormat/>
    <w:uiPriority w:val="99"/>
    <w:rPr>
      <w:rFonts w:ascii="Times New Roman" w:hAnsi="Times New Roman"/>
      <w:kern w:val="2"/>
      <w:sz w:val="18"/>
      <w:szCs w:val="18"/>
    </w:rPr>
  </w:style>
  <w:style w:type="character" w:customStyle="1" w:styleId="28">
    <w:name w:val="标题 3 Char"/>
    <w:basedOn w:val="13"/>
    <w:link w:val="5"/>
    <w:qFormat/>
    <w:uiPriority w:val="9"/>
    <w:rPr>
      <w:rFonts w:ascii="Times New Roman" w:hAnsi="Times New Roman"/>
      <w:b/>
      <w:bCs/>
      <w:kern w:val="2"/>
      <w:sz w:val="32"/>
      <w:szCs w:val="32"/>
    </w:rPr>
  </w:style>
  <w:style w:type="paragraph" w:customStyle="1" w:styleId="29">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5" Type="http://schemas.openxmlformats.org/officeDocument/2006/relationships/fontTable" Target="fontTable.xml"/><Relationship Id="rId34" Type="http://schemas.openxmlformats.org/officeDocument/2006/relationships/numbering" Target="numbering.xml"/><Relationship Id="rId33" Type="http://schemas.openxmlformats.org/officeDocument/2006/relationships/image" Target="media/image21.png"/><Relationship Id="rId32" Type="http://schemas.openxmlformats.org/officeDocument/2006/relationships/image" Target="media/image20.png"/><Relationship Id="rId31" Type="http://schemas.openxmlformats.org/officeDocument/2006/relationships/image" Target="media/image19.png"/><Relationship Id="rId30" Type="http://schemas.openxmlformats.org/officeDocument/2006/relationships/image" Target="media/image18.png"/><Relationship Id="rId3" Type="http://schemas.openxmlformats.org/officeDocument/2006/relationships/header" Target="header1.xml"/><Relationship Id="rId29" Type="http://schemas.openxmlformats.org/officeDocument/2006/relationships/image" Target="media/image17.png"/><Relationship Id="rId28" Type="http://schemas.openxmlformats.org/officeDocument/2006/relationships/image" Target="media/image16.png"/><Relationship Id="rId27" Type="http://schemas.openxmlformats.org/officeDocument/2006/relationships/image" Target="media/image15.png"/><Relationship Id="rId26" Type="http://schemas.openxmlformats.org/officeDocument/2006/relationships/image" Target="media/image14.png"/><Relationship Id="rId25" Type="http://schemas.openxmlformats.org/officeDocument/2006/relationships/image" Target="media/image13.png"/><Relationship Id="rId24" Type="http://schemas.openxmlformats.org/officeDocument/2006/relationships/image" Target="media/image12.png"/><Relationship Id="rId23" Type="http://schemas.openxmlformats.org/officeDocument/2006/relationships/image" Target="media/image11.png"/><Relationship Id="rId22" Type="http://schemas.openxmlformats.org/officeDocument/2006/relationships/image" Target="media/image10.png"/><Relationship Id="rId21" Type="http://schemas.openxmlformats.org/officeDocument/2006/relationships/image" Target="media/image9.png"/><Relationship Id="rId20" Type="http://schemas.openxmlformats.org/officeDocument/2006/relationships/image" Target="media/image8.png"/><Relationship Id="rId2" Type="http://schemas.openxmlformats.org/officeDocument/2006/relationships/settings" Target="settings.xml"/><Relationship Id="rId19" Type="http://schemas.openxmlformats.org/officeDocument/2006/relationships/image" Target="media/image7.png"/><Relationship Id="rId18" Type="http://schemas.openxmlformats.org/officeDocument/2006/relationships/image" Target="media/image6.png"/><Relationship Id="rId17" Type="http://schemas.openxmlformats.org/officeDocument/2006/relationships/image" Target="media/image5.png"/><Relationship Id="rId16" Type="http://schemas.openxmlformats.org/officeDocument/2006/relationships/image" Target="media/image4.png"/><Relationship Id="rId15" Type="http://schemas.openxmlformats.org/officeDocument/2006/relationships/image" Target="media/image3.png"/><Relationship Id="rId14" Type="http://schemas.openxmlformats.org/officeDocument/2006/relationships/image" Target="media/image2.png"/><Relationship Id="rId13" Type="http://schemas.openxmlformats.org/officeDocument/2006/relationships/image" Target="media/image1.png"/><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Administrator\Desktop\2021&#24180;&#20915;&#31639;\&#38468;&#20214;4&#65306;2021&#24180;&#20915;&#31639;&#20844;&#24320;&#38468;&#22270;(&#27169;&#26495;)&#20165;&#20379;&#21442;&#3277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Administrator\Desktop\2021&#24180;&#20915;&#31639;\&#38468;&#20214;4&#65306;2021&#24180;&#20915;&#31639;&#20844;&#24320;&#38468;&#22270;(&#27169;&#26495;)&#20165;&#20379;&#21442;&#3277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Administrator\Desktop\2021&#24180;&#20915;&#31639;\&#38468;&#20214;4&#65306;2021&#24180;&#20915;&#31639;&#20844;&#24320;&#38468;&#22270;(&#27169;&#26495;)&#20165;&#20379;&#21442;&#3277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Administrator\Desktop\2021&#24180;&#20915;&#31639;\&#38468;&#20214;4&#65306;2021&#24180;&#20915;&#31639;&#20844;&#24320;&#38468;&#22270;(&#27169;&#26495;)&#20165;&#20379;&#21442;&#32771;.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Administrator\Desktop\2021&#24180;&#20915;&#31639;\&#38468;&#20214;4&#65306;2021&#24180;&#20915;&#31639;&#20844;&#24320;&#38468;&#22270;(&#27169;&#26495;)&#20165;&#20379;&#21442;&#32771;.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Administrator\Desktop\2021&#24180;&#20915;&#31639;\&#38468;&#20214;4&#65306;2021&#24180;&#20915;&#31639;&#20844;&#24320;&#38468;&#22270;(&#27169;&#26495;)&#20165;&#20379;&#21442;&#32771;.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Administrator\Desktop\&#22478;&#21271;&#23567;&#23398;2021&#24180;&#20915;&#31639;&#20844;&#24320;\&#38468;&#20214;4&#65306;2021&#24180;&#20915;&#31639;&#20844;&#24320;&#38468;&#22270;(&#27169;&#26495;)&#20165;&#20379;&#21442;&#3277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t>图</a:t>
            </a:r>
            <a:r>
              <a:rPr lang="en-US"/>
              <a:t>1</a:t>
            </a:r>
            <a:r>
              <a:rPr lang="zh-CN"/>
              <a:t>：收、支决算总计变动情况图</a:t>
            </a:r>
            <a:endParaRPr lang="zh-CN"/>
          </a:p>
        </c:rich>
      </c:tx>
      <c:layout/>
      <c:overlay val="0"/>
    </c:title>
    <c:autoTitleDeleted val="0"/>
    <c:plotArea>
      <c:layout/>
      <c:barChart>
        <c:barDir val="col"/>
        <c:grouping val="clustered"/>
        <c:varyColors val="0"/>
        <c:ser>
          <c:idx val="0"/>
          <c:order val="0"/>
          <c:tx>
            <c:strRef>
              <c:f>'[附件4：2021年决算公开附图(模板)仅供参考.xlsx]收、支决算总体变动情况图1'!$C$13</c:f>
              <c:strCache>
                <c:ptCount val="1"/>
                <c:pt idx="0">
                  <c:v>金额</c:v>
                </c:pt>
              </c:strCache>
            </c:strRef>
          </c:tx>
          <c:invertIfNegative val="0"/>
          <c:dPt>
            <c:idx val="1"/>
            <c:invertIfNegative val="0"/>
            <c:bubble3D val="0"/>
            <c:spPr>
              <a:solidFill>
                <a:schemeClr val="accent2"/>
              </a:solidFill>
              <a:ln w="25400" cap="flat" cmpd="sng" algn="ctr">
                <a:solidFill>
                  <a:schemeClr val="accent2">
                    <a:shade val="50000"/>
                  </a:schemeClr>
                </a:solidFill>
                <a:prstDash val="solid"/>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'[附件4：2021年决算公开附图(模板)仅供参考.xlsx]收、支决算总体变动情况图1'!$B$14:$B$15</c:f>
              <c:strCache>
                <c:ptCount val="2"/>
                <c:pt idx="0">
                  <c:v>2021年</c:v>
                </c:pt>
                <c:pt idx="1">
                  <c:v>2020年</c:v>
                </c:pt>
              </c:strCache>
            </c:strRef>
          </c:cat>
          <c:val>
            <c:numRef>
              <c:f>'[附件4：2021年决算公开附图(模板)仅供参考.xlsx]收、支决算总体变动情况图1'!$C$14:$C$15</c:f>
              <c:numCache>
                <c:formatCode>#,##0.00</c:formatCode>
                <c:ptCount val="2"/>
                <c:pt idx="0">
                  <c:v>396.65</c:v>
                </c:pt>
                <c:pt idx="1">
                  <c:v>327.06</c:v>
                </c:pt>
              </c:numCache>
            </c:numRef>
          </c:val>
        </c:ser>
        <c:dLbls>
          <c:showLegendKey val="0"/>
          <c:showVal val="1"/>
          <c:showCatName val="0"/>
          <c:showSerName val="0"/>
          <c:showPercent val="0"/>
          <c:showBubbleSize val="0"/>
        </c:dLbls>
        <c:gapWidth val="150"/>
        <c:axId val="73265920"/>
        <c:axId val="73267456"/>
      </c:barChart>
      <c:catAx>
        <c:axId val="73265920"/>
        <c:scaling>
          <c:orientation val="minMax"/>
        </c:scaling>
        <c:delete val="0"/>
        <c:axPos val="b"/>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73267456"/>
        <c:crosses val="autoZero"/>
        <c:auto val="1"/>
        <c:lblAlgn val="ctr"/>
        <c:lblOffset val="100"/>
        <c:noMultiLvlLbl val="0"/>
      </c:catAx>
      <c:valAx>
        <c:axId val="73267456"/>
        <c:scaling>
          <c:orientation val="minMax"/>
        </c:scaling>
        <c:delete val="0"/>
        <c:axPos val="l"/>
        <c:majorGridlines/>
        <c:numFmt formatCode="#,##0.00"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73265920"/>
        <c:crosses val="autoZero"/>
        <c:crossBetween val="between"/>
      </c:valAx>
      <c:spPr>
        <a:gradFill rotWithShape="1">
          <a:gsLst>
            <a:gs pos="0">
              <a:schemeClr val="dk1">
                <a:tint val="50000"/>
                <a:satMod val="300000"/>
              </a:schemeClr>
            </a:gs>
            <a:gs pos="35000">
              <a:schemeClr val="dk1">
                <a:tint val="37000"/>
                <a:satMod val="300000"/>
              </a:schemeClr>
            </a:gs>
            <a:gs pos="100000">
              <a:schemeClr val="dk1">
                <a:tint val="15000"/>
                <a:satMod val="350000"/>
              </a:schemeClr>
            </a:gs>
          </a:gsLst>
          <a:lin ang="16200000" scaled="1"/>
        </a:gradFill>
        <a:ln w="9525" cap="flat" cmpd="sng" algn="ctr">
          <a:solidFill>
            <a:schemeClr val="dk1">
              <a:shade val="95000"/>
              <a:satMod val="105000"/>
            </a:schemeClr>
          </a:solidFill>
          <a:prstDash val="solid"/>
        </a:ln>
        <a:effectLst>
          <a:outerShdw blurRad="40000" dist="20000" dir="5400000" rotWithShape="0">
            <a:srgbClr val="000000">
              <a:alpha val="38000"/>
            </a:srgbClr>
          </a:outerShdw>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legend>
    <c:plotVisOnly val="1"/>
    <c:dispBlanksAs val="gap"/>
    <c:showDLblsOverMax val="0"/>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t>图</a:t>
            </a:r>
            <a:r>
              <a:rPr lang="en-US"/>
              <a:t>2</a:t>
            </a:r>
            <a:r>
              <a:rPr lang="zh-CN"/>
              <a:t>：</a:t>
            </a:r>
            <a:r>
              <a:rPr lang="en-US"/>
              <a:t>2021</a:t>
            </a:r>
            <a:r>
              <a:rPr lang="zh-CN"/>
              <a:t>年收入决算结构图</a:t>
            </a:r>
            <a:endParaRPr lang="zh-CN"/>
          </a:p>
        </c:rich>
      </c:tx>
      <c:layout/>
      <c:overlay val="0"/>
    </c:title>
    <c:autoTitleDeleted val="0"/>
    <c:plotArea>
      <c:layout/>
      <c:pieChart>
        <c:varyColors val="1"/>
        <c:ser>
          <c:idx val="0"/>
          <c:order val="0"/>
          <c:tx>
            <c:strRef>
              <c:f>'[附件4：2021年决算公开附图(模板)仅供参考.xlsx]收入决算结构图2'!$B$6</c:f>
              <c:strCache>
                <c:ptCount val="1"/>
                <c:pt idx="0">
                  <c:v>占比</c:v>
                </c:pt>
              </c:strCache>
            </c:strRef>
          </c:tx>
          <c:explosion val="0"/>
          <c:dPt>
            <c:idx val="0"/>
            <c:bubble3D val="0"/>
          </c:dPt>
          <c:dPt>
            <c:idx val="1"/>
            <c:bubble3D val="0"/>
          </c:dPt>
          <c:dPt>
            <c:idx val="2"/>
            <c:bubble3D val="0"/>
          </c:dPt>
          <c:dPt>
            <c:idx val="3"/>
            <c:bubble3D val="0"/>
          </c:dPt>
          <c:dLbls>
            <c:dLbl>
              <c:idx val="1"/>
              <c:layout>
                <c:manualLayout>
                  <c:x val="-0.0167753458752465"/>
                  <c:y val="-0.0412493660885495"/>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750471494345391"/>
                  <c:y val="-0.0162085918724544"/>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ext>
            </c:extLst>
          </c:dLbls>
          <c:cat>
            <c:strRef>
              <c:f>'[附件4：2021年决算公开附图(模板)仅供参考.xlsx]收入决算结构图2'!$A$7:$A$10</c:f>
              <c:strCache>
                <c:ptCount val="4"/>
                <c:pt idx="0">
                  <c:v>一般公共预算财政拨款收入389.63万元</c:v>
                </c:pt>
                <c:pt idx="1">
                  <c:v>政府性基金预算财政拨款0万元</c:v>
                </c:pt>
                <c:pt idx="2">
                  <c:v>事业收入0万元</c:v>
                </c:pt>
                <c:pt idx="3">
                  <c:v>其他收入0万元</c:v>
                </c:pt>
              </c:strCache>
            </c:strRef>
          </c:cat>
          <c:val>
            <c:numRef>
              <c:f>'[附件4：2021年决算公开附图(模板)仅供参考.xlsx]收入决算结构图2'!$B$7:$B$10</c:f>
              <c:numCache>
                <c:formatCode>0.00%</c:formatCode>
                <c:ptCount val="4"/>
                <c:pt idx="0">
                  <c:v>1</c:v>
                </c:pt>
                <c:pt idx="1">
                  <c:v>0</c:v>
                </c:pt>
                <c:pt idx="2">
                  <c:v>0</c:v>
                </c:pt>
                <c:pt idx="3">
                  <c:v>0</c:v>
                </c:pt>
              </c:numCache>
            </c:numRef>
          </c:val>
        </c:ser>
        <c:dLbls>
          <c:showLegendKey val="0"/>
          <c:showVal val="1"/>
          <c:showCatName val="0"/>
          <c:showSerName val="0"/>
          <c:showPercent val="0"/>
          <c:showBubbleSize val="0"/>
          <c:showLeaderLines val="1"/>
        </c:dLbls>
        <c:firstSliceAng val="15"/>
      </c:pieChart>
      <c:spPr>
        <a:noFill/>
        <a:ln>
          <a:noFill/>
        </a:ln>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legend>
    <c:plotVisOnly val="1"/>
    <c:dispBlanksAs val="gap"/>
    <c:showDLblsOverMax val="0"/>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t>图</a:t>
            </a:r>
            <a:r>
              <a:rPr lang="en-US"/>
              <a:t>3</a:t>
            </a:r>
            <a:r>
              <a:rPr lang="zh-CN"/>
              <a:t>：</a:t>
            </a:r>
            <a:r>
              <a:rPr lang="en-US"/>
              <a:t>2021</a:t>
            </a:r>
            <a:r>
              <a:rPr lang="zh-CN"/>
              <a:t>年支出决算结构图</a:t>
            </a:r>
            <a:endParaRPr lang="zh-CN"/>
          </a:p>
        </c:rich>
      </c:tx>
      <c:layout>
        <c:manualLayout>
          <c:xMode val="edge"/>
          <c:yMode val="edge"/>
          <c:x val="0.224852767962309"/>
          <c:y val="0.0234604105571848"/>
        </c:manualLayout>
      </c:layout>
      <c:overlay val="0"/>
    </c:title>
    <c:autoTitleDeleted val="0"/>
    <c:plotArea>
      <c:layout/>
      <c:pieChart>
        <c:varyColors val="1"/>
        <c:ser>
          <c:idx val="0"/>
          <c:order val="0"/>
          <c:tx>
            <c:strRef>
              <c:f>'[附件4：2021年决算公开附图(模板)仅供参考.xlsx]支出决算结构图3'!$B$9</c:f>
              <c:strCache>
                <c:ptCount val="1"/>
                <c:pt idx="0">
                  <c:v>占比</c:v>
                </c:pt>
              </c:strCache>
            </c:strRef>
          </c:tx>
          <c:explosion val="0"/>
          <c:dPt>
            <c:idx val="0"/>
            <c:bubble3D val="0"/>
          </c:dPt>
          <c:dPt>
            <c:idx val="1"/>
            <c:bubble3D val="0"/>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ext>
            </c:extLst>
          </c:dLbls>
          <c:cat>
            <c:strRef>
              <c:f>'[附件4：2021年决算公开附图(模板)仅供参考.xlsx]支出决算结构图3'!$A$10:$A$11</c:f>
              <c:strCache>
                <c:ptCount val="2"/>
                <c:pt idx="0">
                  <c:v>基本支出320.73万元</c:v>
                </c:pt>
                <c:pt idx="1">
                  <c:v>项目支出175.92万元</c:v>
                </c:pt>
              </c:strCache>
            </c:strRef>
          </c:cat>
          <c:val>
            <c:numRef>
              <c:f>'[附件4：2021年决算公开附图(模板)仅供参考.xlsx]支出决算结构图3'!$B$10:$B$11</c:f>
              <c:numCache>
                <c:formatCode>0.00%</c:formatCode>
                <c:ptCount val="2"/>
                <c:pt idx="0">
                  <c:v>0.8086</c:v>
                </c:pt>
                <c:pt idx="1">
                  <c:v>0.1914</c:v>
                </c:pt>
              </c:numCache>
            </c:numRef>
          </c:val>
        </c:ser>
        <c:dLbls>
          <c:showLegendKey val="0"/>
          <c:showVal val="1"/>
          <c:showCatName val="0"/>
          <c:showSerName val="0"/>
          <c:showPercent val="0"/>
          <c:showBubbleSize val="0"/>
          <c:showLeaderLines val="1"/>
        </c:dLbls>
        <c:firstSliceAng val="15"/>
      </c:pieChart>
      <c:spPr>
        <a:noFill/>
        <a:ln>
          <a:noFill/>
        </a:ln>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legend>
    <c:plotVisOnly val="1"/>
    <c:dispBlanksAs val="gap"/>
    <c:showDLblsOverMax val="0"/>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ltLang="en-US"/>
              <a:t>图</a:t>
            </a:r>
            <a:r>
              <a:rPr lang="en-US" altLang="zh-CN"/>
              <a:t>4</a:t>
            </a:r>
            <a:r>
              <a:rPr lang="zh-CN" altLang="en-US"/>
              <a:t>：财政拨款收、支决算总计变动情况图</a:t>
            </a:r>
            <a:endParaRPr lang="zh-CN" altLang="en-US"/>
          </a:p>
        </c:rich>
      </c:tx>
      <c:layout/>
      <c:overlay val="0"/>
    </c:title>
    <c:autoTitleDeleted val="0"/>
    <c:plotArea>
      <c:layout/>
      <c:barChart>
        <c:barDir val="col"/>
        <c:grouping val="clustered"/>
        <c:varyColors val="0"/>
        <c:ser>
          <c:idx val="0"/>
          <c:order val="0"/>
          <c:tx>
            <c:strRef>
              <c:f>'[附件4：2021年决算公开附图(模板)仅供参考.xlsx]财政拨款收、支决算总计变动情况图4'!$C$4</c:f>
              <c:strCache>
                <c:ptCount val="1"/>
                <c:pt idx="0">
                  <c:v>金额</c:v>
                </c:pt>
              </c:strCache>
            </c:strRef>
          </c:tx>
          <c:invertIfNegative val="0"/>
          <c:dPt>
            <c:idx val="1"/>
            <c:invertIfNegative val="0"/>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w="9525" cap="flat" cmpd="sng" algn="ctr">
                <a:solidFill>
                  <a:schemeClr val="accent2">
                    <a:shade val="95000"/>
                    <a:satMod val="105000"/>
                  </a:schemeClr>
                </a:solidFill>
                <a:prstDash val="solid"/>
              </a:ln>
              <a:effectLst>
                <a:outerShdw blurRad="40000" dist="23000" dir="5400000" rotWithShape="0">
                  <a:srgbClr val="000000">
                    <a:alpha val="35000"/>
                  </a:srgbClr>
                </a:outerShdw>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'[附件4：2021年决算公开附图(模板)仅供参考.xlsx]财政拨款收、支决算总计变动情况图4'!$B$5:$B$6</c:f>
              <c:strCache>
                <c:ptCount val="2"/>
                <c:pt idx="0">
                  <c:v>2021年</c:v>
                </c:pt>
                <c:pt idx="1">
                  <c:v>2020年</c:v>
                </c:pt>
              </c:strCache>
            </c:strRef>
          </c:cat>
          <c:val>
            <c:numRef>
              <c:f>'[附件4：2021年决算公开附图(模板)仅供参考.xlsx]财政拨款收、支决算总计变动情况图4'!$C$5:$C$6</c:f>
              <c:numCache>
                <c:formatCode>#,##0.00</c:formatCode>
                <c:ptCount val="2"/>
                <c:pt idx="0">
                  <c:v>396.65</c:v>
                </c:pt>
                <c:pt idx="1">
                  <c:v>327.06</c:v>
                </c:pt>
              </c:numCache>
            </c:numRef>
          </c:val>
        </c:ser>
        <c:dLbls>
          <c:showLegendKey val="0"/>
          <c:showVal val="1"/>
          <c:showCatName val="0"/>
          <c:showSerName val="0"/>
          <c:showPercent val="0"/>
          <c:showBubbleSize val="0"/>
        </c:dLbls>
        <c:gapWidth val="150"/>
        <c:axId val="91223168"/>
        <c:axId val="91224704"/>
      </c:barChart>
      <c:catAx>
        <c:axId val="91223168"/>
        <c:scaling>
          <c:orientation val="minMax"/>
        </c:scaling>
        <c:delete val="0"/>
        <c:axPos val="b"/>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91224704"/>
        <c:crosses val="autoZero"/>
        <c:auto val="1"/>
        <c:lblAlgn val="ctr"/>
        <c:lblOffset val="100"/>
        <c:noMultiLvlLbl val="0"/>
      </c:catAx>
      <c:valAx>
        <c:axId val="91224704"/>
        <c:scaling>
          <c:orientation val="minMax"/>
        </c:scaling>
        <c:delete val="0"/>
        <c:axPos val="l"/>
        <c:majorGridlines/>
        <c:numFmt formatCode="#,##0.00"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91223168"/>
        <c:crosses val="autoZero"/>
        <c:crossBetween val="between"/>
      </c:valAx>
      <c:spPr>
        <a:gradFill rotWithShape="1">
          <a:gsLst>
            <a:gs pos="0">
              <a:schemeClr val="dk1">
                <a:tint val="50000"/>
                <a:satMod val="300000"/>
              </a:schemeClr>
            </a:gs>
            <a:gs pos="35000">
              <a:schemeClr val="dk1">
                <a:tint val="37000"/>
                <a:satMod val="300000"/>
              </a:schemeClr>
            </a:gs>
            <a:gs pos="100000">
              <a:schemeClr val="dk1">
                <a:tint val="15000"/>
                <a:satMod val="350000"/>
              </a:schemeClr>
            </a:gs>
          </a:gsLst>
          <a:lin ang="16200000" scaled="1"/>
        </a:gradFill>
        <a:ln w="9525" cap="flat" cmpd="sng" algn="ctr">
          <a:solidFill>
            <a:schemeClr val="dk1">
              <a:shade val="95000"/>
              <a:satMod val="105000"/>
            </a:schemeClr>
          </a:solidFill>
          <a:prstDash val="solid"/>
        </a:ln>
        <a:effectLst>
          <a:outerShdw blurRad="40000" dist="20000" dir="5400000" rotWithShape="0">
            <a:srgbClr val="000000">
              <a:alpha val="38000"/>
            </a:srgbClr>
          </a:outerShdw>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legend>
    <c:plotVisOnly val="1"/>
    <c:dispBlanksAs val="gap"/>
    <c:showDLblsOverMax val="0"/>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ltLang="en-US"/>
              <a:t>图</a:t>
            </a:r>
            <a:r>
              <a:rPr lang="en-US" altLang="zh-CN"/>
              <a:t>4</a:t>
            </a:r>
            <a:r>
              <a:rPr lang="zh-CN" altLang="en-US"/>
              <a:t>：财政拨款收、支决算总计变动情况图</a:t>
            </a:r>
            <a:endParaRPr lang="zh-CN" altLang="en-US"/>
          </a:p>
        </c:rich>
      </c:tx>
      <c:layout/>
      <c:overlay val="0"/>
    </c:title>
    <c:autoTitleDeleted val="0"/>
    <c:plotArea>
      <c:layout/>
      <c:barChart>
        <c:barDir val="col"/>
        <c:grouping val="clustered"/>
        <c:varyColors val="0"/>
        <c:ser>
          <c:idx val="0"/>
          <c:order val="0"/>
          <c:tx>
            <c:strRef>
              <c:f>'[附件4：2021年决算公开附图(模板)仅供参考.xlsx]财政拨款收、支决算总计变动情况图4'!$C$4</c:f>
              <c:strCache>
                <c:ptCount val="1"/>
                <c:pt idx="0">
                  <c:v>金额</c:v>
                </c:pt>
              </c:strCache>
            </c:strRef>
          </c:tx>
          <c:invertIfNegative val="0"/>
          <c:dPt>
            <c:idx val="1"/>
            <c:invertIfNegative val="0"/>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w="9525" cap="flat" cmpd="sng" algn="ctr">
                <a:solidFill>
                  <a:schemeClr val="accent2">
                    <a:shade val="95000"/>
                    <a:satMod val="105000"/>
                  </a:schemeClr>
                </a:solidFill>
                <a:prstDash val="solid"/>
              </a:ln>
              <a:effectLst>
                <a:outerShdw blurRad="40000" dist="23000" dir="5400000" rotWithShape="0">
                  <a:srgbClr val="000000">
                    <a:alpha val="35000"/>
                  </a:srgbClr>
                </a:outerShdw>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'[附件4：2021年决算公开附图(模板)仅供参考.xlsx]财政拨款收、支决算总计变动情况图4'!$B$5:$B$6</c:f>
              <c:strCache>
                <c:ptCount val="2"/>
                <c:pt idx="0">
                  <c:v>2021年</c:v>
                </c:pt>
                <c:pt idx="1">
                  <c:v>2020年</c:v>
                </c:pt>
              </c:strCache>
            </c:strRef>
          </c:cat>
          <c:val>
            <c:numRef>
              <c:f>'[附件4：2021年决算公开附图(模板)仅供参考.xlsx]财政拨款收、支决算总计变动情况图4'!$C$5:$C$6</c:f>
              <c:numCache>
                <c:formatCode>#,##0.00</c:formatCode>
                <c:ptCount val="2"/>
                <c:pt idx="0">
                  <c:v>396.65</c:v>
                </c:pt>
                <c:pt idx="1">
                  <c:v>327.06</c:v>
                </c:pt>
              </c:numCache>
            </c:numRef>
          </c:val>
        </c:ser>
        <c:dLbls>
          <c:showLegendKey val="0"/>
          <c:showVal val="1"/>
          <c:showCatName val="0"/>
          <c:showSerName val="0"/>
          <c:showPercent val="0"/>
          <c:showBubbleSize val="0"/>
        </c:dLbls>
        <c:gapWidth val="150"/>
        <c:axId val="91223168"/>
        <c:axId val="91224704"/>
      </c:barChart>
      <c:catAx>
        <c:axId val="91223168"/>
        <c:scaling>
          <c:orientation val="minMax"/>
        </c:scaling>
        <c:delete val="0"/>
        <c:axPos val="b"/>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91224704"/>
        <c:crosses val="autoZero"/>
        <c:auto val="1"/>
        <c:lblAlgn val="ctr"/>
        <c:lblOffset val="100"/>
        <c:noMultiLvlLbl val="0"/>
      </c:catAx>
      <c:valAx>
        <c:axId val="91224704"/>
        <c:scaling>
          <c:orientation val="minMax"/>
        </c:scaling>
        <c:delete val="0"/>
        <c:axPos val="l"/>
        <c:majorGridlines/>
        <c:numFmt formatCode="#,##0.00"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91223168"/>
        <c:crosses val="autoZero"/>
        <c:crossBetween val="between"/>
      </c:valAx>
      <c:spPr>
        <a:gradFill rotWithShape="1">
          <a:gsLst>
            <a:gs pos="0">
              <a:schemeClr val="dk1">
                <a:tint val="50000"/>
                <a:satMod val="300000"/>
              </a:schemeClr>
            </a:gs>
            <a:gs pos="35000">
              <a:schemeClr val="dk1">
                <a:tint val="37000"/>
                <a:satMod val="300000"/>
              </a:schemeClr>
            </a:gs>
            <a:gs pos="100000">
              <a:schemeClr val="dk1">
                <a:tint val="15000"/>
                <a:satMod val="350000"/>
              </a:schemeClr>
            </a:gs>
          </a:gsLst>
          <a:lin ang="16200000" scaled="1"/>
        </a:gradFill>
        <a:ln w="9525" cap="flat" cmpd="sng" algn="ctr">
          <a:solidFill>
            <a:schemeClr val="dk1">
              <a:shade val="95000"/>
              <a:satMod val="105000"/>
            </a:schemeClr>
          </a:solidFill>
          <a:prstDash val="solid"/>
        </a:ln>
        <a:effectLst>
          <a:outerShdw blurRad="40000" dist="20000" dir="5400000" rotWithShape="0">
            <a:srgbClr val="000000">
              <a:alpha val="38000"/>
            </a:srgbClr>
          </a:outerShdw>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legend>
    <c:plotVisOnly val="1"/>
    <c:dispBlanksAs val="gap"/>
    <c:showDLblsOverMax val="0"/>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ltLang="en-US"/>
              <a:t>图</a:t>
            </a:r>
            <a:r>
              <a:rPr lang="en-US" altLang="zh-CN"/>
              <a:t>6</a:t>
            </a:r>
            <a:r>
              <a:rPr lang="zh-CN" altLang="en-US"/>
              <a:t>：一般公共预算财政拨款支出决算结构图</a:t>
            </a:r>
            <a:endParaRPr lang="zh-CN" altLang="en-US"/>
          </a:p>
        </c:rich>
      </c:tx>
      <c:layout/>
      <c:overlay val="0"/>
    </c:title>
    <c:autoTitleDeleted val="0"/>
    <c:plotArea>
      <c:layout/>
      <c:pieChart>
        <c:varyColors val="1"/>
        <c:ser>
          <c:idx val="0"/>
          <c:order val="0"/>
          <c:tx>
            <c:strRef>
              <c:f>'[附件4：2021年决算公开附图(模板)仅供参考.xlsx]一般公共预算财政拨款支出决算结构图6'!$C$18</c:f>
              <c:strCache>
                <c:ptCount val="1"/>
                <c:pt idx="0">
                  <c:v>占比</c:v>
                </c:pt>
              </c:strCache>
            </c:strRef>
          </c:tx>
          <c:explosion val="0"/>
          <c:dPt>
            <c:idx val="0"/>
            <c:bubble3D val="0"/>
          </c:dPt>
          <c:dPt>
            <c:idx val="1"/>
            <c:bubble3D val="0"/>
          </c:dPt>
          <c:dPt>
            <c:idx val="2"/>
            <c:bubble3D val="0"/>
          </c:dPt>
          <c:dPt>
            <c:idx val="3"/>
            <c:bubble3D val="0"/>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ext>
            </c:extLst>
          </c:dLbls>
          <c:cat>
            <c:strRef>
              <c:f>'[附件4：2021年决算公开附图(模板)仅供参考.xlsx]一般公共预算财政拨款支出决算结构图6'!$B$19:$B$22</c:f>
              <c:strCache>
                <c:ptCount val="4"/>
                <c:pt idx="0">
                  <c:v>教育支出</c:v>
                </c:pt>
                <c:pt idx="1">
                  <c:v>社会保障和就业支出</c:v>
                </c:pt>
                <c:pt idx="2">
                  <c:v>卫生健康支出</c:v>
                </c:pt>
                <c:pt idx="3">
                  <c:v>住房保障支出</c:v>
                </c:pt>
              </c:strCache>
            </c:strRef>
          </c:cat>
          <c:val>
            <c:numRef>
              <c:f>'[附件4：2021年决算公开附图(模板)仅供参考.xlsx]一般公共预算财政拨款支出决算结构图6'!$C$19:$C$22</c:f>
              <c:numCache>
                <c:formatCode>0.00%</c:formatCode>
                <c:ptCount val="4"/>
                <c:pt idx="0">
                  <c:v>0.82243344090359</c:v>
                </c:pt>
                <c:pt idx="1">
                  <c:v>0.0955274304154901</c:v>
                </c:pt>
                <c:pt idx="2">
                  <c:v>0.0229427188382412</c:v>
                </c:pt>
                <c:pt idx="3">
                  <c:v>0.0590964098426785</c:v>
                </c:pt>
              </c:numCache>
            </c:numRef>
          </c:val>
        </c:ser>
        <c:dLbls>
          <c:showLegendKey val="0"/>
          <c:showVal val="0"/>
          <c:showCatName val="0"/>
          <c:showSerName val="0"/>
          <c:showPercent val="0"/>
          <c:showBubbleSize val="0"/>
          <c:showLeaderLines val="1"/>
        </c:dLbls>
        <c:firstSliceAng val="15"/>
      </c:pieChart>
      <c:spPr>
        <a:noFill/>
        <a:ln>
          <a:noFill/>
        </a:ln>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legend>
    <c:plotVisOnly val="1"/>
    <c:dispBlanksAs val="gap"/>
    <c:showDLblsOverMax val="0"/>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ltLang="en-US"/>
              <a:t>图</a:t>
            </a:r>
            <a:r>
              <a:rPr lang="en-US" altLang="zh-CN"/>
              <a:t>7</a:t>
            </a:r>
            <a:r>
              <a:rPr lang="zh-CN" altLang="en-US"/>
              <a:t>：</a:t>
            </a:r>
            <a:r>
              <a:rPr lang="en-US" altLang="zh-CN"/>
              <a:t>2021</a:t>
            </a:r>
            <a:r>
              <a:rPr lang="zh-CN" altLang="en-US"/>
              <a:t>年  </a:t>
            </a:r>
            <a:r>
              <a:rPr lang="en-US" altLang="zh-CN"/>
              <a:t>"</a:t>
            </a:r>
            <a:r>
              <a:rPr lang="zh-CN" altLang="en-US"/>
              <a:t>三公”经费财政拨款                  支出结构图</a:t>
            </a:r>
            <a:endParaRPr lang="zh-CN" altLang="en-US"/>
          </a:p>
        </c:rich>
      </c:tx>
      <c:layout/>
      <c:overlay val="0"/>
    </c:title>
    <c:autoTitleDeleted val="0"/>
    <c:plotArea>
      <c:layout/>
      <c:pieChart>
        <c:varyColors val="1"/>
        <c:ser>
          <c:idx val="0"/>
          <c:order val="0"/>
          <c:tx>
            <c:strRef>
              <c:f>'“三公”经费财政拨款支出结构图7 '!$B$9</c:f>
              <c:strCache>
                <c:ptCount val="1"/>
                <c:pt idx="0">
                  <c:v>占比</c:v>
                </c:pt>
              </c:strCache>
            </c:strRef>
          </c:tx>
          <c:explosion val="0"/>
          <c:dPt>
            <c:idx val="0"/>
            <c:bubble3D val="0"/>
          </c:dPt>
          <c:dPt>
            <c:idx val="1"/>
            <c:bubble3D val="0"/>
          </c:dPt>
          <c:dLbls>
            <c:dLbl>
              <c:idx val="1"/>
              <c:layout/>
              <c:tx>
                <c:rich>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r>
                      <a:rPr lang="en-US" altLang="en-US"/>
                      <a:t>0</a:t>
                    </a:r>
                    <a:r>
                      <a:rPr altLang="en-US"/>
                      <a:t>.00%</a:t>
                    </a:r>
                    <a:endParaRPr altLang="en-US"/>
                  </a:p>
                </c:rich>
              </c:tx>
              <c:dLblPos val="bestFi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ext>
            </c:extLst>
          </c:dLbls>
          <c:cat>
            <c:strRef>
              <c:f>'“三公”经费财政拨款支出结构图7 '!$A$10:$A$11</c:f>
              <c:strCache>
                <c:ptCount val="2"/>
                <c:pt idx="0">
                  <c:v>公务用车购置及运行维护费支出0万元</c:v>
                </c:pt>
                <c:pt idx="1">
                  <c:v>公务接待费支出0万元</c:v>
                </c:pt>
              </c:strCache>
            </c:strRef>
          </c:cat>
          <c:val>
            <c:numRef>
              <c:f>'“三公”经费财政拨款支出结构图7 '!$B$10:$B$11</c:f>
              <c:numCache>
                <c:formatCode>0.00%</c:formatCode>
                <c:ptCount val="2"/>
                <c:pt idx="0">
                  <c:v>0</c:v>
                </c:pt>
                <c:pt idx="1">
                  <c:v>1</c:v>
                </c:pt>
              </c:numCache>
            </c:numRef>
          </c:val>
        </c:ser>
        <c:dLbls>
          <c:showLegendKey val="0"/>
          <c:showVal val="1"/>
          <c:showCatName val="0"/>
          <c:showSerName val="0"/>
          <c:showPercent val="0"/>
          <c:showBubbleSize val="0"/>
          <c:showLeaderLines val="1"/>
        </c:dLbls>
        <c:firstSliceAng val="15"/>
      </c:pieChart>
      <c:spPr>
        <a:noFill/>
        <a:ln>
          <a:noFill/>
        </a:ln>
        <a:effectLst/>
      </c:spPr>
    </c:plotArea>
    <c:legend>
      <c:legendPos val="r"/>
      <c:layout>
        <c:manualLayout>
          <c:xMode val="edge"/>
          <c:yMode val="edge"/>
          <c:x val="0.647058823529414"/>
          <c:y val="0.490675609993195"/>
          <c:w val="0.339869281045753"/>
          <c:h val="0.367619973429249"/>
        </c:manualLayout>
      </c:layout>
      <c:overlay val="0"/>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legend>
    <c:plotVisOnly val="1"/>
    <c:dispBlanksAs val="zero"/>
    <c:showDLblsOverMax val="0"/>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四川省财政厅</Company>
  <Pages>36</Pages>
  <Words>7607</Words>
  <Characters>8158</Characters>
  <Lines>48</Lines>
  <Paragraphs>13</Paragraphs>
  <TotalTime>2</TotalTime>
  <ScaleCrop>false</ScaleCrop>
  <LinksUpToDate>false</LinksUpToDate>
  <CharactersWithSpaces>8264</CharactersWithSpaces>
  <Application>WPS Office_11.1.0.12978_F1E327BC-269C-435d-A152-05C5408002CA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2022-09-13T01:18:00Z</dcterms:created>
  <dc:creator>曹颖</dc:creator>
  <cp:lastModifiedBy>Administrator</cp:lastModifiedBy>
  <cp:lastPrinted>2022-08-06T02:23:00Z</cp:lastPrinted>
  <dcterms:modified xsi:type="dcterms:W3CDTF">2022-12-06T08:28:29Z</dcterms:modified>
  <dc:title>四川省***</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2052-11.1.0.12978</vt:lpwstr>
  </property>
  <property fmtid="{D5CDD505-2E9C-101B-9397-08002B2CF9AE}" pid="3" name="ICV">
    <vt:lpwstr>3295E51DD6F5429897559E53ABBAF0C0</vt:lpwstr>
  </property>
</Properties>
</file>