
<file path=[Content_Types].xml><?xml version="1.0" encoding="utf-8"?>
<Types xmlns="http://schemas.openxmlformats.org/package/2006/content-types">
  <Default Extension="xml" ContentType="application/xml"/>
  <Default Extension="xlsx" ContentType="application/vnd.openxmlformats-officedocument.spreadsheetml.shee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ascii="方正小标宋简体" w:hAnsi="宋体" w:eastAsia="方正小标宋简体"/>
          <w:sz w:val="72"/>
          <w:szCs w:val="72"/>
        </w:rPr>
      </w:pPr>
      <w:bookmarkStart w:id="0" w:name="_Toc15306267"/>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adjustRightInd w:val="0"/>
        <w:snapToGrid w:val="0"/>
        <w:spacing w:line="360" w:lineRule="auto"/>
        <w:jc w:val="center"/>
        <w:outlineLvl w:val="0"/>
        <w:rPr>
          <w:rFonts w:ascii="方正小标宋简体" w:hAnsi="方正小标宋简体" w:eastAsia="方正小标宋简体" w:cs="方正小标宋简体"/>
          <w:sz w:val="52"/>
          <w:szCs w:val="52"/>
        </w:rPr>
      </w:pPr>
      <w:bookmarkStart w:id="1" w:name="_Toc15396597"/>
      <w:bookmarkStart w:id="2" w:name="_Toc15396475"/>
      <w:bookmarkStart w:id="3" w:name="_Toc15377425"/>
      <w:bookmarkStart w:id="4" w:name="_Toc15377193"/>
      <w:bookmarkStart w:id="5" w:name="_Toc15378441"/>
      <w:r>
        <w:rPr>
          <w:rFonts w:hint="eastAsia" w:ascii="方正小标宋简体" w:hAnsi="方正小标宋简体" w:eastAsia="方正小标宋简体" w:cs="方正小标宋简体"/>
          <w:sz w:val="52"/>
          <w:szCs w:val="52"/>
        </w:rPr>
        <w:t>2021年度</w:t>
      </w:r>
      <w:bookmarkEnd w:id="1"/>
      <w:bookmarkEnd w:id="2"/>
      <w:bookmarkEnd w:id="3"/>
      <w:bookmarkEnd w:id="4"/>
      <w:bookmarkEnd w:id="5"/>
    </w:p>
    <w:p>
      <w:pPr>
        <w:adjustRightInd w:val="0"/>
        <w:snapToGrid w:val="0"/>
        <w:spacing w:line="360" w:lineRule="auto"/>
        <w:jc w:val="center"/>
        <w:outlineLvl w:val="0"/>
        <w:rPr>
          <w:rFonts w:ascii="方正小标宋简体" w:hAnsi="方正小标宋简体" w:eastAsia="方正小标宋简体" w:cs="方正小标宋简体"/>
          <w:sz w:val="52"/>
          <w:szCs w:val="52"/>
        </w:rPr>
      </w:pPr>
      <w:bookmarkStart w:id="6" w:name="_Toc15377194"/>
      <w:bookmarkStart w:id="7" w:name="_Toc15396598"/>
      <w:bookmarkStart w:id="8" w:name="_Toc15378442"/>
      <w:bookmarkStart w:id="9" w:name="_Toc15377426"/>
      <w:bookmarkStart w:id="10" w:name="_Toc15396476"/>
      <w:r>
        <w:rPr>
          <w:rFonts w:hint="eastAsia" w:ascii="方正小标宋简体" w:hAnsi="方正小标宋简体" w:eastAsia="方正小标宋简体" w:cs="方正小标宋简体"/>
          <w:sz w:val="52"/>
          <w:szCs w:val="52"/>
        </w:rPr>
        <w:t>乐山市市中区</w:t>
      </w:r>
      <w:bookmarkEnd w:id="0"/>
      <w:bookmarkStart w:id="11" w:name="_Toc15306268"/>
      <w:r>
        <w:rPr>
          <w:rFonts w:hint="eastAsia" w:ascii="方正小标宋简体" w:hAnsi="方正小标宋简体" w:eastAsia="方正小标宋简体" w:cs="方正小标宋简体"/>
          <w:sz w:val="52"/>
          <w:szCs w:val="52"/>
        </w:rPr>
        <w:t>教师发展中心决算</w:t>
      </w:r>
      <w:bookmarkEnd w:id="6"/>
      <w:bookmarkEnd w:id="7"/>
      <w:bookmarkEnd w:id="8"/>
      <w:bookmarkEnd w:id="9"/>
      <w:bookmarkEnd w:id="10"/>
      <w:bookmarkEnd w:id="11"/>
    </w:p>
    <w:p>
      <w:pPr>
        <w:adjustRightInd w:val="0"/>
        <w:snapToGrid w:val="0"/>
        <w:spacing w:line="360" w:lineRule="auto"/>
        <w:jc w:val="center"/>
        <w:outlineLvl w:val="0"/>
        <w:rPr>
          <w:rFonts w:ascii="方正小标宋简体" w:hAnsi="宋体" w:eastAsia="方正小标宋简体"/>
          <w:color w:val="000000"/>
          <w:sz w:val="52"/>
          <w:szCs w:val="52"/>
        </w:rPr>
      </w:pPr>
      <w:r>
        <w:rPr>
          <w:rFonts w:hint="eastAsia" w:ascii="方正小标宋简体" w:hAnsi="宋体" w:eastAsia="方正小标宋简体"/>
          <w:color w:val="000000"/>
          <w:sz w:val="52"/>
          <w:szCs w:val="52"/>
        </w:rPr>
        <w:t>编制说明</w:t>
      </w:r>
    </w:p>
    <w:p>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pPr>
        <w:widowControl/>
        <w:jc w:val="center"/>
        <w:rPr>
          <w:rFonts w:ascii="黑体" w:hAnsi="黑体" w:eastAsia="黑体" w:cstheme="minorBidi"/>
          <w:sz w:val="28"/>
          <w:szCs w:val="28"/>
        </w:rPr>
      </w:pPr>
    </w:p>
    <w:p>
      <w:pPr>
        <w:pStyle w:val="10"/>
      </w:pPr>
      <w:r>
        <w:rPr>
          <w:rFonts w:hint="eastAsia"/>
        </w:rPr>
        <w:t>公开时间：2022年 10月19 日</w:t>
      </w:r>
    </w:p>
    <w:p/>
    <w:p>
      <w:pPr>
        <w:pStyle w:val="10"/>
        <w:adjustRightInd w:val="0"/>
        <w:snapToGrid w:val="0"/>
        <w:spacing w:before="0" w:line="440" w:lineRule="exact"/>
        <w:jc w:val="left"/>
        <w:rPr>
          <w:rFonts w:cstheme="minorBidi"/>
          <w:sz w:val="24"/>
          <w:szCs w:val="24"/>
        </w:rPr>
      </w:pPr>
      <w:r>
        <w:rPr>
          <w:rFonts w:hint="eastAsia"/>
          <w:sz w:val="24"/>
        </w:rPr>
        <w:t>第一部分单位概况</w:t>
      </w:r>
    </w:p>
    <w:p>
      <w:pPr>
        <w:pStyle w:val="11"/>
        <w:adjustRightInd w:val="0"/>
        <w:snapToGrid w:val="0"/>
        <w:spacing w:line="440" w:lineRule="exact"/>
        <w:jc w:val="left"/>
        <w:rPr>
          <w:rFonts w:hint="eastAsia" w:eastAsia="宋体"/>
          <w:sz w:val="24"/>
          <w:lang w:eastAsia="zh-CN"/>
        </w:rPr>
      </w:pPr>
      <w:r>
        <w:rPr>
          <w:rFonts w:hint="eastAsia"/>
          <w:sz w:val="24"/>
        </w:rPr>
        <w:t xml:space="preserve">一、职能简介 </w:t>
      </w:r>
      <w:r>
        <w:rPr>
          <w:rFonts w:hint="eastAsia" w:ascii="宋体" w:hAnsi="宋体" w:cs="宋体"/>
          <w:sz w:val="24"/>
        </w:rPr>
        <w:t>……………………………………………………………………</w:t>
      </w:r>
      <w:r>
        <w:rPr>
          <w:rFonts w:hint="eastAsia" w:ascii="宋体" w:hAnsi="宋体" w:cs="宋体"/>
          <w:sz w:val="24"/>
          <w:lang w:val="en-US" w:eastAsia="zh-CN"/>
        </w:rPr>
        <w:t>4</w:t>
      </w:r>
    </w:p>
    <w:p>
      <w:pPr>
        <w:pStyle w:val="11"/>
        <w:adjustRightInd w:val="0"/>
        <w:snapToGrid w:val="0"/>
        <w:spacing w:line="440" w:lineRule="exact"/>
        <w:jc w:val="left"/>
        <w:rPr>
          <w:rFonts w:hint="eastAsia" w:eastAsia="宋体" w:asciiTheme="minorEastAsia" w:hAnsiTheme="minorEastAsia" w:cstheme="minorEastAsia"/>
          <w:sz w:val="24"/>
          <w:lang w:eastAsia="zh-CN"/>
        </w:rPr>
      </w:pPr>
      <w:r>
        <w:rPr>
          <w:rFonts w:hint="eastAsia" w:asciiTheme="minorEastAsia" w:hAnsiTheme="minorEastAsia" w:eastAsiaTheme="minorEastAsia" w:cstheme="minorEastAsia"/>
          <w:sz w:val="24"/>
        </w:rPr>
        <w:t>二、2021年重点工作完成情况</w:t>
      </w:r>
      <w:r>
        <w:rPr>
          <w:rFonts w:hint="eastAsia" w:ascii="宋体" w:hAnsi="宋体" w:cs="宋体"/>
          <w:sz w:val="24"/>
        </w:rPr>
        <w:t>…………………………………………………</w:t>
      </w:r>
      <w:r>
        <w:rPr>
          <w:rFonts w:hint="eastAsia" w:ascii="宋体" w:hAnsi="宋体" w:cs="宋体"/>
          <w:sz w:val="24"/>
          <w:lang w:val="en-US" w:eastAsia="zh-CN"/>
        </w:rPr>
        <w:t>4</w:t>
      </w:r>
    </w:p>
    <w:p>
      <w:pPr>
        <w:pStyle w:val="10"/>
        <w:adjustRightInd w:val="0"/>
        <w:snapToGrid w:val="0"/>
        <w:spacing w:before="0" w:line="440" w:lineRule="exact"/>
        <w:jc w:val="left"/>
        <w:rPr>
          <w:rFonts w:hint="eastAsia" w:eastAsia="仿宋"/>
          <w:sz w:val="24"/>
          <w:szCs w:val="24"/>
          <w:lang w:eastAsia="zh-CN"/>
        </w:rPr>
      </w:pPr>
      <w:r>
        <w:rPr>
          <w:rFonts w:hint="eastAsia"/>
          <w:sz w:val="24"/>
        </w:rPr>
        <w:t>第二部分 2021年度单位决算情况说明</w:t>
      </w:r>
      <w:r>
        <w:rPr>
          <w:rFonts w:hint="eastAsia" w:ascii="宋体" w:hAnsi="宋体" w:cs="宋体"/>
          <w:sz w:val="24"/>
        </w:rPr>
        <w:t>……………………………………………</w:t>
      </w:r>
      <w:r>
        <w:rPr>
          <w:rFonts w:hint="eastAsia" w:ascii="宋体" w:hAnsi="宋体" w:cs="宋体"/>
          <w:sz w:val="24"/>
          <w:lang w:val="en-US" w:eastAsia="zh-CN"/>
        </w:rPr>
        <w:t>5</w:t>
      </w:r>
    </w:p>
    <w:p>
      <w:pPr>
        <w:pStyle w:val="11"/>
        <w:adjustRightInd w:val="0"/>
        <w:snapToGrid w:val="0"/>
        <w:spacing w:line="440" w:lineRule="exact"/>
        <w:jc w:val="left"/>
        <w:rPr>
          <w:rFonts w:hint="eastAsia" w:ascii="仿宋" w:hAnsi="仿宋" w:eastAsia="宋体" w:cstheme="minorBidi"/>
          <w:sz w:val="24"/>
          <w:lang w:eastAsia="zh-CN"/>
        </w:rPr>
      </w:pPr>
      <w:r>
        <w:rPr>
          <w:rFonts w:hint="eastAsia"/>
          <w:sz w:val="24"/>
        </w:rPr>
        <w:t>一、收入支出决算总体情况说明</w:t>
      </w:r>
      <w:r>
        <w:rPr>
          <w:rFonts w:hint="eastAsia" w:ascii="宋体" w:hAnsi="宋体" w:cs="宋体"/>
          <w:sz w:val="24"/>
        </w:rPr>
        <w:t>………………………………………………</w:t>
      </w:r>
      <w:r>
        <w:rPr>
          <w:rFonts w:hint="eastAsia" w:ascii="宋体" w:hAnsi="宋体" w:cs="宋体"/>
          <w:sz w:val="24"/>
          <w:lang w:val="en-US" w:eastAsia="zh-CN"/>
        </w:rPr>
        <w:t>5</w:t>
      </w:r>
    </w:p>
    <w:p>
      <w:pPr>
        <w:pStyle w:val="11"/>
        <w:adjustRightInd w:val="0"/>
        <w:snapToGrid w:val="0"/>
        <w:spacing w:line="440" w:lineRule="exact"/>
        <w:jc w:val="left"/>
        <w:rPr>
          <w:rFonts w:hint="eastAsia" w:ascii="仿宋" w:hAnsi="仿宋" w:eastAsia="宋体" w:cstheme="minorBidi"/>
          <w:sz w:val="24"/>
          <w:lang w:eastAsia="zh-CN"/>
        </w:rPr>
      </w:pPr>
      <w:r>
        <w:rPr>
          <w:rFonts w:hint="eastAsia"/>
          <w:sz w:val="24"/>
        </w:rPr>
        <w:t>二、收入决算情况说明</w:t>
      </w:r>
      <w:r>
        <w:rPr>
          <w:rFonts w:hint="eastAsia" w:ascii="宋体" w:hAnsi="宋体" w:cs="宋体"/>
          <w:sz w:val="24"/>
        </w:rPr>
        <w:t>…………………………………………………………</w:t>
      </w:r>
      <w:r>
        <w:rPr>
          <w:rFonts w:hint="eastAsia" w:ascii="宋体" w:hAnsi="宋体" w:cs="宋体"/>
          <w:sz w:val="24"/>
          <w:lang w:val="en-US" w:eastAsia="zh-CN"/>
        </w:rPr>
        <w:t>6</w:t>
      </w:r>
    </w:p>
    <w:p>
      <w:pPr>
        <w:pStyle w:val="11"/>
        <w:adjustRightInd w:val="0"/>
        <w:snapToGrid w:val="0"/>
        <w:spacing w:line="440" w:lineRule="exact"/>
        <w:jc w:val="left"/>
        <w:rPr>
          <w:rFonts w:hint="eastAsia" w:ascii="仿宋" w:hAnsi="仿宋" w:eastAsia="宋体" w:cstheme="minorBidi"/>
          <w:sz w:val="24"/>
          <w:lang w:eastAsia="zh-CN"/>
        </w:rPr>
      </w:pPr>
      <w:r>
        <w:rPr>
          <w:rFonts w:hint="eastAsia"/>
          <w:sz w:val="24"/>
        </w:rPr>
        <w:t>三、支出决算情况说明</w:t>
      </w:r>
      <w:r>
        <w:rPr>
          <w:rFonts w:hint="eastAsia" w:ascii="宋体" w:hAnsi="宋体" w:cs="宋体"/>
          <w:sz w:val="24"/>
        </w:rPr>
        <w:t>…………………………………………………………</w:t>
      </w:r>
      <w:r>
        <w:rPr>
          <w:rFonts w:hint="eastAsia" w:ascii="宋体" w:hAnsi="宋体" w:cs="宋体"/>
          <w:sz w:val="24"/>
          <w:lang w:val="en-US" w:eastAsia="zh-CN"/>
        </w:rPr>
        <w:t>7</w:t>
      </w:r>
    </w:p>
    <w:p>
      <w:pPr>
        <w:pStyle w:val="11"/>
        <w:adjustRightInd w:val="0"/>
        <w:snapToGrid w:val="0"/>
        <w:spacing w:line="440" w:lineRule="exact"/>
        <w:jc w:val="left"/>
        <w:rPr>
          <w:rFonts w:hint="eastAsia" w:ascii="仿宋" w:hAnsi="仿宋" w:eastAsia="宋体" w:cstheme="minorBidi"/>
          <w:sz w:val="24"/>
          <w:lang w:eastAsia="zh-CN"/>
        </w:rPr>
      </w:pPr>
      <w:r>
        <w:rPr>
          <w:rFonts w:hint="eastAsia"/>
          <w:sz w:val="24"/>
        </w:rPr>
        <w:t>四、财政拨款收入支出决算总体情况说明</w:t>
      </w:r>
      <w:r>
        <w:rPr>
          <w:rFonts w:hint="eastAsia" w:ascii="宋体" w:hAnsi="宋体" w:cs="宋体"/>
          <w:sz w:val="24"/>
        </w:rPr>
        <w:t>……………………………………</w:t>
      </w:r>
      <w:r>
        <w:rPr>
          <w:rFonts w:hint="eastAsia" w:ascii="宋体" w:hAnsi="宋体" w:cs="宋体"/>
          <w:sz w:val="24"/>
          <w:lang w:val="en-US" w:eastAsia="zh-CN"/>
        </w:rPr>
        <w:t>7</w:t>
      </w:r>
    </w:p>
    <w:p>
      <w:pPr>
        <w:pStyle w:val="11"/>
        <w:adjustRightInd w:val="0"/>
        <w:snapToGrid w:val="0"/>
        <w:spacing w:line="440" w:lineRule="exact"/>
        <w:jc w:val="left"/>
        <w:rPr>
          <w:rFonts w:hint="eastAsia" w:ascii="仿宋" w:hAnsi="仿宋" w:eastAsia="宋体" w:cstheme="minorBidi"/>
          <w:sz w:val="24"/>
          <w:lang w:eastAsia="zh-CN"/>
        </w:rPr>
      </w:pPr>
      <w:r>
        <w:rPr>
          <w:rFonts w:hint="eastAsia"/>
          <w:sz w:val="24"/>
        </w:rPr>
        <w:t>五、一般公共预算财政拨款支出决算情况说明</w:t>
      </w:r>
      <w:r>
        <w:rPr>
          <w:rFonts w:hint="eastAsia" w:ascii="宋体" w:hAnsi="宋体" w:cs="宋体"/>
          <w:sz w:val="24"/>
        </w:rPr>
        <w:t>………………………………</w:t>
      </w:r>
      <w:r>
        <w:rPr>
          <w:rFonts w:hint="eastAsia" w:ascii="宋体" w:hAnsi="宋体" w:cs="宋体"/>
          <w:sz w:val="24"/>
          <w:lang w:val="en-US" w:eastAsia="zh-CN"/>
        </w:rPr>
        <w:t>8</w:t>
      </w:r>
    </w:p>
    <w:p>
      <w:pPr>
        <w:pStyle w:val="11"/>
        <w:adjustRightInd w:val="0"/>
        <w:snapToGrid w:val="0"/>
        <w:spacing w:line="440" w:lineRule="exact"/>
        <w:jc w:val="left"/>
        <w:rPr>
          <w:rFonts w:hint="default" w:ascii="仿宋" w:hAnsi="仿宋" w:eastAsia="宋体" w:cstheme="minorBidi"/>
          <w:sz w:val="24"/>
          <w:lang w:val="en-US" w:eastAsia="zh-CN"/>
        </w:rPr>
      </w:pPr>
      <w:r>
        <w:rPr>
          <w:rFonts w:hint="eastAsia"/>
          <w:sz w:val="24"/>
        </w:rPr>
        <w:t>六、一般公共预算财政拨款基本支出决算情况说明</w:t>
      </w:r>
      <w:r>
        <w:rPr>
          <w:rFonts w:hint="eastAsia" w:ascii="宋体" w:hAnsi="宋体" w:cs="宋体"/>
          <w:sz w:val="24"/>
        </w:rPr>
        <w:t>…………………………</w:t>
      </w:r>
      <w:r>
        <w:rPr>
          <w:rFonts w:hint="eastAsia" w:ascii="宋体" w:hAnsi="宋体" w:cs="宋体"/>
          <w:sz w:val="24"/>
          <w:lang w:val="en-US" w:eastAsia="zh-CN"/>
        </w:rPr>
        <w:t>11</w:t>
      </w:r>
    </w:p>
    <w:p>
      <w:pPr>
        <w:pStyle w:val="11"/>
        <w:adjustRightInd w:val="0"/>
        <w:snapToGrid w:val="0"/>
        <w:spacing w:line="440" w:lineRule="exact"/>
        <w:jc w:val="left"/>
        <w:rPr>
          <w:rFonts w:hint="default" w:ascii="仿宋" w:hAnsi="仿宋" w:eastAsia="宋体" w:cstheme="minorBidi"/>
          <w:sz w:val="24"/>
          <w:lang w:val="en-US" w:eastAsia="zh-CN"/>
        </w:rPr>
      </w:pPr>
      <w:r>
        <w:rPr>
          <w:rFonts w:hint="eastAsia"/>
          <w:sz w:val="24"/>
        </w:rPr>
        <w:t xml:space="preserve">七、“三公”经费财政拨款支出决算情况说明 </w:t>
      </w:r>
      <w:r>
        <w:rPr>
          <w:rFonts w:hint="eastAsia" w:ascii="宋体" w:hAnsi="宋体" w:cs="宋体"/>
          <w:sz w:val="24"/>
        </w:rPr>
        <w:t>……………………………</w:t>
      </w:r>
      <w:r>
        <w:rPr>
          <w:rFonts w:hint="eastAsia" w:ascii="宋体" w:hAnsi="宋体" w:cs="宋体"/>
          <w:sz w:val="24"/>
          <w:lang w:val="en-US" w:eastAsia="zh-CN"/>
        </w:rPr>
        <w:t>11</w:t>
      </w:r>
    </w:p>
    <w:p>
      <w:pPr>
        <w:pStyle w:val="11"/>
        <w:adjustRightInd w:val="0"/>
        <w:snapToGrid w:val="0"/>
        <w:spacing w:line="440" w:lineRule="exact"/>
        <w:jc w:val="left"/>
        <w:rPr>
          <w:rFonts w:ascii="仿宋" w:hAnsi="仿宋" w:eastAsia="仿宋" w:cstheme="minorBidi"/>
          <w:sz w:val="24"/>
        </w:rPr>
      </w:pPr>
      <w:r>
        <w:rPr>
          <w:rFonts w:hint="eastAsia"/>
          <w:sz w:val="24"/>
        </w:rPr>
        <w:t>八、政府性基金预算支出决算情况说明</w:t>
      </w:r>
      <w:r>
        <w:rPr>
          <w:rFonts w:hint="eastAsia" w:ascii="宋体" w:hAnsi="宋体" w:cs="宋体"/>
          <w:sz w:val="24"/>
        </w:rPr>
        <w:t>………………………………………</w:t>
      </w:r>
      <w:r>
        <w:rPr>
          <w:rFonts w:hint="eastAsia" w:ascii="宋体" w:hAnsi="宋体" w:cs="宋体"/>
          <w:sz w:val="24"/>
          <w:lang w:val="en-US" w:eastAsia="zh-CN"/>
        </w:rPr>
        <w:t>1</w:t>
      </w:r>
      <w:r>
        <w:rPr>
          <w:rFonts w:hint="eastAsia" w:ascii="宋体" w:hAnsi="宋体" w:cs="宋体"/>
          <w:sz w:val="24"/>
        </w:rPr>
        <w:t>2</w:t>
      </w:r>
    </w:p>
    <w:p>
      <w:pPr>
        <w:pStyle w:val="11"/>
        <w:adjustRightInd w:val="0"/>
        <w:snapToGrid w:val="0"/>
        <w:spacing w:line="440" w:lineRule="exact"/>
        <w:jc w:val="left"/>
        <w:rPr>
          <w:rFonts w:hint="default" w:eastAsia="宋体"/>
          <w:sz w:val="24"/>
          <w:lang w:val="en-US" w:eastAsia="zh-CN"/>
        </w:rPr>
      </w:pPr>
      <w:r>
        <w:rPr>
          <w:rFonts w:hint="eastAsia"/>
          <w:sz w:val="24"/>
        </w:rPr>
        <w:t>九、国有资本经营预算支出决算情况说明</w:t>
      </w:r>
      <w:r>
        <w:rPr>
          <w:rFonts w:hint="eastAsia" w:ascii="宋体" w:hAnsi="宋体" w:cs="宋体"/>
          <w:sz w:val="24"/>
        </w:rPr>
        <w:t>……………………………………</w:t>
      </w:r>
      <w:r>
        <w:rPr>
          <w:rFonts w:hint="eastAsia" w:ascii="宋体" w:hAnsi="宋体" w:cs="宋体"/>
          <w:sz w:val="24"/>
          <w:lang w:val="en-US" w:eastAsia="zh-CN"/>
        </w:rPr>
        <w:t>12</w:t>
      </w:r>
    </w:p>
    <w:p>
      <w:pPr>
        <w:pStyle w:val="11"/>
        <w:adjustRightInd w:val="0"/>
        <w:snapToGrid w:val="0"/>
        <w:spacing w:line="440" w:lineRule="exact"/>
        <w:jc w:val="left"/>
        <w:rPr>
          <w:rFonts w:hint="default" w:eastAsia="宋体"/>
          <w:sz w:val="24"/>
          <w:lang w:val="en-US" w:eastAsia="zh-CN"/>
        </w:rPr>
      </w:pPr>
      <w:r>
        <w:rPr>
          <w:rFonts w:hint="eastAsia"/>
          <w:sz w:val="24"/>
        </w:rPr>
        <w:t>十、其他重要事项的情况说明</w:t>
      </w:r>
      <w:r>
        <w:rPr>
          <w:rFonts w:hint="eastAsia" w:ascii="宋体" w:hAnsi="宋体" w:cs="宋体"/>
          <w:sz w:val="24"/>
        </w:rPr>
        <w:t>…………………………………………………</w:t>
      </w:r>
      <w:r>
        <w:rPr>
          <w:rFonts w:hint="eastAsia" w:ascii="宋体" w:hAnsi="宋体" w:cs="宋体"/>
          <w:sz w:val="24"/>
          <w:lang w:val="en-US" w:eastAsia="zh-CN"/>
        </w:rPr>
        <w:t>13</w:t>
      </w:r>
    </w:p>
    <w:p>
      <w:pPr>
        <w:pStyle w:val="10"/>
        <w:adjustRightInd w:val="0"/>
        <w:snapToGrid w:val="0"/>
        <w:spacing w:before="0" w:line="440" w:lineRule="exact"/>
        <w:jc w:val="left"/>
        <w:rPr>
          <w:rFonts w:hint="default" w:eastAsia="仿宋" w:cstheme="minorBidi"/>
          <w:sz w:val="24"/>
          <w:szCs w:val="24"/>
          <w:lang w:val="en-US" w:eastAsia="zh-CN"/>
        </w:rPr>
      </w:pPr>
      <w:r>
        <w:rPr>
          <w:rFonts w:hint="eastAsia"/>
          <w:sz w:val="24"/>
        </w:rPr>
        <w:t xml:space="preserve">第三部分名词解释 </w:t>
      </w:r>
      <w:r>
        <w:rPr>
          <w:rFonts w:hint="eastAsia" w:ascii="宋体" w:hAnsi="宋体" w:cs="宋体"/>
          <w:sz w:val="24"/>
        </w:rPr>
        <w:t>…………………………………………………………………</w:t>
      </w:r>
      <w:r>
        <w:rPr>
          <w:rFonts w:hint="eastAsia" w:ascii="宋体" w:hAnsi="宋体" w:cs="宋体"/>
          <w:sz w:val="24"/>
          <w:lang w:val="en-US" w:eastAsia="zh-CN"/>
        </w:rPr>
        <w:t>14</w:t>
      </w:r>
    </w:p>
    <w:p>
      <w:pPr>
        <w:pStyle w:val="10"/>
        <w:bidi w:val="0"/>
        <w:rPr>
          <w:rFonts w:hint="default" w:eastAsia="仿宋" w:cstheme="minorBidi"/>
          <w:sz w:val="24"/>
          <w:szCs w:val="24"/>
          <w:lang w:val="en-US" w:eastAsia="zh-CN"/>
        </w:rPr>
      </w:pPr>
      <w:r>
        <w:rPr>
          <w:rFonts w:hint="eastAsia"/>
          <w:sz w:val="24"/>
        </w:rPr>
        <w:t xml:space="preserve">第四部分附件 </w:t>
      </w:r>
      <w:r>
        <w:rPr>
          <w:rFonts w:hint="eastAsia" w:ascii="宋体" w:hAnsi="宋体" w:cs="宋体"/>
          <w:sz w:val="24"/>
        </w:rPr>
        <w:t>………………………………………………………………………</w:t>
      </w:r>
      <w:r>
        <w:rPr>
          <w:rFonts w:hint="eastAsia" w:ascii="宋体" w:hAnsi="宋体" w:cs="宋体"/>
          <w:sz w:val="24"/>
          <w:lang w:val="en-US" w:eastAsia="zh-CN"/>
        </w:rPr>
        <w:t>17</w:t>
      </w:r>
    </w:p>
    <w:p>
      <w:pPr>
        <w:pStyle w:val="10"/>
        <w:adjustRightInd w:val="0"/>
        <w:snapToGrid w:val="0"/>
        <w:spacing w:before="0" w:line="440" w:lineRule="exact"/>
        <w:jc w:val="left"/>
        <w:rPr>
          <w:rFonts w:hint="default" w:eastAsia="仿宋" w:cstheme="minorBidi"/>
          <w:sz w:val="24"/>
          <w:szCs w:val="24"/>
          <w:lang w:val="en-US" w:eastAsia="zh-CN"/>
        </w:rPr>
      </w:pPr>
      <w:r>
        <w:rPr>
          <w:rFonts w:hint="eastAsia"/>
          <w:sz w:val="24"/>
        </w:rPr>
        <w:t xml:space="preserve">第五部分附表 </w:t>
      </w:r>
      <w:r>
        <w:rPr>
          <w:rFonts w:hint="eastAsia" w:ascii="宋体" w:hAnsi="宋体" w:cs="宋体"/>
          <w:sz w:val="24"/>
        </w:rPr>
        <w:t>………………………………………………………………………</w:t>
      </w:r>
      <w:r>
        <w:rPr>
          <w:rFonts w:hint="eastAsia" w:ascii="宋体" w:hAnsi="宋体" w:cs="宋体"/>
          <w:sz w:val="24"/>
          <w:lang w:val="en-US" w:eastAsia="zh-CN"/>
        </w:rPr>
        <w:t>18</w:t>
      </w:r>
    </w:p>
    <w:p>
      <w:pPr>
        <w:pStyle w:val="11"/>
        <w:adjustRightInd w:val="0"/>
        <w:snapToGrid w:val="0"/>
        <w:spacing w:line="440" w:lineRule="exact"/>
        <w:jc w:val="left"/>
        <w:rPr>
          <w:rFonts w:hint="default" w:eastAsia="宋体"/>
          <w:sz w:val="24"/>
          <w:lang w:val="en-US" w:eastAsia="zh-CN"/>
        </w:rPr>
      </w:pPr>
      <w:r>
        <w:rPr>
          <w:rFonts w:hint="eastAsia"/>
          <w:sz w:val="24"/>
        </w:rPr>
        <w:t>一、收入支出决算总表</w:t>
      </w:r>
      <w:r>
        <w:rPr>
          <w:rFonts w:hint="eastAsia" w:ascii="宋体" w:hAnsi="宋体" w:cs="宋体"/>
          <w:sz w:val="24"/>
        </w:rPr>
        <w:t>…………………………………………………………</w:t>
      </w:r>
      <w:r>
        <w:rPr>
          <w:rFonts w:hint="eastAsia" w:ascii="宋体" w:hAnsi="宋体" w:cs="宋体"/>
          <w:sz w:val="24"/>
          <w:lang w:val="en-US" w:eastAsia="zh-CN"/>
        </w:rPr>
        <w:t>19</w:t>
      </w:r>
    </w:p>
    <w:p>
      <w:pPr>
        <w:pStyle w:val="11"/>
        <w:adjustRightInd w:val="0"/>
        <w:snapToGrid w:val="0"/>
        <w:spacing w:line="440" w:lineRule="exact"/>
        <w:jc w:val="left"/>
        <w:rPr>
          <w:rFonts w:hint="default" w:eastAsia="宋体"/>
          <w:sz w:val="24"/>
          <w:lang w:val="en-US" w:eastAsia="zh-CN"/>
        </w:rPr>
      </w:pPr>
      <w:r>
        <w:rPr>
          <w:rFonts w:hint="eastAsia"/>
          <w:sz w:val="24"/>
        </w:rPr>
        <w:t>二、收入决算表</w:t>
      </w:r>
      <w:r>
        <w:rPr>
          <w:rFonts w:hint="eastAsia" w:ascii="宋体" w:hAnsi="宋体" w:cs="宋体"/>
          <w:sz w:val="24"/>
        </w:rPr>
        <w:t>…………………………………………………………………</w:t>
      </w:r>
      <w:r>
        <w:rPr>
          <w:rFonts w:hint="eastAsia" w:ascii="宋体" w:hAnsi="宋体" w:cs="宋体"/>
          <w:sz w:val="24"/>
          <w:lang w:val="en-US" w:eastAsia="zh-CN"/>
        </w:rPr>
        <w:t>19</w:t>
      </w:r>
      <w:r>
        <w:rPr>
          <w:rFonts w:hint="eastAsia"/>
          <w:sz w:val="24"/>
        </w:rPr>
        <w:t>三、支出决算表</w:t>
      </w:r>
      <w:r>
        <w:rPr>
          <w:rFonts w:hint="eastAsia" w:ascii="宋体" w:hAnsi="宋体" w:cs="宋体"/>
          <w:sz w:val="24"/>
        </w:rPr>
        <w:t>…………………………………………………………………</w:t>
      </w:r>
      <w:r>
        <w:rPr>
          <w:rFonts w:hint="eastAsia" w:ascii="宋体" w:hAnsi="宋体" w:cs="宋体"/>
          <w:sz w:val="24"/>
          <w:lang w:val="en-US" w:eastAsia="zh-CN"/>
        </w:rPr>
        <w:t>20</w:t>
      </w:r>
    </w:p>
    <w:p>
      <w:pPr>
        <w:pStyle w:val="11"/>
        <w:adjustRightInd w:val="0"/>
        <w:snapToGrid w:val="0"/>
        <w:spacing w:line="440" w:lineRule="exact"/>
        <w:jc w:val="left"/>
        <w:rPr>
          <w:rFonts w:hint="eastAsia" w:eastAsia="宋体"/>
          <w:sz w:val="24"/>
          <w:lang w:val="en-US" w:eastAsia="zh-CN"/>
        </w:rPr>
      </w:pPr>
      <w:r>
        <w:rPr>
          <w:rFonts w:hint="eastAsia"/>
          <w:sz w:val="24"/>
        </w:rPr>
        <w:t>四、财政拨款收入支出决算总表</w:t>
      </w:r>
      <w:r>
        <w:rPr>
          <w:rFonts w:hint="eastAsia" w:ascii="宋体" w:hAnsi="宋体" w:cs="宋体"/>
          <w:sz w:val="24"/>
        </w:rPr>
        <w:t>………………………………………………2</w:t>
      </w:r>
      <w:r>
        <w:rPr>
          <w:rFonts w:hint="eastAsia" w:ascii="宋体" w:hAnsi="宋体" w:cs="宋体"/>
          <w:sz w:val="24"/>
          <w:lang w:val="en-US" w:eastAsia="zh-CN"/>
        </w:rPr>
        <w:t>1</w:t>
      </w:r>
    </w:p>
    <w:p>
      <w:pPr>
        <w:pStyle w:val="11"/>
        <w:adjustRightInd w:val="0"/>
        <w:snapToGrid w:val="0"/>
        <w:spacing w:line="440" w:lineRule="exact"/>
        <w:jc w:val="left"/>
        <w:rPr>
          <w:rFonts w:hint="eastAsia" w:eastAsia="宋体"/>
          <w:sz w:val="24"/>
          <w:lang w:val="en-US" w:eastAsia="zh-CN"/>
        </w:rPr>
      </w:pPr>
      <w:r>
        <w:rPr>
          <w:rFonts w:hint="eastAsia"/>
          <w:sz w:val="24"/>
        </w:rPr>
        <w:t>五、财政拨款支出决算明细表</w:t>
      </w:r>
      <w:r>
        <w:rPr>
          <w:rFonts w:hint="eastAsia" w:ascii="宋体" w:hAnsi="宋体" w:cs="宋体"/>
          <w:sz w:val="24"/>
        </w:rPr>
        <w:t>…………………………………………………2</w:t>
      </w:r>
      <w:r>
        <w:rPr>
          <w:rFonts w:hint="eastAsia" w:ascii="宋体" w:hAnsi="宋体" w:cs="宋体"/>
          <w:sz w:val="24"/>
          <w:lang w:val="en-US" w:eastAsia="zh-CN"/>
        </w:rPr>
        <w:t>2</w:t>
      </w:r>
    </w:p>
    <w:p>
      <w:pPr>
        <w:pStyle w:val="11"/>
        <w:adjustRightInd w:val="0"/>
        <w:snapToGrid w:val="0"/>
        <w:spacing w:line="440" w:lineRule="exact"/>
        <w:jc w:val="left"/>
        <w:rPr>
          <w:rFonts w:hint="eastAsia" w:eastAsia="宋体"/>
          <w:sz w:val="24"/>
          <w:lang w:val="en-US" w:eastAsia="zh-CN"/>
        </w:rPr>
      </w:pPr>
      <w:r>
        <w:rPr>
          <w:rFonts w:hint="eastAsia"/>
          <w:sz w:val="24"/>
        </w:rPr>
        <w:t>六、一般公共预算财政拨款支出决算表</w:t>
      </w:r>
      <w:r>
        <w:rPr>
          <w:rFonts w:hint="eastAsia" w:ascii="宋体" w:hAnsi="宋体" w:cs="宋体"/>
          <w:sz w:val="24"/>
        </w:rPr>
        <w:t>………………………………………2</w:t>
      </w:r>
      <w:r>
        <w:rPr>
          <w:rFonts w:hint="eastAsia" w:ascii="宋体" w:hAnsi="宋体" w:cs="宋体"/>
          <w:sz w:val="24"/>
          <w:lang w:val="en-US" w:eastAsia="zh-CN"/>
        </w:rPr>
        <w:t>3</w:t>
      </w:r>
    </w:p>
    <w:p>
      <w:pPr>
        <w:pStyle w:val="11"/>
        <w:adjustRightInd w:val="0"/>
        <w:snapToGrid w:val="0"/>
        <w:spacing w:line="440" w:lineRule="exact"/>
        <w:jc w:val="left"/>
        <w:rPr>
          <w:rFonts w:hint="eastAsia" w:eastAsia="宋体"/>
          <w:sz w:val="24"/>
          <w:lang w:val="en-US" w:eastAsia="zh-CN"/>
        </w:rPr>
      </w:pPr>
      <w:r>
        <w:rPr>
          <w:rFonts w:hint="eastAsia"/>
          <w:sz w:val="24"/>
        </w:rPr>
        <w:t>七、一般公共预算财政拨款支出决算明细表</w:t>
      </w:r>
      <w:r>
        <w:rPr>
          <w:rFonts w:hint="eastAsia" w:ascii="宋体" w:hAnsi="宋体" w:cs="宋体"/>
          <w:sz w:val="24"/>
        </w:rPr>
        <w:t>…………………………………2</w:t>
      </w:r>
      <w:r>
        <w:rPr>
          <w:rFonts w:hint="eastAsia" w:ascii="宋体" w:hAnsi="宋体" w:cs="宋体"/>
          <w:sz w:val="24"/>
          <w:lang w:val="en-US" w:eastAsia="zh-CN"/>
        </w:rPr>
        <w:t>4</w:t>
      </w:r>
    </w:p>
    <w:p>
      <w:pPr>
        <w:pStyle w:val="11"/>
        <w:adjustRightInd w:val="0"/>
        <w:snapToGrid w:val="0"/>
        <w:spacing w:line="440" w:lineRule="exact"/>
        <w:jc w:val="left"/>
        <w:rPr>
          <w:rFonts w:hint="default" w:eastAsia="宋体"/>
          <w:sz w:val="24"/>
          <w:lang w:val="en-US" w:eastAsia="zh-CN"/>
        </w:rPr>
      </w:pPr>
      <w:r>
        <w:rPr>
          <w:rFonts w:hint="eastAsia"/>
          <w:sz w:val="24"/>
        </w:rPr>
        <w:t>八、一般公共预算财政拨款基本支出决算表</w:t>
      </w:r>
      <w:r>
        <w:rPr>
          <w:rFonts w:hint="eastAsia" w:ascii="宋体" w:hAnsi="宋体" w:cs="宋体"/>
          <w:sz w:val="24"/>
        </w:rPr>
        <w:t>…………………………………</w:t>
      </w:r>
      <w:r>
        <w:rPr>
          <w:rFonts w:hint="eastAsia" w:ascii="宋体" w:hAnsi="宋体" w:cs="宋体"/>
          <w:sz w:val="24"/>
          <w:lang w:val="en-US" w:eastAsia="zh-CN"/>
        </w:rPr>
        <w:t>25</w:t>
      </w:r>
    </w:p>
    <w:p>
      <w:pPr>
        <w:pStyle w:val="11"/>
        <w:adjustRightInd w:val="0"/>
        <w:snapToGrid w:val="0"/>
        <w:spacing w:line="440" w:lineRule="exact"/>
        <w:jc w:val="left"/>
        <w:rPr>
          <w:rFonts w:hint="eastAsia" w:eastAsia="宋体"/>
          <w:sz w:val="24"/>
          <w:lang w:val="en-US" w:eastAsia="zh-CN"/>
        </w:rPr>
      </w:pPr>
      <w:r>
        <w:rPr>
          <w:rFonts w:hint="eastAsia"/>
          <w:sz w:val="24"/>
        </w:rPr>
        <w:t>九、一般公共预算财政拨款项目支出决算表</w:t>
      </w:r>
      <w:r>
        <w:rPr>
          <w:rFonts w:hint="eastAsia" w:ascii="宋体" w:hAnsi="宋体" w:cs="宋体"/>
          <w:sz w:val="24"/>
        </w:rPr>
        <w:t>…………………………………2</w:t>
      </w:r>
      <w:r>
        <w:rPr>
          <w:rFonts w:hint="eastAsia" w:ascii="宋体" w:hAnsi="宋体" w:cs="宋体"/>
          <w:sz w:val="24"/>
          <w:lang w:val="en-US" w:eastAsia="zh-CN"/>
        </w:rPr>
        <w:t>5</w:t>
      </w:r>
    </w:p>
    <w:p>
      <w:pPr>
        <w:pStyle w:val="11"/>
        <w:adjustRightInd w:val="0"/>
        <w:snapToGrid w:val="0"/>
        <w:spacing w:line="440" w:lineRule="exact"/>
        <w:jc w:val="left"/>
        <w:rPr>
          <w:rFonts w:hint="eastAsia" w:eastAsia="宋体"/>
          <w:sz w:val="24"/>
          <w:lang w:val="en-US" w:eastAsia="zh-CN"/>
        </w:rPr>
      </w:pPr>
      <w:r>
        <w:rPr>
          <w:rFonts w:hint="eastAsia"/>
          <w:sz w:val="24"/>
        </w:rPr>
        <w:t>十、一般公共预算财政拨款“三公”经费支出决算表</w:t>
      </w:r>
      <w:r>
        <w:rPr>
          <w:rFonts w:hint="eastAsia" w:ascii="宋体" w:hAnsi="宋体" w:cs="宋体"/>
          <w:sz w:val="24"/>
        </w:rPr>
        <w:t>………………………2</w:t>
      </w:r>
      <w:r>
        <w:rPr>
          <w:rFonts w:hint="eastAsia" w:ascii="宋体" w:hAnsi="宋体" w:cs="宋体"/>
          <w:sz w:val="24"/>
          <w:lang w:val="en-US" w:eastAsia="zh-CN"/>
        </w:rPr>
        <w:t>6</w:t>
      </w:r>
    </w:p>
    <w:p>
      <w:pPr>
        <w:pStyle w:val="11"/>
        <w:adjustRightInd w:val="0"/>
        <w:snapToGrid w:val="0"/>
        <w:spacing w:line="440" w:lineRule="exact"/>
        <w:jc w:val="left"/>
        <w:rPr>
          <w:rFonts w:hint="eastAsia" w:eastAsia="宋体"/>
          <w:sz w:val="24"/>
          <w:lang w:val="en-US" w:eastAsia="zh-CN"/>
        </w:rPr>
      </w:pPr>
      <w:r>
        <w:rPr>
          <w:rFonts w:hint="eastAsia"/>
          <w:sz w:val="24"/>
        </w:rPr>
        <w:t>十一、政府性基金预算财政拨款收入支出决算表</w:t>
      </w:r>
      <w:r>
        <w:rPr>
          <w:rFonts w:hint="eastAsia" w:ascii="宋体" w:hAnsi="宋体" w:cs="宋体"/>
          <w:sz w:val="24"/>
        </w:rPr>
        <w:t>……………………………2</w:t>
      </w:r>
      <w:r>
        <w:rPr>
          <w:rFonts w:hint="eastAsia" w:ascii="宋体" w:hAnsi="宋体" w:cs="宋体"/>
          <w:sz w:val="24"/>
          <w:lang w:val="en-US" w:eastAsia="zh-CN"/>
        </w:rPr>
        <w:t>6</w:t>
      </w:r>
    </w:p>
    <w:p>
      <w:pPr>
        <w:pStyle w:val="11"/>
        <w:adjustRightInd w:val="0"/>
        <w:snapToGrid w:val="0"/>
        <w:spacing w:line="440" w:lineRule="exact"/>
        <w:jc w:val="left"/>
        <w:rPr>
          <w:rFonts w:hint="eastAsia" w:eastAsia="宋体"/>
          <w:sz w:val="24"/>
          <w:lang w:val="en-US" w:eastAsia="zh-CN"/>
        </w:rPr>
      </w:pPr>
      <w:r>
        <w:rPr>
          <w:rFonts w:hint="eastAsia"/>
          <w:sz w:val="24"/>
        </w:rPr>
        <w:t>十二、政府性基金预算财政拨款“三公”经费支出决算表</w:t>
      </w:r>
      <w:r>
        <w:rPr>
          <w:rFonts w:hint="eastAsia" w:ascii="宋体" w:hAnsi="宋体" w:cs="宋体"/>
          <w:sz w:val="24"/>
        </w:rPr>
        <w:t>…………………2</w:t>
      </w:r>
      <w:r>
        <w:rPr>
          <w:rFonts w:hint="eastAsia"/>
          <w:sz w:val="24"/>
          <w:lang w:val="en-US" w:eastAsia="zh-CN"/>
        </w:rPr>
        <w:t>6</w:t>
      </w:r>
      <w:r>
        <w:rPr>
          <w:rFonts w:hint="eastAsia"/>
          <w:sz w:val="24"/>
        </w:rPr>
        <w:t>十三、国有资本经营预算财政拨款收入支出决算表</w:t>
      </w:r>
      <w:r>
        <w:rPr>
          <w:rFonts w:hint="eastAsia" w:ascii="宋体" w:hAnsi="宋体" w:cs="宋体"/>
          <w:sz w:val="24"/>
        </w:rPr>
        <w:t>…………………………2</w:t>
      </w:r>
      <w:r>
        <w:rPr>
          <w:rFonts w:hint="eastAsia" w:ascii="宋体" w:hAnsi="宋体" w:cs="宋体"/>
          <w:sz w:val="24"/>
          <w:lang w:val="en-US" w:eastAsia="zh-CN"/>
        </w:rPr>
        <w:t>6</w:t>
      </w:r>
    </w:p>
    <w:p>
      <w:pPr>
        <w:pStyle w:val="11"/>
        <w:adjustRightInd w:val="0"/>
        <w:snapToGrid w:val="0"/>
        <w:spacing w:line="440" w:lineRule="exact"/>
        <w:jc w:val="left"/>
        <w:rPr>
          <w:rFonts w:hint="eastAsia" w:eastAsia="宋体"/>
          <w:sz w:val="24"/>
          <w:lang w:val="en-US" w:eastAsia="zh-CN"/>
        </w:rPr>
      </w:pPr>
      <w:r>
        <w:rPr>
          <w:rFonts w:hint="eastAsia"/>
          <w:sz w:val="24"/>
        </w:rPr>
        <w:t>十四、国有资本经营预算财政拨款支出决算表</w:t>
      </w:r>
      <w:r>
        <w:rPr>
          <w:rFonts w:hint="eastAsia" w:ascii="宋体" w:hAnsi="宋体" w:cs="宋体"/>
          <w:sz w:val="24"/>
        </w:rPr>
        <w:t>………………………………2</w:t>
      </w:r>
      <w:r>
        <w:rPr>
          <w:rFonts w:hint="eastAsia" w:ascii="宋体" w:hAnsi="宋体" w:cs="宋体"/>
          <w:sz w:val="24"/>
          <w:lang w:val="en-US" w:eastAsia="zh-CN"/>
        </w:rPr>
        <w:t>7</w:t>
      </w:r>
      <w:bookmarkStart w:id="67" w:name="_GoBack"/>
      <w:bookmarkEnd w:id="67"/>
    </w:p>
    <w:p>
      <w:pPr>
        <w:widowControl/>
        <w:adjustRightInd w:val="0"/>
        <w:snapToGrid w:val="0"/>
        <w:spacing w:line="440" w:lineRule="exact"/>
        <w:ind w:firstLine="1325" w:firstLineChars="550"/>
        <w:jc w:val="left"/>
        <w:rPr>
          <w:rFonts w:ascii="仿宋" w:hAnsi="仿宋" w:eastAsia="仿宋"/>
          <w:bCs/>
          <w:kern w:val="44"/>
          <w:sz w:val="24"/>
        </w:rPr>
      </w:pPr>
      <w:bookmarkStart w:id="12" w:name="_Toc15377196"/>
      <w:bookmarkStart w:id="13" w:name="_Toc15396599"/>
      <w:r>
        <w:rPr>
          <w:rFonts w:ascii="仿宋" w:hAnsi="仿宋" w:eastAsia="仿宋"/>
          <w:b/>
          <w:sz w:val="24"/>
        </w:rPr>
        <w:br w:type="page"/>
      </w:r>
    </w:p>
    <w:p>
      <w:pPr>
        <w:pStyle w:val="3"/>
        <w:jc w:val="center"/>
        <w:rPr>
          <w:rStyle w:val="24"/>
          <w:rFonts w:ascii="黑体" w:hAnsi="黑体" w:eastAsia="黑体"/>
          <w:b/>
          <w:bCs w:val="0"/>
        </w:rPr>
      </w:pPr>
      <w:r>
        <w:rPr>
          <w:rFonts w:hint="eastAsia" w:ascii="黑体" w:hAnsi="黑体" w:eastAsia="黑体"/>
          <w:b w:val="0"/>
        </w:rPr>
        <w:t>第一部分 单位</w:t>
      </w:r>
      <w:r>
        <w:rPr>
          <w:rStyle w:val="24"/>
          <w:rFonts w:hint="eastAsia" w:ascii="黑体" w:hAnsi="黑体" w:eastAsia="黑体"/>
          <w:b w:val="0"/>
          <w:bCs w:val="0"/>
        </w:rPr>
        <w:t>概况</w:t>
      </w:r>
      <w:bookmarkEnd w:id="12"/>
      <w:bookmarkEnd w:id="13"/>
    </w:p>
    <w:p>
      <w:pPr>
        <w:widowControl/>
        <w:jc w:val="left"/>
        <w:rPr>
          <w:rFonts w:ascii="黑体" w:eastAsia="黑体"/>
          <w:sz w:val="32"/>
          <w:szCs w:val="32"/>
        </w:rPr>
      </w:pPr>
    </w:p>
    <w:p>
      <w:pPr>
        <w:pStyle w:val="4"/>
        <w:numPr>
          <w:ilvl w:val="0"/>
          <w:numId w:val="1"/>
        </w:numPr>
        <w:rPr>
          <w:rStyle w:val="25"/>
          <w:rFonts w:ascii="黑体" w:hAnsi="黑体" w:eastAsia="黑体"/>
          <w:b w:val="0"/>
          <w:bCs w:val="0"/>
        </w:rPr>
      </w:pPr>
      <w:bookmarkStart w:id="14" w:name="_Toc15377197"/>
      <w:bookmarkStart w:id="15" w:name="_Toc15396600"/>
      <w:r>
        <w:rPr>
          <w:rStyle w:val="25"/>
          <w:rFonts w:hint="eastAsia" w:ascii="黑体" w:hAnsi="黑体" w:eastAsia="黑体"/>
          <w:b w:val="0"/>
          <w:bCs w:val="0"/>
        </w:rPr>
        <w:t>职能简介</w:t>
      </w:r>
    </w:p>
    <w:p>
      <w:pPr>
        <w:rPr>
          <w:rFonts w:ascii="仿宋" w:hAnsi="仿宋" w:eastAsia="仿宋" w:cs="仿宋"/>
          <w:sz w:val="32"/>
          <w:szCs w:val="32"/>
        </w:rPr>
      </w:pPr>
      <w:r>
        <w:rPr>
          <w:rFonts w:hint="eastAsia" w:ascii="仿宋" w:hAnsi="仿宋" w:eastAsia="仿宋" w:cs="仿宋"/>
          <w:sz w:val="32"/>
          <w:szCs w:val="32"/>
        </w:rPr>
        <w:t xml:space="preserve">     乐山市市中区教师发展中心由办公室、小学教研室、中学教研室、师训处、信息技术处组成。乐山市市中区教师发展中心基本职责是为教师提供继续教育服务、教师进修培训教育、中小学教学研究和教学管理服务、促进中小学教学质量的提高、指导中小学教育教学工作。指导全区各级各类学校电教教仪工作。</w:t>
      </w:r>
    </w:p>
    <w:p>
      <w:pPr>
        <w:pStyle w:val="4"/>
        <w:rPr>
          <w:rFonts w:ascii="黑体" w:hAnsi="黑体" w:eastAsia="黑体"/>
          <w:b w:val="0"/>
        </w:rPr>
      </w:pPr>
      <w:r>
        <w:rPr>
          <w:rFonts w:hint="eastAsia" w:ascii="黑体" w:hAnsi="黑体" w:eastAsia="黑体"/>
          <w:b w:val="0"/>
        </w:rPr>
        <w:t>二、2021年重点工作</w:t>
      </w:r>
      <w:bookmarkEnd w:id="14"/>
      <w:bookmarkEnd w:id="15"/>
      <w:r>
        <w:rPr>
          <w:rFonts w:hint="eastAsia" w:ascii="黑体" w:hAnsi="黑体" w:eastAsia="黑体"/>
          <w:b w:val="0"/>
        </w:rPr>
        <w:t>完成情况</w:t>
      </w:r>
    </w:p>
    <w:p>
      <w:pPr>
        <w:spacing w:line="520" w:lineRule="exact"/>
        <w:rPr>
          <w:rFonts w:ascii="仿宋" w:hAnsi="仿宋" w:eastAsia="仿宋" w:cs="仿宋"/>
          <w:sz w:val="32"/>
          <w:szCs w:val="32"/>
        </w:rPr>
      </w:pPr>
      <w:r>
        <w:rPr>
          <w:rFonts w:hint="eastAsia" w:ascii="仿宋" w:hAnsi="仿宋" w:eastAsia="仿宋" w:cs="仿宋"/>
          <w:sz w:val="32"/>
          <w:szCs w:val="32"/>
        </w:rPr>
        <w:t xml:space="preserve">    本年度，在各级</w:t>
      </w:r>
      <w:r>
        <w:fldChar w:fldCharType="begin"/>
      </w:r>
      <w:r>
        <w:instrText xml:space="preserve"> HYPERLINK "http://www.5ykj.com/Article/" \t "http://www.5ykj.com/Article/zjbggzhb/_blank" </w:instrText>
      </w:r>
      <w:r>
        <w:fldChar w:fldCharType="separate"/>
      </w:r>
      <w:r>
        <w:rPr>
          <w:rFonts w:hint="eastAsia" w:ascii="仿宋" w:hAnsi="仿宋" w:eastAsia="仿宋" w:cs="仿宋"/>
          <w:sz w:val="32"/>
          <w:szCs w:val="32"/>
        </w:rPr>
        <w:t>领导</w:t>
      </w:r>
      <w:r>
        <w:rPr>
          <w:rFonts w:hint="eastAsia" w:ascii="仿宋" w:hAnsi="仿宋" w:eastAsia="仿宋" w:cs="仿宋"/>
          <w:sz w:val="32"/>
          <w:szCs w:val="32"/>
        </w:rPr>
        <w:fldChar w:fldCharType="end"/>
      </w:r>
      <w:r>
        <w:rPr>
          <w:rFonts w:hint="eastAsia" w:ascii="仿宋" w:hAnsi="仿宋" w:eastAsia="仿宋" w:cs="仿宋"/>
          <w:sz w:val="32"/>
          <w:szCs w:val="32"/>
        </w:rPr>
        <w:t>的亲切关怀和热心</w:t>
      </w:r>
      <w:r>
        <w:fldChar w:fldCharType="begin"/>
      </w:r>
      <w:r>
        <w:instrText xml:space="preserve"> HYPERLINK "http://zw.5ykj.com/" \t "http://www.5ykj.com/Article/zjbggzhb/_blank" </w:instrText>
      </w:r>
      <w:r>
        <w:fldChar w:fldCharType="separate"/>
      </w:r>
      <w:r>
        <w:rPr>
          <w:rFonts w:hint="eastAsia" w:ascii="仿宋" w:hAnsi="仿宋" w:eastAsia="仿宋" w:cs="仿宋"/>
          <w:sz w:val="32"/>
          <w:szCs w:val="32"/>
        </w:rPr>
        <w:t>指导</w:t>
      </w:r>
      <w:r>
        <w:rPr>
          <w:rFonts w:hint="eastAsia" w:ascii="仿宋" w:hAnsi="仿宋" w:eastAsia="仿宋" w:cs="仿宋"/>
          <w:sz w:val="32"/>
          <w:szCs w:val="32"/>
        </w:rPr>
        <w:fldChar w:fldCharType="end"/>
      </w:r>
      <w:r>
        <w:rPr>
          <w:rFonts w:hint="eastAsia" w:ascii="仿宋" w:hAnsi="仿宋" w:eastAsia="仿宋" w:cs="仿宋"/>
          <w:sz w:val="32"/>
          <w:szCs w:val="32"/>
        </w:rPr>
        <w:t>下，乐山市</w:t>
      </w:r>
      <w:r>
        <w:rPr>
          <w:rFonts w:hint="eastAsia" w:ascii="仿宋" w:hAnsi="仿宋" w:eastAsia="仿宋" w:cs="仿宋"/>
          <w:bCs/>
          <w:color w:val="000000"/>
          <w:sz w:val="32"/>
          <w:szCs w:val="32"/>
        </w:rPr>
        <w:t>市中区教师发展中心</w:t>
      </w:r>
      <w:r>
        <w:rPr>
          <w:rFonts w:hint="eastAsia" w:ascii="仿宋" w:hAnsi="仿宋" w:eastAsia="仿宋" w:cs="仿宋"/>
          <w:sz w:val="32"/>
          <w:szCs w:val="32"/>
        </w:rPr>
        <w:t>以党教育方针政策为指导，努力践行社会主义核心价值观，不断巩固“不忘初心、牢记使命”的主题教育成果，牢固树立育人为本的思想。教落实市、区教育局各项工作布置，整合内部资源，形成有效合力，求真务实，探索践行“研训一体”，走内涵发展之路，全面提高研训管理水平，全面提升教育教学质量，进一步发挥好“省级示范性教师培训机构” 在全市示范的作用。</w:t>
      </w:r>
    </w:p>
    <w:p>
      <w:pPr>
        <w:widowControl/>
        <w:jc w:val="left"/>
        <w:rPr>
          <w:rFonts w:ascii="仿宋" w:hAnsi="仿宋" w:eastAsia="仿宋"/>
          <w:kern w:val="0"/>
          <w:sz w:val="32"/>
          <w:szCs w:val="32"/>
        </w:rPr>
      </w:pPr>
    </w:p>
    <w:p>
      <w:pPr>
        <w:pStyle w:val="3"/>
        <w:ind w:right="440"/>
        <w:jc w:val="center"/>
        <w:rPr>
          <w:rStyle w:val="24"/>
          <w:rFonts w:ascii="黑体" w:hAnsi="黑体" w:eastAsia="黑体"/>
          <w:b w:val="0"/>
          <w:bCs/>
        </w:rPr>
      </w:pPr>
      <w:bookmarkStart w:id="16" w:name="_Toc15377204"/>
      <w:bookmarkStart w:id="17" w:name="_Toc15396602"/>
      <w:r>
        <w:rPr>
          <w:rFonts w:hint="eastAsia" w:ascii="黑体" w:hAnsi="黑体" w:eastAsia="黑体"/>
          <w:b w:val="0"/>
        </w:rPr>
        <w:t>第二部分 2021年度</w:t>
      </w:r>
      <w:r>
        <w:rPr>
          <w:rStyle w:val="24"/>
          <w:rFonts w:hint="eastAsia" w:ascii="黑体" w:hAnsi="黑体" w:eastAsia="黑体"/>
          <w:b w:val="0"/>
          <w:bCs/>
        </w:rPr>
        <w:t>单位决算情况说明</w:t>
      </w:r>
      <w:bookmarkEnd w:id="16"/>
      <w:bookmarkEnd w:id="17"/>
    </w:p>
    <w:p/>
    <w:p>
      <w:pPr>
        <w:pStyle w:val="23"/>
        <w:numPr>
          <w:ilvl w:val="0"/>
          <w:numId w:val="2"/>
        </w:numPr>
        <w:spacing w:line="600" w:lineRule="exact"/>
        <w:ind w:firstLineChars="0"/>
        <w:outlineLvl w:val="1"/>
        <w:rPr>
          <w:rStyle w:val="25"/>
          <w:rFonts w:ascii="黑体" w:hAnsi="黑体" w:eastAsia="黑体"/>
          <w:b w:val="0"/>
        </w:rPr>
      </w:pPr>
      <w:bookmarkStart w:id="18" w:name="_Toc15396603"/>
      <w:bookmarkStart w:id="19" w:name="_Toc15377205"/>
      <w:r>
        <w:rPr>
          <w:rFonts w:hint="eastAsia" w:ascii="黑体" w:hAnsi="黑体" w:eastAsia="黑体"/>
          <w:sz w:val="32"/>
          <w:szCs w:val="32"/>
        </w:rPr>
        <w:t>收</w:t>
      </w:r>
      <w:r>
        <w:rPr>
          <w:rStyle w:val="25"/>
          <w:rFonts w:hint="eastAsia" w:ascii="黑体" w:hAnsi="黑体" w:eastAsia="黑体"/>
          <w:b w:val="0"/>
        </w:rPr>
        <w:t>入支出决算总体情况说明</w:t>
      </w:r>
      <w:bookmarkEnd w:id="18"/>
      <w:bookmarkEnd w:id="19"/>
    </w:p>
    <w:p>
      <w:pPr>
        <w:spacing w:line="600" w:lineRule="exact"/>
        <w:ind w:firstLine="640" w:firstLineChars="200"/>
        <w:rPr>
          <w:rFonts w:ascii="仿宋" w:hAnsi="仿宋" w:eastAsia="仿宋"/>
          <w:sz w:val="32"/>
          <w:szCs w:val="32"/>
        </w:rPr>
      </w:pPr>
      <w:r>
        <w:rPr>
          <w:rFonts w:hint="eastAsia" w:ascii="仿宋" w:hAnsi="仿宋" w:eastAsia="仿宋"/>
          <w:sz w:val="32"/>
          <w:szCs w:val="32"/>
        </w:rPr>
        <w:t>2021年度收、支总计1818.35万元。与2020年相比，收、支总计各增加47.16万元，增长2.6</w:t>
      </w:r>
      <w:r>
        <w:rPr>
          <w:rFonts w:ascii="仿宋" w:hAnsi="仿宋" w:eastAsia="仿宋"/>
          <w:sz w:val="32"/>
          <w:szCs w:val="32"/>
        </w:rPr>
        <w:t>%</w:t>
      </w:r>
      <w:r>
        <w:rPr>
          <w:rFonts w:hint="eastAsia" w:ascii="仿宋" w:hAnsi="仿宋" w:eastAsia="仿宋"/>
          <w:sz w:val="32"/>
          <w:szCs w:val="32"/>
        </w:rPr>
        <w:t>。主要变动原因是财政拨款收入增加25.33万元，支出增加21.83万元。</w:t>
      </w:r>
    </w:p>
    <w:p>
      <w:pPr>
        <w:spacing w:line="600" w:lineRule="exact"/>
        <w:ind w:firstLine="420" w:firstLineChars="200"/>
      </w:pPr>
      <w:r>
        <w:drawing>
          <wp:anchor distT="0" distB="0" distL="114300" distR="114300" simplePos="0" relativeHeight="251659264" behindDoc="0" locked="0" layoutInCell="1" allowOverlap="1">
            <wp:simplePos x="0" y="0"/>
            <wp:positionH relativeFrom="column">
              <wp:posOffset>180975</wp:posOffset>
            </wp:positionH>
            <wp:positionV relativeFrom="paragraph">
              <wp:posOffset>153670</wp:posOffset>
            </wp:positionV>
            <wp:extent cx="5274310" cy="3140075"/>
            <wp:effectExtent l="0" t="0" r="0" b="0"/>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74310" cy="3140075"/>
                    </a:xfrm>
                    <a:prstGeom prst="rect">
                      <a:avLst/>
                    </a:prstGeom>
                    <a:noFill/>
                    <a:ln>
                      <a:noFill/>
                    </a:ln>
                  </pic:spPr>
                </pic:pic>
              </a:graphicData>
            </a:graphic>
          </wp:anchor>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w:t>
      </w:r>
      <w:r>
        <w:rPr>
          <w:rFonts w:ascii="仿宋" w:hAnsi="仿宋" w:eastAsia="仿宋"/>
          <w:sz w:val="32"/>
          <w:szCs w:val="32"/>
        </w:rPr>
        <w:t>1</w:t>
      </w:r>
      <w:r>
        <w:rPr>
          <w:rFonts w:hint="eastAsia" w:ascii="仿宋" w:hAnsi="仿宋" w:eastAsia="仿宋"/>
          <w:sz w:val="32"/>
          <w:szCs w:val="32"/>
        </w:rPr>
        <w:t>：注：数据来源于财决01表，决算-总计栏，收、支决算总计变动情况图）（柱状图）</w:t>
      </w:r>
    </w:p>
    <w:p>
      <w:pPr>
        <w:spacing w:line="600" w:lineRule="exact"/>
        <w:ind w:firstLine="640" w:firstLineChars="200"/>
        <w:jc w:val="left"/>
        <w:rPr>
          <w:rFonts w:ascii="仿宋_GB2312" w:eastAsia="仿宋_GB2312"/>
          <w:sz w:val="32"/>
          <w:szCs w:val="32"/>
        </w:rPr>
      </w:pPr>
    </w:p>
    <w:p>
      <w:pPr>
        <w:pStyle w:val="23"/>
        <w:numPr>
          <w:ilvl w:val="0"/>
          <w:numId w:val="2"/>
        </w:numPr>
        <w:spacing w:line="600" w:lineRule="exact"/>
        <w:ind w:firstLineChars="0"/>
        <w:outlineLvl w:val="1"/>
        <w:rPr>
          <w:rStyle w:val="25"/>
          <w:rFonts w:ascii="黑体" w:hAnsi="黑体" w:eastAsia="黑体"/>
          <w:b w:val="0"/>
        </w:rPr>
      </w:pPr>
      <w:bookmarkStart w:id="20" w:name="_Toc15396604"/>
      <w:bookmarkStart w:id="21" w:name="_Toc15377206"/>
      <w:r>
        <w:rPr>
          <w:rFonts w:hint="eastAsia" w:ascii="黑体" w:hAnsi="黑体" w:eastAsia="黑体"/>
          <w:sz w:val="32"/>
          <w:szCs w:val="32"/>
        </w:rPr>
        <w:t>收</w:t>
      </w:r>
      <w:r>
        <w:rPr>
          <w:rStyle w:val="25"/>
          <w:rFonts w:hint="eastAsia" w:ascii="黑体" w:hAnsi="黑体" w:eastAsia="黑体"/>
          <w:b w:val="0"/>
        </w:rPr>
        <w:t>入决算情况说明</w:t>
      </w:r>
      <w:bookmarkEnd w:id="20"/>
      <w:bookmarkEnd w:id="21"/>
    </w:p>
    <w:p>
      <w:pPr>
        <w:spacing w:line="600" w:lineRule="exact"/>
        <w:ind w:firstLine="640" w:firstLineChars="200"/>
        <w:outlineLvl w:val="1"/>
      </w:pPr>
      <w:r>
        <w:rPr>
          <w:rFonts w:ascii="仿宋" w:hAnsi="仿宋" w:eastAsia="仿宋"/>
          <w:sz w:val="32"/>
          <w:szCs w:val="32"/>
        </w:rPr>
        <w:t>20</w:t>
      </w:r>
      <w:r>
        <w:rPr>
          <w:rFonts w:hint="eastAsia" w:ascii="仿宋" w:hAnsi="仿宋" w:eastAsia="仿宋"/>
          <w:sz w:val="32"/>
          <w:szCs w:val="32"/>
        </w:rPr>
        <w:t>21年本年收入合计905万元，其中：一般公共预算财政拨款收入905万元，占100</w:t>
      </w:r>
      <w:r>
        <w:rPr>
          <w:rFonts w:ascii="仿宋" w:hAnsi="仿宋" w:eastAsia="仿宋"/>
          <w:sz w:val="32"/>
          <w:szCs w:val="32"/>
        </w:rPr>
        <w:t>*%</w:t>
      </w:r>
      <w:r>
        <w:rPr>
          <w:rFonts w:hint="eastAsia" w:ascii="仿宋" w:hAnsi="仿宋" w:eastAsia="仿宋"/>
          <w:sz w:val="32"/>
          <w:szCs w:val="32"/>
        </w:rPr>
        <w:t>；政府性基金预算财政拨款收入0万元，占0</w:t>
      </w:r>
      <w:r>
        <w:rPr>
          <w:rFonts w:ascii="仿宋" w:hAnsi="仿宋" w:eastAsia="仿宋"/>
          <w:sz w:val="32"/>
          <w:szCs w:val="32"/>
        </w:rPr>
        <w:t>%</w:t>
      </w:r>
      <w:r>
        <w:rPr>
          <w:rFonts w:hint="eastAsia" w:ascii="仿宋" w:hAnsi="仿宋" w:eastAsia="仿宋"/>
          <w:sz w:val="32"/>
          <w:szCs w:val="32"/>
        </w:rPr>
        <w:t>；国有资本经营预算财政拨款收入0万元，占0</w:t>
      </w:r>
      <w:r>
        <w:rPr>
          <w:rFonts w:ascii="仿宋" w:hAnsi="仿宋" w:eastAsia="仿宋"/>
          <w:sz w:val="32"/>
          <w:szCs w:val="32"/>
        </w:rPr>
        <w:t>%</w:t>
      </w:r>
      <w:r>
        <w:rPr>
          <w:rFonts w:hint="eastAsia" w:ascii="仿宋" w:hAnsi="仿宋" w:eastAsia="仿宋"/>
          <w:sz w:val="32"/>
          <w:szCs w:val="32"/>
        </w:rPr>
        <w:t>；上级补助收入0万元，占0</w:t>
      </w:r>
      <w:r>
        <w:rPr>
          <w:rFonts w:ascii="仿宋" w:hAnsi="仿宋" w:eastAsia="仿宋"/>
          <w:sz w:val="32"/>
          <w:szCs w:val="32"/>
        </w:rPr>
        <w:t>%</w:t>
      </w:r>
      <w:r>
        <w:rPr>
          <w:rFonts w:hint="eastAsia" w:ascii="仿宋" w:hAnsi="仿宋" w:eastAsia="仿宋"/>
          <w:sz w:val="32"/>
          <w:szCs w:val="32"/>
        </w:rPr>
        <w:t>；事业收入0万元，占0</w:t>
      </w:r>
      <w:r>
        <w:rPr>
          <w:rFonts w:ascii="仿宋" w:hAnsi="仿宋" w:eastAsia="仿宋"/>
          <w:sz w:val="32"/>
          <w:szCs w:val="32"/>
        </w:rPr>
        <w:t>%</w:t>
      </w:r>
      <w:r>
        <w:rPr>
          <w:rFonts w:hint="eastAsia" w:ascii="仿宋" w:hAnsi="仿宋" w:eastAsia="仿宋"/>
          <w:sz w:val="32"/>
          <w:szCs w:val="32"/>
        </w:rPr>
        <w:t>；经营收入0万元，占0</w:t>
      </w:r>
      <w:r>
        <w:rPr>
          <w:rFonts w:ascii="仿宋" w:hAnsi="仿宋" w:eastAsia="仿宋"/>
          <w:sz w:val="32"/>
          <w:szCs w:val="32"/>
        </w:rPr>
        <w:t>%</w:t>
      </w:r>
      <w:r>
        <w:rPr>
          <w:rFonts w:hint="eastAsia" w:ascii="仿宋" w:hAnsi="仿宋" w:eastAsia="仿宋"/>
          <w:sz w:val="32"/>
          <w:szCs w:val="32"/>
        </w:rPr>
        <w:t>；附属单位上缴收入0万元，占0</w:t>
      </w:r>
      <w:r>
        <w:rPr>
          <w:rFonts w:ascii="仿宋" w:hAnsi="仿宋" w:eastAsia="仿宋"/>
          <w:sz w:val="32"/>
          <w:szCs w:val="32"/>
        </w:rPr>
        <w:t>%</w:t>
      </w:r>
      <w:r>
        <w:rPr>
          <w:rFonts w:hint="eastAsia" w:ascii="仿宋" w:hAnsi="仿宋" w:eastAsia="仿宋"/>
          <w:sz w:val="32"/>
          <w:szCs w:val="32"/>
        </w:rPr>
        <w:t>；其他收入0万元，占0</w:t>
      </w:r>
      <w:r>
        <w:rPr>
          <w:rFonts w:ascii="仿宋" w:hAnsi="仿宋" w:eastAsia="仿宋"/>
          <w:sz w:val="32"/>
          <w:szCs w:val="32"/>
        </w:rPr>
        <w:t>%</w:t>
      </w:r>
      <w:r>
        <w:rPr>
          <w:rFonts w:hint="eastAsia" w:ascii="仿宋" w:hAnsi="仿宋" w:eastAsia="仿宋"/>
          <w:sz w:val="32"/>
          <w:szCs w:val="32"/>
        </w:rPr>
        <w:t>。</w:t>
      </w:r>
    </w:p>
    <w:p>
      <w:pPr>
        <w:pStyle w:val="2"/>
        <w:spacing w:before="93"/>
      </w:pPr>
      <w:r>
        <w:drawing>
          <wp:inline distT="0" distB="0" distL="0" distR="0">
            <wp:extent cx="5274310" cy="3303905"/>
            <wp:effectExtent l="38735" t="18415" r="40005" b="6858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（图2：收入决算结构图）（饼状图）</w:t>
      </w:r>
    </w:p>
    <w:p>
      <w:pPr>
        <w:spacing w:line="600" w:lineRule="exact"/>
        <w:ind w:firstLine="640" w:firstLineChars="200"/>
        <w:rPr>
          <w:rFonts w:ascii="仿宋_GB2312" w:eastAsia="仿宋_GB2312"/>
          <w:sz w:val="32"/>
          <w:szCs w:val="32"/>
        </w:rPr>
      </w:pPr>
    </w:p>
    <w:p>
      <w:pPr>
        <w:pStyle w:val="23"/>
        <w:numPr>
          <w:ilvl w:val="0"/>
          <w:numId w:val="2"/>
        </w:numPr>
        <w:spacing w:line="600" w:lineRule="exact"/>
        <w:ind w:firstLineChars="0"/>
        <w:outlineLvl w:val="1"/>
        <w:rPr>
          <w:rStyle w:val="25"/>
          <w:rFonts w:ascii="黑体" w:hAnsi="黑体" w:eastAsia="黑体"/>
          <w:b w:val="0"/>
        </w:rPr>
      </w:pPr>
      <w:bookmarkStart w:id="22" w:name="_Toc15377207"/>
      <w:bookmarkStart w:id="23" w:name="_Toc15396605"/>
      <w:r>
        <w:rPr>
          <w:rFonts w:hint="eastAsia" w:ascii="黑体" w:hAnsi="黑体" w:eastAsia="黑体"/>
          <w:sz w:val="32"/>
          <w:szCs w:val="32"/>
        </w:rPr>
        <w:t>支</w:t>
      </w:r>
      <w:r>
        <w:rPr>
          <w:rStyle w:val="25"/>
          <w:rFonts w:hint="eastAsia" w:ascii="黑体" w:hAnsi="黑体" w:eastAsia="黑体"/>
          <w:b w:val="0"/>
        </w:rPr>
        <w:t>出决算情况说明</w:t>
      </w:r>
      <w:bookmarkEnd w:id="22"/>
      <w:bookmarkEnd w:id="23"/>
    </w:p>
    <w:p>
      <w:pPr>
        <w:spacing w:line="600" w:lineRule="exact"/>
        <w:ind w:firstLine="640" w:firstLineChars="200"/>
        <w:outlineLvl w:val="1"/>
        <w:rPr>
          <w:rFonts w:ascii="仿宋" w:hAnsi="仿宋" w:eastAsia="仿宋"/>
          <w:sz w:val="32"/>
          <w:szCs w:val="32"/>
          <w:shd w:val="pct10" w:color="auto" w:fill="FFFFFF"/>
        </w:rPr>
      </w:pPr>
      <w:r>
        <w:rPr>
          <w:rFonts w:ascii="仿宋" w:hAnsi="仿宋" w:eastAsia="仿宋"/>
          <w:sz w:val="32"/>
          <w:szCs w:val="32"/>
        </w:rPr>
        <w:t>20</w:t>
      </w:r>
      <w:r>
        <w:rPr>
          <w:rFonts w:hint="eastAsia" w:ascii="仿宋" w:hAnsi="仿宋" w:eastAsia="仿宋"/>
          <w:sz w:val="32"/>
          <w:szCs w:val="32"/>
        </w:rPr>
        <w:t>21年本年支出合计913.35万元，其中：基本支出863.32万元，占94.5</w:t>
      </w:r>
      <w:r>
        <w:rPr>
          <w:rFonts w:ascii="仿宋" w:hAnsi="仿宋" w:eastAsia="仿宋"/>
          <w:sz w:val="32"/>
          <w:szCs w:val="32"/>
        </w:rPr>
        <w:t>%</w:t>
      </w:r>
      <w:r>
        <w:rPr>
          <w:rFonts w:hint="eastAsia" w:ascii="仿宋" w:hAnsi="仿宋" w:eastAsia="仿宋"/>
          <w:sz w:val="32"/>
          <w:szCs w:val="32"/>
        </w:rPr>
        <w:t>；项目支出50.02万元，占5.5</w:t>
      </w:r>
      <w:r>
        <w:rPr>
          <w:rFonts w:ascii="仿宋" w:hAnsi="仿宋" w:eastAsia="仿宋"/>
          <w:sz w:val="32"/>
          <w:szCs w:val="32"/>
        </w:rPr>
        <w:t>%</w:t>
      </w:r>
      <w:r>
        <w:rPr>
          <w:rFonts w:hint="eastAsia" w:ascii="仿宋" w:hAnsi="仿宋" w:eastAsia="仿宋"/>
          <w:sz w:val="32"/>
          <w:szCs w:val="32"/>
        </w:rPr>
        <w:t>；上缴上级支出0万元，占0</w:t>
      </w:r>
      <w:r>
        <w:rPr>
          <w:rFonts w:ascii="仿宋" w:hAnsi="仿宋" w:eastAsia="仿宋"/>
          <w:sz w:val="32"/>
          <w:szCs w:val="32"/>
        </w:rPr>
        <w:t>%</w:t>
      </w:r>
      <w:r>
        <w:rPr>
          <w:rFonts w:hint="eastAsia" w:ascii="仿宋" w:hAnsi="仿宋" w:eastAsia="仿宋"/>
          <w:sz w:val="32"/>
          <w:szCs w:val="32"/>
        </w:rPr>
        <w:t>；经营支出0万元，占0</w:t>
      </w:r>
      <w:r>
        <w:rPr>
          <w:rFonts w:ascii="仿宋" w:hAnsi="仿宋" w:eastAsia="仿宋"/>
          <w:sz w:val="32"/>
          <w:szCs w:val="32"/>
        </w:rPr>
        <w:t>*%</w:t>
      </w:r>
      <w:r>
        <w:rPr>
          <w:rFonts w:hint="eastAsia" w:ascii="仿宋" w:hAnsi="仿宋" w:eastAsia="仿宋"/>
          <w:sz w:val="32"/>
          <w:szCs w:val="32"/>
        </w:rPr>
        <w:t>；对附属单位补助支出0万元，占0</w:t>
      </w:r>
      <w:r>
        <w:rPr>
          <w:rFonts w:ascii="仿宋" w:hAnsi="仿宋" w:eastAsia="仿宋"/>
          <w:sz w:val="32"/>
          <w:szCs w:val="32"/>
        </w:rPr>
        <w:t>%</w:t>
      </w:r>
      <w:r>
        <w:rPr>
          <w:rFonts w:hint="eastAsia" w:ascii="仿宋" w:hAnsi="仿宋" w:eastAsia="仿宋"/>
          <w:sz w:val="32"/>
          <w:szCs w:val="32"/>
        </w:rPr>
        <w:t>。</w:t>
      </w:r>
    </w:p>
    <w:p>
      <w:pPr>
        <w:pStyle w:val="2"/>
        <w:spacing w:before="93"/>
      </w:pPr>
      <w:r>
        <w:drawing>
          <wp:inline distT="0" distB="0" distL="0" distR="0">
            <wp:extent cx="5274310" cy="3177540"/>
            <wp:effectExtent l="57150" t="38100" r="40640" b="6096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pStyle w:val="2"/>
        <w:spacing w:before="93"/>
      </w:pPr>
    </w:p>
    <w:p>
      <w:pPr>
        <w:spacing w:line="600" w:lineRule="exact"/>
        <w:ind w:firstLine="640" w:firstLineChars="200"/>
        <w:rPr>
          <w:rFonts w:ascii="仿宋" w:hAnsi="仿宋" w:eastAsia="仿宋"/>
          <w:sz w:val="32"/>
          <w:szCs w:val="32"/>
        </w:rPr>
      </w:pPr>
      <w:r>
        <w:rPr>
          <w:rFonts w:hint="eastAsia" w:ascii="仿宋" w:hAnsi="仿宋" w:eastAsia="仿宋"/>
          <w:sz w:val="32"/>
          <w:szCs w:val="32"/>
        </w:rPr>
        <w:t>（图3：支出决算结构图）（饼状图）</w:t>
      </w:r>
    </w:p>
    <w:p>
      <w:pPr>
        <w:spacing w:line="600" w:lineRule="exact"/>
        <w:ind w:firstLine="640" w:firstLineChars="200"/>
        <w:rPr>
          <w:rFonts w:ascii="仿宋_GB2312" w:eastAsia="仿宋_GB2312"/>
          <w:sz w:val="32"/>
          <w:szCs w:val="32"/>
        </w:rPr>
      </w:pPr>
    </w:p>
    <w:p>
      <w:pPr>
        <w:spacing w:line="600" w:lineRule="exact"/>
        <w:ind w:firstLine="640" w:firstLineChars="200"/>
        <w:outlineLvl w:val="1"/>
        <w:rPr>
          <w:rStyle w:val="25"/>
          <w:rFonts w:ascii="黑体" w:hAnsi="黑体" w:eastAsia="黑体"/>
          <w:b w:val="0"/>
        </w:rPr>
      </w:pPr>
      <w:bookmarkStart w:id="24" w:name="_Toc15396606"/>
      <w:bookmarkStart w:id="25" w:name="_Toc15377208"/>
      <w:r>
        <w:rPr>
          <w:rFonts w:hint="eastAsia" w:ascii="黑体" w:hAnsi="黑体" w:eastAsia="黑体"/>
          <w:sz w:val="32"/>
          <w:szCs w:val="32"/>
        </w:rPr>
        <w:t>四、财</w:t>
      </w:r>
      <w:r>
        <w:rPr>
          <w:rStyle w:val="25"/>
          <w:rFonts w:hint="eastAsia" w:ascii="黑体" w:hAnsi="黑体" w:eastAsia="黑体"/>
          <w:b w:val="0"/>
        </w:rPr>
        <w:t>政拨款收入支出决算总体情况说明</w:t>
      </w:r>
      <w:bookmarkEnd w:id="24"/>
      <w:bookmarkEnd w:id="25"/>
    </w:p>
    <w:p>
      <w:pPr>
        <w:pStyle w:val="2"/>
        <w:spacing w:before="93"/>
      </w:pPr>
      <w:r>
        <w:rPr>
          <w:rFonts w:ascii="仿宋" w:hAnsi="仿宋" w:eastAsia="仿宋"/>
          <w:sz w:val="32"/>
          <w:szCs w:val="32"/>
        </w:rPr>
        <w:t>20</w:t>
      </w:r>
      <w:r>
        <w:rPr>
          <w:rFonts w:hint="eastAsia" w:ascii="仿宋" w:hAnsi="仿宋" w:eastAsia="仿宋"/>
          <w:sz w:val="32"/>
          <w:szCs w:val="32"/>
        </w:rPr>
        <w:t>21年财政拨款收、支总计1818.35万元。与2020年相比，收、支总计各增加47.16万元，增长2.6</w:t>
      </w:r>
      <w:r>
        <w:rPr>
          <w:rFonts w:ascii="仿宋" w:hAnsi="仿宋" w:eastAsia="仿宋"/>
          <w:sz w:val="32"/>
          <w:szCs w:val="32"/>
        </w:rPr>
        <w:t>%</w:t>
      </w:r>
      <w:r>
        <w:rPr>
          <w:rFonts w:hint="eastAsia" w:ascii="仿宋" w:hAnsi="仿宋" w:eastAsia="仿宋"/>
          <w:sz w:val="32"/>
          <w:szCs w:val="32"/>
        </w:rPr>
        <w:t>。主要变动原因是财政拨款收入增加25.33万元，支出增加21.83万元。</w:t>
      </w:r>
    </w:p>
    <w:p>
      <w:pPr>
        <w:pStyle w:val="2"/>
        <w:spacing w:before="93"/>
      </w:pPr>
    </w:p>
    <w:p>
      <w:pPr>
        <w:pStyle w:val="2"/>
        <w:spacing w:before="93"/>
      </w:pPr>
    </w:p>
    <w:p>
      <w:pPr>
        <w:pStyle w:val="2"/>
        <w:spacing w:before="93"/>
      </w:pPr>
    </w:p>
    <w:p>
      <w:pPr>
        <w:pStyle w:val="2"/>
        <w:spacing w:before="93"/>
      </w:pPr>
      <w:r>
        <w:drawing>
          <wp:inline distT="0" distB="0" distL="0" distR="0">
            <wp:extent cx="5274310" cy="3064510"/>
            <wp:effectExtent l="57150" t="38100" r="40640" b="5969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（图4：财政拨款收、支决算总计变动情况）（柱状图）</w:t>
      </w:r>
    </w:p>
    <w:p>
      <w:pPr>
        <w:spacing w:line="600" w:lineRule="exact"/>
        <w:ind w:firstLine="640"/>
        <w:rPr>
          <w:rFonts w:ascii="仿宋" w:hAnsi="仿宋" w:eastAsia="仿宋"/>
          <w:b/>
          <w:sz w:val="32"/>
          <w:szCs w:val="32"/>
        </w:rPr>
      </w:pPr>
    </w:p>
    <w:p>
      <w:pPr>
        <w:spacing w:line="600" w:lineRule="exact"/>
        <w:ind w:firstLine="640" w:firstLineChars="200"/>
        <w:outlineLvl w:val="1"/>
        <w:rPr>
          <w:rStyle w:val="25"/>
          <w:rFonts w:ascii="黑体" w:hAnsi="黑体" w:eastAsia="黑体"/>
          <w:b w:val="0"/>
        </w:rPr>
      </w:pPr>
      <w:bookmarkStart w:id="26" w:name="_Toc15396607"/>
      <w:bookmarkStart w:id="27" w:name="_Toc15377209"/>
      <w:r>
        <w:rPr>
          <w:rFonts w:hint="eastAsia" w:ascii="黑体" w:hAnsi="黑体" w:eastAsia="黑体"/>
          <w:sz w:val="32"/>
          <w:szCs w:val="32"/>
        </w:rPr>
        <w:t>五、</w:t>
      </w:r>
      <w:r>
        <w:rPr>
          <w:rFonts w:hint="eastAsia" w:ascii="黑体" w:hAnsi="黑体" w:eastAsia="黑体"/>
          <w:b/>
          <w:sz w:val="32"/>
          <w:szCs w:val="32"/>
        </w:rPr>
        <w:t>一</w:t>
      </w:r>
      <w:r>
        <w:rPr>
          <w:rStyle w:val="25"/>
          <w:rFonts w:hint="eastAsia" w:ascii="黑体" w:hAnsi="黑体" w:eastAsia="黑体"/>
          <w:b w:val="0"/>
        </w:rPr>
        <w:t>般公共预算财政拨款支出决算情况说明</w:t>
      </w:r>
      <w:bookmarkEnd w:id="26"/>
      <w:bookmarkEnd w:id="27"/>
    </w:p>
    <w:p>
      <w:pPr>
        <w:spacing w:line="600" w:lineRule="exact"/>
        <w:ind w:firstLine="643" w:firstLineChars="200"/>
        <w:outlineLvl w:val="2"/>
        <w:rPr>
          <w:rFonts w:ascii="仿宋" w:hAnsi="仿宋" w:eastAsia="仿宋"/>
          <w:b/>
          <w:sz w:val="32"/>
          <w:szCs w:val="32"/>
        </w:rPr>
      </w:pPr>
      <w:bookmarkStart w:id="28" w:name="_Toc15377210"/>
      <w:r>
        <w:rPr>
          <w:rFonts w:hint="eastAsia" w:ascii="仿宋" w:hAnsi="仿宋" w:eastAsia="仿宋"/>
          <w:b/>
          <w:sz w:val="32"/>
          <w:szCs w:val="32"/>
        </w:rPr>
        <w:t>（一）一般公共预算财政拨款支出决算总体情况</w:t>
      </w:r>
      <w:bookmarkEnd w:id="28"/>
    </w:p>
    <w:p>
      <w:pPr>
        <w:spacing w:line="600" w:lineRule="exact"/>
        <w:ind w:firstLine="640"/>
        <w:rPr>
          <w:rFonts w:ascii="仿宋" w:hAnsi="仿宋" w:eastAsia="仿宋"/>
          <w:bCs/>
          <w:color w:val="000000" w:themeColor="text1"/>
          <w:sz w:val="32"/>
          <w:szCs w:val="32"/>
        </w:rPr>
      </w:pPr>
      <w:r>
        <w:rPr>
          <w:rFonts w:ascii="仿宋" w:hAnsi="仿宋" w:eastAsia="仿宋"/>
          <w:sz w:val="32"/>
          <w:szCs w:val="32"/>
        </w:rPr>
        <w:t>20</w:t>
      </w:r>
      <w:r>
        <w:rPr>
          <w:rFonts w:hint="eastAsia" w:ascii="仿宋" w:hAnsi="仿宋" w:eastAsia="仿宋"/>
          <w:sz w:val="32"/>
          <w:szCs w:val="32"/>
        </w:rPr>
        <w:t>21年一般公共预算财政拨款支出913.35万元，占本年支出合计的100</w:t>
      </w:r>
      <w:r>
        <w:rPr>
          <w:rFonts w:ascii="仿宋" w:hAnsi="仿宋" w:eastAsia="仿宋"/>
          <w:sz w:val="32"/>
          <w:szCs w:val="32"/>
        </w:rPr>
        <w:t>%</w:t>
      </w:r>
      <w:r>
        <w:rPr>
          <w:rFonts w:hint="eastAsia" w:ascii="仿宋" w:hAnsi="仿宋" w:eastAsia="仿宋"/>
          <w:sz w:val="32"/>
          <w:szCs w:val="32"/>
        </w:rPr>
        <w:t>。与</w:t>
      </w:r>
      <w:r>
        <w:rPr>
          <w:rFonts w:ascii="仿宋" w:hAnsi="仿宋" w:eastAsia="仿宋"/>
          <w:sz w:val="32"/>
          <w:szCs w:val="32"/>
        </w:rPr>
        <w:t>20</w:t>
      </w:r>
      <w:r>
        <w:rPr>
          <w:rFonts w:hint="eastAsia" w:ascii="仿宋" w:hAnsi="仿宋" w:eastAsia="仿宋"/>
          <w:sz w:val="32"/>
          <w:szCs w:val="32"/>
        </w:rPr>
        <w:t>20年相比，一般公共预算财政拨款支出增加23.33万元，增长2.6</w:t>
      </w:r>
      <w:r>
        <w:rPr>
          <w:rFonts w:ascii="仿宋" w:hAnsi="仿宋" w:eastAsia="仿宋"/>
          <w:sz w:val="32"/>
          <w:szCs w:val="32"/>
        </w:rPr>
        <w:t>%</w:t>
      </w:r>
      <w:r>
        <w:rPr>
          <w:rFonts w:hint="eastAsia" w:ascii="仿宋" w:hAnsi="仿宋" w:eastAsia="仿宋"/>
          <w:sz w:val="32"/>
          <w:szCs w:val="32"/>
        </w:rPr>
        <w:t>。主要变动原因是</w:t>
      </w:r>
      <w:r>
        <w:rPr>
          <w:rFonts w:hint="eastAsia" w:ascii="仿宋" w:hAnsi="仿宋" w:eastAsia="仿宋"/>
          <w:bCs/>
          <w:color w:val="000000" w:themeColor="text1"/>
          <w:sz w:val="32"/>
          <w:szCs w:val="32"/>
        </w:rPr>
        <w:t>教育支出（类）增加27.66万元；社会保障和就业（类）支出减少8.09万元；卫生健康支出增加0.51万元；住房保障支出增加1.75万元。</w:t>
      </w:r>
    </w:p>
    <w:p>
      <w:pPr>
        <w:spacing w:line="600" w:lineRule="exact"/>
        <w:ind w:firstLine="640" w:firstLineChars="200"/>
        <w:rPr>
          <w:rFonts w:ascii="仿宋" w:hAnsi="仿宋" w:eastAsia="仿宋"/>
          <w:sz w:val="32"/>
          <w:szCs w:val="32"/>
        </w:rPr>
      </w:pPr>
    </w:p>
    <w:p>
      <w:pPr>
        <w:pStyle w:val="2"/>
        <w:spacing w:before="93"/>
      </w:pPr>
    </w:p>
    <w:p>
      <w:pPr>
        <w:pStyle w:val="2"/>
        <w:spacing w:before="93"/>
      </w:pPr>
    </w:p>
    <w:p>
      <w:pPr>
        <w:pStyle w:val="2"/>
        <w:spacing w:before="93"/>
      </w:pPr>
      <w:r>
        <w:drawing>
          <wp:inline distT="0" distB="0" distL="0" distR="0">
            <wp:extent cx="5274310" cy="3082925"/>
            <wp:effectExtent l="57150" t="38100" r="40640" b="6032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pStyle w:val="2"/>
        <w:spacing w:before="93"/>
      </w:pPr>
    </w:p>
    <w:p>
      <w:pPr>
        <w:spacing w:line="600" w:lineRule="exact"/>
        <w:ind w:firstLine="640" w:firstLineChars="200"/>
        <w:rPr>
          <w:rFonts w:ascii="仿宋" w:hAnsi="仿宋" w:eastAsia="仿宋"/>
          <w:sz w:val="32"/>
          <w:szCs w:val="32"/>
        </w:rPr>
      </w:pPr>
      <w:r>
        <w:rPr>
          <w:rFonts w:hint="eastAsia" w:ascii="仿宋" w:hAnsi="仿宋" w:eastAsia="仿宋"/>
          <w:sz w:val="32"/>
          <w:szCs w:val="32"/>
        </w:rPr>
        <w:t>（图5：一般公共预算财政拨款支出决算变动情况）（柱状图）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29" w:name="_Toc15377211"/>
      <w:r>
        <w:rPr>
          <w:rFonts w:hint="eastAsia" w:ascii="仿宋" w:hAnsi="仿宋" w:eastAsia="仿宋"/>
          <w:b/>
          <w:sz w:val="32"/>
          <w:szCs w:val="32"/>
        </w:rPr>
        <w:t>（二）一般公共预算财政拨款支出决算结构情况</w:t>
      </w:r>
      <w:bookmarkEnd w:id="29"/>
    </w:p>
    <w:p>
      <w:pPr>
        <w:spacing w:line="600" w:lineRule="exact"/>
        <w:ind w:firstLine="640"/>
        <w:rPr>
          <w:rFonts w:ascii="仿宋" w:hAnsi="仿宋" w:eastAsia="仿宋"/>
          <w:b/>
          <w:sz w:val="32"/>
          <w:szCs w:val="32"/>
        </w:rPr>
      </w:pPr>
      <w:r>
        <w:rPr>
          <w:rFonts w:ascii="仿宋" w:hAnsi="仿宋" w:eastAsia="仿宋"/>
          <w:sz w:val="32"/>
          <w:szCs w:val="32"/>
        </w:rPr>
        <w:t>20</w:t>
      </w:r>
      <w:r>
        <w:rPr>
          <w:rFonts w:hint="eastAsia" w:ascii="仿宋" w:hAnsi="仿宋" w:eastAsia="仿宋"/>
          <w:sz w:val="32"/>
          <w:szCs w:val="32"/>
        </w:rPr>
        <w:t>21年一般公共预算财政拨款支出913.35万元，主要用于以下方面</w:t>
      </w:r>
      <w:r>
        <w:rPr>
          <w:rFonts w:ascii="仿宋" w:hAnsi="仿宋" w:eastAsia="仿宋"/>
          <w:sz w:val="32"/>
          <w:szCs w:val="32"/>
        </w:rPr>
        <w:t>:</w:t>
      </w:r>
      <w:r>
        <w:rPr>
          <w:rFonts w:hint="eastAsia" w:ascii="仿宋" w:hAnsi="仿宋" w:eastAsia="仿宋"/>
          <w:b/>
          <w:sz w:val="32"/>
          <w:szCs w:val="32"/>
        </w:rPr>
        <w:t>一般公共服务（类）</w:t>
      </w:r>
      <w:r>
        <w:rPr>
          <w:rFonts w:hint="eastAsia" w:ascii="仿宋" w:hAnsi="仿宋" w:eastAsia="仿宋"/>
          <w:sz w:val="32"/>
          <w:szCs w:val="32"/>
        </w:rPr>
        <w:t>支出0万元，占0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教育支出（类）</w:t>
      </w:r>
      <w:r>
        <w:rPr>
          <w:rFonts w:hint="eastAsia" w:ascii="仿宋" w:hAnsi="仿宋" w:eastAsia="仿宋"/>
          <w:sz w:val="32"/>
          <w:szCs w:val="32"/>
        </w:rPr>
        <w:t>684.58万元，占74.95</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科学技术（类）</w:t>
      </w:r>
      <w:r>
        <w:rPr>
          <w:rFonts w:hint="eastAsia" w:ascii="仿宋" w:hAnsi="仿宋" w:eastAsia="仿宋"/>
          <w:sz w:val="32"/>
          <w:szCs w:val="32"/>
        </w:rPr>
        <w:t>支出0万元，占0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文化旅游体育与传媒（类）支出0万元，占0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社会保障和就业（类）</w:t>
      </w:r>
      <w:r>
        <w:rPr>
          <w:rFonts w:hint="eastAsia" w:ascii="仿宋" w:hAnsi="仿宋" w:eastAsia="仿宋"/>
          <w:sz w:val="32"/>
          <w:szCs w:val="32"/>
        </w:rPr>
        <w:t>支出145.17万元，占15.89</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卫生健康支出</w:t>
      </w:r>
      <w:r>
        <w:rPr>
          <w:rFonts w:hint="eastAsia" w:ascii="仿宋" w:hAnsi="仿宋" w:eastAsia="仿宋"/>
          <w:sz w:val="32"/>
          <w:szCs w:val="32"/>
        </w:rPr>
        <w:t>24.65万元，占2.7</w:t>
      </w:r>
      <w:r>
        <w:rPr>
          <w:rFonts w:ascii="仿宋" w:hAnsi="仿宋" w:eastAsia="仿宋"/>
          <w:sz w:val="32"/>
          <w:szCs w:val="32"/>
        </w:rPr>
        <w:t>%</w:t>
      </w:r>
      <w:r>
        <w:rPr>
          <w:rFonts w:hint="eastAsia" w:ascii="仿宋" w:hAnsi="仿宋" w:eastAsia="仿宋"/>
          <w:sz w:val="32"/>
          <w:szCs w:val="32"/>
        </w:rPr>
        <w:t>；住房保障支出58.95万元，占6.45</w:t>
      </w:r>
      <w:r>
        <w:rPr>
          <w:rFonts w:ascii="仿宋" w:hAnsi="仿宋" w:eastAsia="仿宋"/>
          <w:sz w:val="32"/>
          <w:szCs w:val="32"/>
        </w:rPr>
        <w:t>%</w:t>
      </w:r>
      <w:r>
        <w:rPr>
          <w:rFonts w:hint="eastAsia" w:ascii="仿宋" w:hAnsi="仿宋" w:eastAsia="仿宋"/>
          <w:sz w:val="32"/>
          <w:szCs w:val="32"/>
        </w:rPr>
        <w:t>。</w:t>
      </w:r>
    </w:p>
    <w:p>
      <w:pPr>
        <w:spacing w:line="600" w:lineRule="exact"/>
        <w:ind w:firstLine="640"/>
        <w:rPr>
          <w:rFonts w:ascii="仿宋" w:hAnsi="仿宋" w:eastAsia="仿宋"/>
          <w:sz w:val="32"/>
          <w:szCs w:val="32"/>
        </w:rPr>
      </w:pPr>
    </w:p>
    <w:p>
      <w:pPr>
        <w:spacing w:line="600" w:lineRule="exact"/>
        <w:ind w:firstLine="640" w:firstLineChars="200"/>
        <w:rPr>
          <w:rFonts w:ascii="仿宋" w:hAnsi="仿宋" w:eastAsia="仿宋"/>
          <w:sz w:val="32"/>
          <w:szCs w:val="32"/>
        </w:rPr>
      </w:pPr>
    </w:p>
    <w:p>
      <w:pPr>
        <w:pStyle w:val="2"/>
        <w:spacing w:before="93"/>
      </w:pPr>
    </w:p>
    <w:p>
      <w:pPr>
        <w:pStyle w:val="2"/>
        <w:spacing w:before="93"/>
      </w:pPr>
      <w:r>
        <w:drawing>
          <wp:inline distT="0" distB="0" distL="0" distR="0">
            <wp:extent cx="5274310" cy="3398520"/>
            <wp:effectExtent l="57150" t="38100" r="40640" b="49530"/>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pPr>
        <w:spacing w:line="600" w:lineRule="exact"/>
        <w:ind w:firstLine="640" w:firstLineChars="200"/>
      </w:pPr>
      <w:r>
        <w:rPr>
          <w:rFonts w:hint="eastAsia" w:ascii="仿宋" w:hAnsi="仿宋" w:eastAsia="仿宋"/>
          <w:sz w:val="32"/>
          <w:szCs w:val="32"/>
        </w:rPr>
        <w:t>（图6：一般公共预算财政拨款支出决算结构）（饼状图）</w:t>
      </w:r>
    </w:p>
    <w:p>
      <w:pPr>
        <w:spacing w:line="600" w:lineRule="exact"/>
        <w:ind w:firstLine="643" w:firstLineChars="200"/>
        <w:outlineLvl w:val="2"/>
        <w:rPr>
          <w:rFonts w:ascii="仿宋" w:hAnsi="仿宋" w:eastAsia="仿宋"/>
          <w:b/>
          <w:sz w:val="32"/>
          <w:szCs w:val="32"/>
        </w:rPr>
      </w:pPr>
      <w:bookmarkStart w:id="30" w:name="_Toc15377212"/>
      <w:r>
        <w:rPr>
          <w:rFonts w:hint="eastAsia" w:ascii="仿宋" w:hAnsi="仿宋" w:eastAsia="仿宋"/>
          <w:b/>
          <w:sz w:val="32"/>
          <w:szCs w:val="32"/>
        </w:rPr>
        <w:t>（三）一般公共预算财政拨款支出决算具体情况</w:t>
      </w:r>
      <w:bookmarkEnd w:id="30"/>
    </w:p>
    <w:p>
      <w:pPr>
        <w:spacing w:line="600" w:lineRule="exact"/>
        <w:ind w:firstLine="643" w:firstLineChars="200"/>
        <w:outlineLvl w:val="2"/>
        <w:rPr>
          <w:rFonts w:ascii="仿宋" w:hAnsi="仿宋" w:eastAsia="仿宋"/>
          <w:sz w:val="32"/>
          <w:szCs w:val="32"/>
        </w:rPr>
      </w:pPr>
      <w:bookmarkStart w:id="31" w:name="_Toc15378460"/>
      <w:bookmarkStart w:id="32" w:name="_Toc15377213"/>
      <w:bookmarkStart w:id="33" w:name="_Toc15377444"/>
      <w:r>
        <w:rPr>
          <w:rFonts w:hint="eastAsia" w:ascii="仿宋" w:hAnsi="仿宋" w:eastAsia="仿宋"/>
          <w:b/>
          <w:sz w:val="32"/>
          <w:szCs w:val="32"/>
        </w:rPr>
        <w:t>2021年一般公共预算支出决算数为913.35</w:t>
      </w:r>
      <w:r>
        <w:rPr>
          <w:rFonts w:hint="eastAsia" w:ascii="仿宋" w:hAnsi="仿宋" w:eastAsia="仿宋"/>
          <w:sz w:val="32"/>
          <w:szCs w:val="32"/>
        </w:rPr>
        <w:t>，</w:t>
      </w:r>
      <w:r>
        <w:rPr>
          <w:rStyle w:val="14"/>
          <w:rFonts w:hint="eastAsia" w:ascii="仿宋" w:hAnsi="仿宋" w:eastAsia="仿宋"/>
          <w:bCs/>
          <w:sz w:val="32"/>
          <w:szCs w:val="32"/>
        </w:rPr>
        <w:t>完成预算100</w:t>
      </w:r>
      <w:r>
        <w:rPr>
          <w:rStyle w:val="14"/>
          <w:rFonts w:ascii="仿宋" w:hAnsi="仿宋" w:eastAsia="仿宋"/>
          <w:bCs/>
          <w:sz w:val="32"/>
          <w:szCs w:val="32"/>
        </w:rPr>
        <w:t>%</w:t>
      </w:r>
      <w:r>
        <w:rPr>
          <w:rStyle w:val="14"/>
          <w:rFonts w:hint="eastAsia" w:ascii="仿宋" w:hAnsi="仿宋" w:eastAsia="仿宋"/>
          <w:bCs/>
          <w:sz w:val="32"/>
          <w:szCs w:val="32"/>
        </w:rPr>
        <w:t>。其中：</w:t>
      </w:r>
      <w:bookmarkEnd w:id="31"/>
      <w:bookmarkEnd w:id="32"/>
      <w:bookmarkEnd w:id="33"/>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1</w:t>
      </w:r>
      <w:r>
        <w:rPr>
          <w:rStyle w:val="14"/>
          <w:rFonts w:ascii="仿宋" w:hAnsi="仿宋" w:eastAsia="仿宋"/>
          <w:bCs/>
          <w:sz w:val="32"/>
          <w:szCs w:val="32"/>
        </w:rPr>
        <w:t>.</w:t>
      </w:r>
      <w:r>
        <w:rPr>
          <w:rStyle w:val="14"/>
          <w:rFonts w:hint="eastAsia" w:ascii="仿宋" w:hAnsi="仿宋" w:eastAsia="仿宋"/>
          <w:bCs/>
          <w:color w:val="000000"/>
          <w:sz w:val="32"/>
          <w:szCs w:val="32"/>
        </w:rPr>
        <w:t>教育（类）财政事务（款）教育支出（项）</w:t>
      </w:r>
      <w:r>
        <w:rPr>
          <w:rStyle w:val="14"/>
          <w:rFonts w:ascii="仿宋" w:hAnsi="仿宋" w:eastAsia="仿宋"/>
          <w:bCs/>
          <w:sz w:val="32"/>
          <w:szCs w:val="32"/>
        </w:rPr>
        <w:t>:</w:t>
      </w:r>
      <w:r>
        <w:rPr>
          <w:rStyle w:val="14"/>
          <w:rFonts w:hint="eastAsia" w:ascii="仿宋" w:hAnsi="仿宋" w:eastAsia="仿宋"/>
          <w:b w:val="0"/>
          <w:bCs/>
          <w:sz w:val="32"/>
          <w:szCs w:val="32"/>
        </w:rPr>
        <w:t>支出决算为684.58万元，完成预算100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2</w:t>
      </w:r>
      <w:r>
        <w:rPr>
          <w:rStyle w:val="14"/>
          <w:rFonts w:ascii="仿宋" w:hAnsi="仿宋" w:eastAsia="仿宋"/>
          <w:bCs/>
          <w:sz w:val="32"/>
          <w:szCs w:val="32"/>
        </w:rPr>
        <w:t>.</w:t>
      </w:r>
      <w:r>
        <w:rPr>
          <w:rStyle w:val="14"/>
          <w:rFonts w:hint="eastAsia" w:ascii="仿宋" w:hAnsi="仿宋" w:eastAsia="仿宋"/>
          <w:bCs/>
          <w:color w:val="000000"/>
          <w:sz w:val="32"/>
          <w:szCs w:val="32"/>
        </w:rPr>
        <w:t>社会保障和就业支出（类）财政事务（款）社会保障和就业支出（项）</w:t>
      </w:r>
      <w:r>
        <w:rPr>
          <w:rStyle w:val="14"/>
          <w:rFonts w:ascii="仿宋" w:hAnsi="仿宋" w:eastAsia="仿宋"/>
          <w:bCs/>
          <w:sz w:val="32"/>
          <w:szCs w:val="32"/>
        </w:rPr>
        <w:t>:</w:t>
      </w:r>
      <w:r>
        <w:rPr>
          <w:rStyle w:val="14"/>
          <w:rFonts w:hint="eastAsia" w:ascii="仿宋" w:hAnsi="仿宋" w:eastAsia="仿宋"/>
          <w:b w:val="0"/>
          <w:bCs/>
          <w:sz w:val="32"/>
          <w:szCs w:val="32"/>
        </w:rPr>
        <w:t>支出决算为145.17万元，完成预算100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3</w:t>
      </w:r>
      <w:r>
        <w:rPr>
          <w:rStyle w:val="14"/>
          <w:rFonts w:ascii="仿宋" w:hAnsi="仿宋" w:eastAsia="仿宋"/>
          <w:bCs/>
          <w:sz w:val="32"/>
          <w:szCs w:val="32"/>
        </w:rPr>
        <w:t>.</w:t>
      </w:r>
      <w:r>
        <w:rPr>
          <w:rFonts w:hint="eastAsia" w:ascii="仿宋" w:hAnsi="仿宋" w:eastAsia="仿宋"/>
          <w:b/>
          <w:bCs/>
          <w:color w:val="000000"/>
          <w:sz w:val="32"/>
          <w:szCs w:val="32"/>
        </w:rPr>
        <w:t>卫生健康支出</w:t>
      </w:r>
      <w:r>
        <w:rPr>
          <w:rStyle w:val="14"/>
          <w:rFonts w:hint="eastAsia" w:ascii="仿宋" w:hAnsi="仿宋" w:eastAsia="仿宋"/>
          <w:bCs/>
          <w:color w:val="000000"/>
          <w:sz w:val="32"/>
          <w:szCs w:val="32"/>
        </w:rPr>
        <w:t>（类）财政事务（款）卫生健康支出（项）</w:t>
      </w:r>
      <w:r>
        <w:rPr>
          <w:rStyle w:val="14"/>
          <w:rFonts w:ascii="仿宋" w:hAnsi="仿宋" w:eastAsia="仿宋"/>
          <w:bCs/>
          <w:sz w:val="32"/>
          <w:szCs w:val="32"/>
        </w:rPr>
        <w:t>:</w:t>
      </w:r>
      <w:r>
        <w:rPr>
          <w:rStyle w:val="14"/>
          <w:rFonts w:hint="eastAsia" w:ascii="仿宋" w:hAnsi="仿宋" w:eastAsia="仿宋"/>
          <w:b w:val="0"/>
          <w:bCs/>
          <w:sz w:val="32"/>
          <w:szCs w:val="32"/>
        </w:rPr>
        <w:t>支出决算为24.65万元，完成预算100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643" w:firstLineChars="200"/>
        <w:rPr>
          <w:rFonts w:ascii="仿宋" w:hAnsi="仿宋" w:eastAsia="仿宋"/>
          <w:b/>
          <w:sz w:val="32"/>
          <w:szCs w:val="32"/>
        </w:rPr>
      </w:pPr>
      <w:r>
        <w:rPr>
          <w:rStyle w:val="14"/>
          <w:rFonts w:hint="eastAsia" w:ascii="仿宋" w:hAnsi="仿宋" w:eastAsia="仿宋"/>
          <w:bCs/>
          <w:sz w:val="32"/>
          <w:szCs w:val="32"/>
        </w:rPr>
        <w:t>4</w:t>
      </w:r>
      <w:r>
        <w:rPr>
          <w:rStyle w:val="14"/>
          <w:rFonts w:ascii="仿宋" w:hAnsi="仿宋" w:eastAsia="仿宋"/>
          <w:bCs/>
          <w:sz w:val="32"/>
          <w:szCs w:val="32"/>
        </w:rPr>
        <w:t>.</w:t>
      </w:r>
      <w:r>
        <w:rPr>
          <w:rFonts w:hint="eastAsia" w:ascii="仿宋" w:hAnsi="仿宋" w:eastAsia="仿宋"/>
          <w:b/>
          <w:bCs/>
          <w:color w:val="000000"/>
          <w:sz w:val="32"/>
          <w:szCs w:val="32"/>
        </w:rPr>
        <w:t>住房保障支出</w:t>
      </w:r>
      <w:r>
        <w:rPr>
          <w:rStyle w:val="14"/>
          <w:rFonts w:hint="eastAsia" w:ascii="仿宋" w:hAnsi="仿宋" w:eastAsia="仿宋"/>
          <w:bCs/>
          <w:color w:val="000000"/>
          <w:sz w:val="32"/>
          <w:szCs w:val="32"/>
        </w:rPr>
        <w:t>（类）住房改革支出（款）住房公积金（项）</w:t>
      </w:r>
      <w:r>
        <w:rPr>
          <w:rStyle w:val="14"/>
          <w:rFonts w:ascii="仿宋" w:hAnsi="仿宋" w:eastAsia="仿宋"/>
          <w:bCs/>
          <w:sz w:val="32"/>
          <w:szCs w:val="32"/>
        </w:rPr>
        <w:t>:</w:t>
      </w:r>
      <w:r>
        <w:rPr>
          <w:rStyle w:val="14"/>
          <w:rFonts w:hint="eastAsia" w:ascii="仿宋" w:hAnsi="仿宋" w:eastAsia="仿宋"/>
          <w:b w:val="0"/>
          <w:bCs/>
          <w:sz w:val="32"/>
          <w:szCs w:val="32"/>
        </w:rPr>
        <w:t>支出决算为58.95万元，完成预算100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640" w:firstLineChars="200"/>
        <w:rPr>
          <w:rFonts w:ascii="仿宋" w:hAnsi="仿宋" w:eastAsia="仿宋"/>
          <w:sz w:val="32"/>
          <w:szCs w:val="32"/>
        </w:rPr>
      </w:pPr>
    </w:p>
    <w:p>
      <w:pPr>
        <w:tabs>
          <w:tab w:val="right" w:pos="8306"/>
        </w:tabs>
        <w:spacing w:line="600" w:lineRule="exact"/>
        <w:ind w:firstLine="640"/>
        <w:outlineLvl w:val="1"/>
        <w:rPr>
          <w:rStyle w:val="25"/>
        </w:rPr>
      </w:pPr>
      <w:bookmarkStart w:id="34" w:name="_Toc15377214"/>
      <w:bookmarkStart w:id="35" w:name="_Toc15396608"/>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5"/>
          <w:rFonts w:hint="eastAsia" w:ascii="黑体" w:hAnsi="黑体" w:eastAsia="黑体"/>
          <w:b w:val="0"/>
        </w:rPr>
        <w:t>般公共预算财政拨款基本支出决算情况说明</w:t>
      </w:r>
      <w:bookmarkEnd w:id="34"/>
      <w:bookmarkEnd w:id="35"/>
      <w:r>
        <w:rPr>
          <w:rStyle w:val="25"/>
          <w:rFonts w:ascii="黑体" w:hAnsi="黑体" w:eastAsia="黑体"/>
          <w:b w:val="0"/>
        </w:rPr>
        <w:tab/>
      </w:r>
    </w:p>
    <w:p>
      <w:pPr>
        <w:spacing w:line="600" w:lineRule="exact"/>
        <w:ind w:firstLine="645"/>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21年一般公共预算财政拨款基本支出913.35万元，其中：</w:t>
      </w:r>
    </w:p>
    <w:p>
      <w:pPr>
        <w:spacing w:line="600" w:lineRule="exact"/>
        <w:ind w:firstLine="645"/>
        <w:rPr>
          <w:rFonts w:ascii="仿宋" w:hAnsi="仿宋" w:eastAsia="仿宋"/>
          <w:sz w:val="32"/>
          <w:szCs w:val="32"/>
        </w:rPr>
      </w:pPr>
      <w:r>
        <w:rPr>
          <w:rFonts w:hint="eastAsia" w:ascii="仿宋" w:hAnsi="仿宋" w:eastAsia="仿宋"/>
          <w:sz w:val="32"/>
          <w:szCs w:val="32"/>
        </w:rPr>
        <w:t>人员经费820.58万元，主要包括：基本工资、津贴补贴、奖金、伙食补助费、绩效工资、机关事业单位基本养老保险缴费、职业年金缴费、其他社会保障缴费、其他工资福利支出、离休费、退休费、抚恤金、生活补助、医疗费补助、奖励金、住房公积金、其他对个人和家庭的补助支出等。</w:t>
      </w:r>
      <w:r>
        <w:rPr>
          <w:rFonts w:ascii="仿宋" w:hAnsi="仿宋" w:eastAsia="仿宋"/>
          <w:sz w:val="32"/>
          <w:szCs w:val="32"/>
        </w:rPr>
        <w:br w:type="textWrapping"/>
      </w:r>
      <w:r>
        <w:rPr>
          <w:rFonts w:hint="eastAsia" w:ascii="仿宋" w:hAnsi="仿宋" w:eastAsia="仿宋"/>
          <w:sz w:val="32"/>
          <w:szCs w:val="32"/>
        </w:rPr>
        <w:t>　　公用经费92.77万元，主要包括：办公费、印刷费、咨询费、水费、电费、邮电费、差旅费、维修（护）费、培训费、劳务费、工会经费、福利费、其他商品和服务支出、办公设备购置、专用设备购置、信息网络及软件购置更新、其他资本性支出等。</w:t>
      </w:r>
    </w:p>
    <w:p>
      <w:pPr>
        <w:spacing w:line="600" w:lineRule="exact"/>
        <w:ind w:firstLine="645"/>
      </w:pPr>
    </w:p>
    <w:p>
      <w:pPr>
        <w:spacing w:line="600" w:lineRule="exact"/>
        <w:ind w:firstLine="640"/>
        <w:outlineLvl w:val="1"/>
        <w:rPr>
          <w:rStyle w:val="25"/>
          <w:rFonts w:ascii="黑体" w:hAnsi="黑体" w:eastAsia="黑体"/>
          <w:b w:val="0"/>
        </w:rPr>
      </w:pPr>
      <w:bookmarkStart w:id="36" w:name="_Toc15377215"/>
      <w:bookmarkStart w:id="37" w:name="_Toc15396609"/>
      <w:r>
        <w:rPr>
          <w:rFonts w:hint="eastAsia" w:ascii="黑体" w:eastAsia="黑体"/>
          <w:sz w:val="32"/>
          <w:szCs w:val="32"/>
        </w:rPr>
        <w:t>七、</w:t>
      </w:r>
      <w:r>
        <w:rPr>
          <w:rStyle w:val="25"/>
          <w:rFonts w:hint="eastAsia" w:ascii="黑体" w:hAnsi="黑体" w:eastAsia="黑体"/>
        </w:rPr>
        <w:t>“</w:t>
      </w:r>
      <w:r>
        <w:rPr>
          <w:rStyle w:val="25"/>
          <w:rFonts w:hint="eastAsia" w:ascii="黑体" w:hAnsi="黑体" w:eastAsia="黑体"/>
          <w:b w:val="0"/>
        </w:rPr>
        <w:t>三公”经费财政拨款支出决算情况说明</w:t>
      </w:r>
      <w:bookmarkEnd w:id="36"/>
      <w:bookmarkEnd w:id="37"/>
    </w:p>
    <w:p>
      <w:pPr>
        <w:spacing w:line="600" w:lineRule="exact"/>
        <w:ind w:firstLine="640"/>
        <w:outlineLvl w:val="2"/>
        <w:rPr>
          <w:rFonts w:ascii="仿宋" w:hAnsi="仿宋" w:eastAsia="仿宋"/>
          <w:b/>
          <w:sz w:val="32"/>
          <w:szCs w:val="32"/>
        </w:rPr>
      </w:pPr>
      <w:bookmarkStart w:id="38" w:name="_Toc15377216"/>
      <w:r>
        <w:rPr>
          <w:rFonts w:hint="eastAsia" w:ascii="仿宋" w:hAnsi="仿宋" w:eastAsia="仿宋"/>
          <w:b/>
          <w:sz w:val="32"/>
          <w:szCs w:val="32"/>
        </w:rPr>
        <w:t>（一）“三公”经费财政拨款支出决算总体情况说明</w:t>
      </w:r>
      <w:bookmarkEnd w:id="38"/>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21年“三公”经费财政拨款支出决算为0万元，完成预算0</w:t>
      </w:r>
      <w:r>
        <w:rPr>
          <w:rFonts w:ascii="仿宋" w:hAnsi="仿宋" w:eastAsia="仿宋"/>
          <w:sz w:val="32"/>
          <w:szCs w:val="32"/>
        </w:rPr>
        <w:t>%</w:t>
      </w:r>
      <w:r>
        <w:rPr>
          <w:rFonts w:hint="eastAsia" w:ascii="仿宋" w:hAnsi="仿宋" w:eastAsia="仿宋"/>
          <w:sz w:val="32"/>
          <w:szCs w:val="32"/>
        </w:rPr>
        <w:t>。</w:t>
      </w:r>
    </w:p>
    <w:p>
      <w:pPr>
        <w:spacing w:line="600" w:lineRule="exact"/>
        <w:ind w:firstLine="640"/>
        <w:outlineLvl w:val="2"/>
        <w:rPr>
          <w:rFonts w:ascii="仿宋" w:hAnsi="仿宋" w:eastAsia="仿宋"/>
          <w:b/>
          <w:sz w:val="32"/>
          <w:szCs w:val="32"/>
        </w:rPr>
      </w:pPr>
      <w:bookmarkStart w:id="39" w:name="_Toc15377217"/>
      <w:r>
        <w:rPr>
          <w:rFonts w:hint="eastAsia" w:ascii="仿宋" w:hAnsi="仿宋" w:eastAsia="仿宋"/>
          <w:b/>
          <w:sz w:val="32"/>
          <w:szCs w:val="32"/>
        </w:rPr>
        <w:t>（二）“三公”经费财政拨款支出决算具体情况说明</w:t>
      </w:r>
      <w:bookmarkEnd w:id="39"/>
    </w:p>
    <w:p>
      <w:pPr>
        <w:spacing w:line="600" w:lineRule="exact"/>
        <w:ind w:firstLine="640"/>
      </w:pPr>
      <w:r>
        <w:rPr>
          <w:rFonts w:ascii="仿宋" w:hAnsi="仿宋" w:eastAsia="仿宋"/>
          <w:sz w:val="32"/>
          <w:szCs w:val="32"/>
        </w:rPr>
        <w:t>20</w:t>
      </w:r>
      <w:r>
        <w:rPr>
          <w:rFonts w:hint="eastAsia" w:ascii="仿宋" w:hAnsi="仿宋" w:eastAsia="仿宋"/>
          <w:sz w:val="32"/>
          <w:szCs w:val="32"/>
        </w:rPr>
        <w:t>21年“三公”经费财政拨款支出决算中，因公出国（境）费支出决算0万元，占0</w:t>
      </w:r>
      <w:r>
        <w:rPr>
          <w:rFonts w:ascii="仿宋" w:hAnsi="仿宋" w:eastAsia="仿宋"/>
          <w:sz w:val="32"/>
          <w:szCs w:val="32"/>
        </w:rPr>
        <w:t>%</w:t>
      </w:r>
      <w:r>
        <w:rPr>
          <w:rFonts w:hint="eastAsia" w:ascii="仿宋" w:hAnsi="仿宋" w:eastAsia="仿宋"/>
          <w:sz w:val="32"/>
          <w:szCs w:val="32"/>
        </w:rPr>
        <w:t>；公务用车购置及运行维护费支出决算0万元，占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；公务接待费支出决算</w:t>
      </w:r>
      <w:r>
        <w:rPr>
          <w:rFonts w:hint="eastAsia" w:ascii="仿宋" w:hAnsi="仿宋" w:eastAsia="仿宋"/>
          <w:sz w:val="32"/>
          <w:szCs w:val="32"/>
          <w:lang w:val="en-US" w:eastAsia="zh-CN"/>
        </w:rPr>
        <w:t>0</w:t>
      </w:r>
      <w:r>
        <w:rPr>
          <w:rFonts w:hint="eastAsia" w:ascii="仿宋" w:hAnsi="仿宋" w:eastAsia="仿宋"/>
          <w:sz w:val="32"/>
          <w:szCs w:val="32"/>
        </w:rPr>
        <w:t>万元，占0</w:t>
      </w:r>
      <w:r>
        <w:rPr>
          <w:rFonts w:ascii="仿宋" w:hAnsi="仿宋" w:eastAsia="仿宋"/>
          <w:sz w:val="32"/>
          <w:szCs w:val="32"/>
        </w:rPr>
        <w:t>%</w:t>
      </w:r>
      <w:r>
        <w:rPr>
          <w:rFonts w:hint="eastAsia" w:ascii="仿宋" w:hAnsi="仿宋" w:eastAsia="仿宋"/>
          <w:sz w:val="32"/>
          <w:szCs w:val="32"/>
        </w:rPr>
        <w:t>。具体情况如下：</w:t>
      </w:r>
    </w:p>
    <w:p>
      <w:pPr>
        <w:pStyle w:val="2"/>
        <w:spacing w:before="93"/>
      </w:pPr>
      <w:r>
        <w:drawing>
          <wp:inline distT="0" distB="0" distL="0" distR="0">
            <wp:extent cx="5274310" cy="2792095"/>
            <wp:effectExtent l="38735" t="18415" r="40005" b="6604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spacing w:line="600" w:lineRule="exact"/>
        <w:ind w:firstLine="640"/>
        <w:rPr>
          <w:rFonts w:ascii="仿宋" w:hAnsi="仿宋" w:eastAsia="仿宋"/>
          <w:sz w:val="32"/>
          <w:szCs w:val="32"/>
        </w:rPr>
      </w:pPr>
      <w:r>
        <w:rPr>
          <w:rFonts w:hint="eastAsia" w:ascii="仿宋" w:hAnsi="仿宋" w:eastAsia="仿宋"/>
          <w:sz w:val="32"/>
          <w:szCs w:val="32"/>
        </w:rPr>
        <w:t>（图7：“三公”经费财政拨款支出结构）（饼状图）</w:t>
      </w:r>
    </w:p>
    <w:p>
      <w:pPr>
        <w:numPr>
          <w:ilvl w:val="0"/>
          <w:numId w:val="3"/>
        </w:numPr>
        <w:spacing w:line="600" w:lineRule="exact"/>
        <w:ind w:firstLine="640"/>
        <w:rPr>
          <w:rStyle w:val="14"/>
          <w:rFonts w:ascii="仿宋" w:hAnsi="仿宋" w:eastAsia="仿宋"/>
          <w:b w:val="0"/>
          <w:bCs/>
          <w:sz w:val="32"/>
          <w:szCs w:val="32"/>
        </w:rPr>
      </w:pPr>
      <w:r>
        <w:rPr>
          <w:rFonts w:hint="eastAsia" w:ascii="仿宋_GB2312" w:eastAsia="仿宋_GB2312"/>
          <w:b/>
          <w:sz w:val="32"/>
          <w:szCs w:val="32"/>
        </w:rPr>
        <w:t>因公出国（境）经费支出</w:t>
      </w:r>
      <w:r>
        <w:rPr>
          <w:rFonts w:hint="eastAsia" w:ascii="仿宋_GB2312" w:eastAsia="仿宋_GB2312"/>
          <w:sz w:val="32"/>
          <w:szCs w:val="32"/>
        </w:rPr>
        <w:t>0万元，</w:t>
      </w:r>
      <w:r>
        <w:rPr>
          <w:rStyle w:val="14"/>
          <w:rFonts w:hint="eastAsia" w:ascii="仿宋" w:hAnsi="仿宋" w:eastAsia="仿宋"/>
          <w:b w:val="0"/>
          <w:bCs/>
          <w:sz w:val="32"/>
          <w:szCs w:val="32"/>
        </w:rPr>
        <w:t>完成预算</w:t>
      </w:r>
      <w:r>
        <w:rPr>
          <w:rStyle w:val="14"/>
          <w:rFonts w:hint="eastAsia" w:ascii="仿宋" w:hAnsi="仿宋" w:eastAsia="仿宋"/>
          <w:b w:val="0"/>
          <w:bCs/>
          <w:sz w:val="32"/>
          <w:szCs w:val="32"/>
          <w:lang w:val="en-US" w:eastAsia="zh-CN"/>
        </w:rPr>
        <w:t>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3" w:firstLineChars="200"/>
        <w:rPr>
          <w:rFonts w:ascii="仿宋_GB2312" w:eastAsia="仿宋_GB2312"/>
          <w:b/>
          <w:sz w:val="32"/>
          <w:szCs w:val="32"/>
        </w:rPr>
      </w:pPr>
      <w:r>
        <w:rPr>
          <w:rFonts w:ascii="仿宋_GB2312" w:eastAsia="仿宋_GB2312"/>
          <w:b/>
          <w:sz w:val="32"/>
          <w:szCs w:val="32"/>
        </w:rPr>
        <w:t>2.</w:t>
      </w:r>
      <w:r>
        <w:rPr>
          <w:rFonts w:hint="eastAsia" w:ascii="仿宋_GB2312" w:eastAsia="仿宋_GB2312"/>
          <w:b/>
          <w:sz w:val="32"/>
          <w:szCs w:val="32"/>
        </w:rPr>
        <w:t>公务用车购置及运行维护费支出</w:t>
      </w:r>
      <w:r>
        <w:rPr>
          <w:rFonts w:hint="eastAsia" w:ascii="仿宋_GB2312" w:eastAsia="仿宋_GB2312"/>
          <w:sz w:val="32"/>
          <w:szCs w:val="32"/>
        </w:rPr>
        <w:t>0万元,</w:t>
      </w:r>
      <w:r>
        <w:rPr>
          <w:rStyle w:val="14"/>
          <w:rFonts w:hint="eastAsia" w:ascii="仿宋" w:hAnsi="仿宋" w:eastAsia="仿宋"/>
          <w:b w:val="0"/>
          <w:bCs/>
          <w:sz w:val="32"/>
          <w:szCs w:val="32"/>
        </w:rPr>
        <w:t>完成预算0</w:t>
      </w:r>
      <w:r>
        <w:rPr>
          <w:rStyle w:val="14"/>
          <w:rFonts w:ascii="仿宋" w:hAnsi="仿宋" w:eastAsia="仿宋"/>
          <w:b w:val="0"/>
          <w:bCs/>
          <w:sz w:val="32"/>
          <w:szCs w:val="32"/>
        </w:rPr>
        <w:t>%</w:t>
      </w:r>
      <w:r>
        <w:rPr>
          <w:rStyle w:val="14"/>
          <w:rFonts w:hint="eastAsia" w:ascii="仿宋" w:hAnsi="仿宋" w:eastAsia="仿宋"/>
          <w:b w:val="0"/>
          <w:bCs/>
          <w:sz w:val="32"/>
          <w:szCs w:val="32"/>
        </w:rPr>
        <w:t>。</w:t>
      </w:r>
    </w:p>
    <w:p>
      <w:pPr>
        <w:spacing w:line="600" w:lineRule="exact"/>
        <w:ind w:firstLine="640"/>
        <w:rPr>
          <w:rFonts w:ascii="仿宋_GB2312" w:eastAsia="仿宋_GB2312"/>
          <w:sz w:val="32"/>
          <w:szCs w:val="32"/>
        </w:rPr>
      </w:pPr>
      <w:r>
        <w:rPr>
          <w:rFonts w:ascii="仿宋_GB2312" w:eastAsia="仿宋_GB2312"/>
          <w:b/>
          <w:sz w:val="32"/>
          <w:szCs w:val="32"/>
        </w:rPr>
        <w:t>3.</w:t>
      </w:r>
      <w:r>
        <w:rPr>
          <w:rFonts w:hint="eastAsia" w:ascii="仿宋_GB2312" w:eastAsia="仿宋_GB2312"/>
          <w:b/>
          <w:sz w:val="32"/>
          <w:szCs w:val="32"/>
        </w:rPr>
        <w:t>公务接待费支出</w:t>
      </w:r>
      <w:r>
        <w:rPr>
          <w:rFonts w:hint="eastAsia" w:ascii="仿宋_GB2312" w:eastAsia="仿宋_GB2312"/>
          <w:sz w:val="32"/>
          <w:szCs w:val="32"/>
        </w:rPr>
        <w:t>0万元，</w:t>
      </w:r>
      <w:r>
        <w:rPr>
          <w:rStyle w:val="14"/>
          <w:rFonts w:hint="eastAsia" w:ascii="仿宋" w:hAnsi="仿宋" w:eastAsia="仿宋"/>
          <w:b w:val="0"/>
          <w:bCs/>
          <w:sz w:val="32"/>
          <w:szCs w:val="32"/>
        </w:rPr>
        <w:t>完成预算0</w:t>
      </w:r>
      <w:r>
        <w:rPr>
          <w:rStyle w:val="14"/>
          <w:rFonts w:ascii="仿宋" w:hAnsi="仿宋" w:eastAsia="仿宋"/>
          <w:b w:val="0"/>
          <w:bCs/>
          <w:sz w:val="32"/>
          <w:szCs w:val="32"/>
        </w:rPr>
        <w:t>%</w:t>
      </w:r>
    </w:p>
    <w:p>
      <w:pPr>
        <w:spacing w:line="600" w:lineRule="exact"/>
        <w:ind w:firstLine="640"/>
        <w:outlineLvl w:val="1"/>
        <w:rPr>
          <w:rStyle w:val="25"/>
          <w:rFonts w:ascii="黑体" w:hAnsi="黑体" w:eastAsia="黑体"/>
        </w:rPr>
      </w:pPr>
      <w:bookmarkStart w:id="40" w:name="_Toc15377218"/>
      <w:bookmarkStart w:id="41" w:name="_Toc15396610"/>
      <w:r>
        <w:rPr>
          <w:rFonts w:hint="eastAsia" w:ascii="黑体" w:eastAsia="黑体"/>
          <w:sz w:val="32"/>
          <w:szCs w:val="32"/>
        </w:rPr>
        <w:t>八、</w:t>
      </w:r>
      <w:r>
        <w:rPr>
          <w:rStyle w:val="25"/>
          <w:rFonts w:hint="eastAsia" w:ascii="黑体" w:hAnsi="黑体" w:eastAsia="黑体"/>
          <w:b w:val="0"/>
        </w:rPr>
        <w:t>政府性基金预算支出决算情况说明</w:t>
      </w:r>
      <w:bookmarkEnd w:id="40"/>
      <w:bookmarkEnd w:id="41"/>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21年政府性基金预算财政拨款支出0万元。</w:t>
      </w:r>
    </w:p>
    <w:p>
      <w:pPr>
        <w:spacing w:line="600" w:lineRule="exact"/>
        <w:ind w:firstLine="640"/>
        <w:rPr>
          <w:rFonts w:ascii="仿宋_GB2312" w:eastAsia="仿宋_GB2312"/>
          <w:sz w:val="32"/>
          <w:szCs w:val="32"/>
        </w:rPr>
      </w:pPr>
    </w:p>
    <w:p>
      <w:pPr>
        <w:numPr>
          <w:ilvl w:val="0"/>
          <w:numId w:val="4"/>
        </w:numPr>
        <w:spacing w:line="600" w:lineRule="exact"/>
        <w:ind w:firstLine="640"/>
        <w:outlineLvl w:val="1"/>
        <w:rPr>
          <w:rStyle w:val="25"/>
          <w:rFonts w:ascii="黑体" w:hAnsi="黑体" w:eastAsia="黑体"/>
          <w:b w:val="0"/>
        </w:rPr>
      </w:pPr>
      <w:bookmarkStart w:id="42" w:name="_Toc15377219"/>
      <w:bookmarkStart w:id="43" w:name="_Toc15396611"/>
      <w:r>
        <w:rPr>
          <w:rStyle w:val="25"/>
          <w:rFonts w:hint="eastAsia" w:ascii="黑体" w:hAnsi="黑体" w:eastAsia="黑体"/>
          <w:b w:val="0"/>
        </w:rPr>
        <w:t>国有资本经营预算支出决算情况说明</w:t>
      </w:r>
      <w:bookmarkEnd w:id="42"/>
      <w:bookmarkEnd w:id="43"/>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21年国有资本经营预算财政拨款支出0万元。</w:t>
      </w:r>
    </w:p>
    <w:p>
      <w:pPr>
        <w:spacing w:line="580" w:lineRule="exact"/>
        <w:jc w:val="center"/>
        <w:rPr>
          <w:rFonts w:ascii="方正小标宋简体" w:hAnsi="方正小标宋简体" w:eastAsia="方正小标宋简体" w:cs="方正小标宋简体"/>
          <w:sz w:val="44"/>
          <w:szCs w:val="44"/>
        </w:rPr>
      </w:pPr>
    </w:p>
    <w:p>
      <w:pPr>
        <w:numPr>
          <w:ilvl w:val="0"/>
          <w:numId w:val="4"/>
        </w:numPr>
        <w:spacing w:line="600" w:lineRule="exact"/>
        <w:ind w:firstLine="640"/>
        <w:outlineLvl w:val="1"/>
        <w:rPr>
          <w:rStyle w:val="25"/>
          <w:rFonts w:ascii="黑体" w:hAnsi="黑体" w:eastAsia="黑体"/>
          <w:b w:val="0"/>
        </w:rPr>
      </w:pPr>
      <w:bookmarkStart w:id="44" w:name="_Toc15396612"/>
      <w:bookmarkStart w:id="45" w:name="_Toc15377221"/>
      <w:r>
        <w:rPr>
          <w:rStyle w:val="25"/>
          <w:rFonts w:hint="eastAsia" w:ascii="黑体" w:hAnsi="黑体" w:eastAsia="黑体"/>
          <w:b w:val="0"/>
        </w:rPr>
        <w:t>其他重要事项的情况说明</w:t>
      </w:r>
      <w:bookmarkEnd w:id="44"/>
      <w:bookmarkEnd w:id="45"/>
    </w:p>
    <w:p>
      <w:pPr>
        <w:spacing w:line="600" w:lineRule="exact"/>
        <w:ind w:firstLine="643" w:firstLineChars="200"/>
        <w:outlineLvl w:val="2"/>
        <w:rPr>
          <w:rFonts w:ascii="仿宋" w:hAnsi="仿宋" w:eastAsia="仿宋"/>
          <w:sz w:val="32"/>
          <w:szCs w:val="32"/>
        </w:rPr>
      </w:pPr>
      <w:bookmarkStart w:id="46" w:name="_Toc15377222"/>
      <w:r>
        <w:rPr>
          <w:rFonts w:hint="eastAsia" w:ascii="仿宋" w:hAnsi="仿宋" w:eastAsia="仿宋"/>
          <w:b/>
          <w:sz w:val="32"/>
          <w:szCs w:val="32"/>
        </w:rPr>
        <w:t>（一）机关运行经费支出情况</w:t>
      </w:r>
      <w:bookmarkEnd w:id="46"/>
    </w:p>
    <w:p>
      <w:pPr>
        <w:spacing w:line="600" w:lineRule="exact"/>
        <w:ind w:firstLine="640" w:firstLineChars="200"/>
        <w:rPr>
          <w:rFonts w:ascii="仿宋" w:hAnsi="仿宋" w:eastAsia="仿宋"/>
          <w:b/>
          <w:sz w:val="32"/>
          <w:szCs w:val="32"/>
        </w:rPr>
      </w:pPr>
      <w:r>
        <w:rPr>
          <w:rFonts w:ascii="仿宋_GB2312" w:eastAsia="仿宋_GB2312"/>
          <w:sz w:val="32"/>
          <w:szCs w:val="32"/>
        </w:rPr>
        <w:t>20</w:t>
      </w:r>
      <w:r>
        <w:rPr>
          <w:rFonts w:hint="eastAsia" w:ascii="仿宋_GB2312" w:eastAsia="仿宋_GB2312"/>
          <w:sz w:val="32"/>
          <w:szCs w:val="32"/>
        </w:rPr>
        <w:t>21年市中区教师发展中心机关运行经费支出0万元，比</w:t>
      </w:r>
      <w:r>
        <w:rPr>
          <w:rFonts w:ascii="仿宋_GB2312" w:eastAsia="仿宋_GB2312"/>
          <w:sz w:val="32"/>
          <w:szCs w:val="32"/>
        </w:rPr>
        <w:t>20</w:t>
      </w:r>
      <w:r>
        <w:rPr>
          <w:rFonts w:hint="eastAsia" w:ascii="仿宋_GB2312" w:eastAsia="仿宋_GB2312"/>
          <w:sz w:val="32"/>
          <w:szCs w:val="32"/>
        </w:rPr>
        <w:t>20年增加</w:t>
      </w:r>
      <w:r>
        <w:rPr>
          <w:rFonts w:ascii="仿宋_GB2312" w:eastAsia="仿宋_GB2312"/>
          <w:sz w:val="32"/>
          <w:szCs w:val="32"/>
        </w:rPr>
        <w:t>/</w:t>
      </w:r>
      <w:r>
        <w:rPr>
          <w:rFonts w:hint="eastAsia" w:ascii="仿宋_GB2312" w:eastAsia="仿宋_GB2312"/>
          <w:sz w:val="32"/>
          <w:szCs w:val="32"/>
        </w:rPr>
        <w:t>减少0万元，与</w:t>
      </w:r>
      <w:r>
        <w:rPr>
          <w:rFonts w:ascii="仿宋_GB2312" w:eastAsia="仿宋_GB2312"/>
          <w:sz w:val="32"/>
          <w:szCs w:val="32"/>
        </w:rPr>
        <w:t>20</w:t>
      </w:r>
      <w:r>
        <w:rPr>
          <w:rFonts w:hint="eastAsia" w:ascii="仿宋_GB2312" w:eastAsia="仿宋_GB2312"/>
          <w:sz w:val="32"/>
          <w:szCs w:val="32"/>
        </w:rPr>
        <w:t>20年决算数持平。</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47" w:name="_Toc15377223"/>
      <w:r>
        <w:rPr>
          <w:rFonts w:hint="eastAsia" w:ascii="仿宋" w:hAnsi="仿宋" w:eastAsia="仿宋"/>
          <w:b/>
          <w:sz w:val="32"/>
          <w:szCs w:val="32"/>
        </w:rPr>
        <w:t>（二）政府采购支出情况</w:t>
      </w:r>
      <w:bookmarkEnd w:id="47"/>
    </w:p>
    <w:p>
      <w:pPr>
        <w:spacing w:line="600" w:lineRule="exact"/>
        <w:ind w:firstLine="640" w:firstLineChars="20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21年，市中区教师发展中心政府采购支出总额0万元，其中：政府采购货物支出0万元、政府采购工程支出0万元、政府采购服务支出0万元。</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48" w:name="_Toc15377224"/>
      <w:r>
        <w:rPr>
          <w:rFonts w:hint="eastAsia" w:ascii="仿宋" w:hAnsi="仿宋" w:eastAsia="仿宋"/>
          <w:b/>
          <w:sz w:val="32"/>
          <w:szCs w:val="32"/>
        </w:rPr>
        <w:t>（三）国有资产占有使用情况</w:t>
      </w:r>
      <w:bookmarkEnd w:id="48"/>
    </w:p>
    <w:p>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截至</w:t>
      </w:r>
      <w:r>
        <w:rPr>
          <w:rFonts w:ascii="仿宋_GB2312" w:eastAsia="仿宋_GB2312"/>
          <w:sz w:val="32"/>
          <w:szCs w:val="32"/>
        </w:rPr>
        <w:t>20</w:t>
      </w:r>
      <w:r>
        <w:rPr>
          <w:rFonts w:hint="eastAsia" w:ascii="仿宋_GB2312" w:eastAsia="仿宋_GB2312"/>
          <w:sz w:val="32"/>
          <w:szCs w:val="32"/>
        </w:rPr>
        <w:t>21年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日，市中区教师发展中心共有车辆0辆，其中：主要领导干部用车0辆、机要通信用车0</w:t>
      </w:r>
      <w:r>
        <w:rPr>
          <w:rFonts w:ascii="仿宋_GB2312" w:eastAsia="仿宋_GB2312"/>
          <w:sz w:val="32"/>
          <w:szCs w:val="32"/>
        </w:rPr>
        <w:t>*</w:t>
      </w:r>
      <w:r>
        <w:rPr>
          <w:rFonts w:hint="eastAsia" w:ascii="仿宋_GB2312" w:eastAsia="仿宋_GB2312"/>
          <w:sz w:val="32"/>
          <w:szCs w:val="32"/>
        </w:rPr>
        <w:t>辆、应急保障用车0辆、其他用车0辆。</w:t>
      </w:r>
    </w:p>
    <w:p>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根据预算绩效管理要求，本单位在2021年度预算编制阶段，组织对教师培训费项目开展了预算事前绩效评估，对1个项目编制了绩效目标，预算执行过程中，选取1个项目开展绩效监控，年终执行完毕后，对1个项目开展了绩效自评，2021年特定目标类部门预算项目绩效目标自评表见附件（第四部分）。</w:t>
      </w:r>
    </w:p>
    <w:p>
      <w:pPr>
        <w:autoSpaceDE w:val="0"/>
        <w:autoSpaceDN w:val="0"/>
        <w:adjustRightInd w:val="0"/>
        <w:spacing w:line="600" w:lineRule="exact"/>
        <w:ind w:firstLine="643" w:firstLineChars="200"/>
        <w:rPr>
          <w:rFonts w:ascii="仿宋" w:hAnsi="仿宋" w:eastAsia="仿宋"/>
          <w:b/>
          <w:sz w:val="32"/>
          <w:szCs w:val="32"/>
        </w:rPr>
      </w:pPr>
    </w:p>
    <w:p>
      <w:pPr>
        <w:pStyle w:val="2"/>
        <w:spacing w:before="93"/>
        <w:rPr>
          <w:highlight w:val="yellow"/>
        </w:rPr>
      </w:pPr>
    </w:p>
    <w:p>
      <w:pPr>
        <w:widowControl/>
        <w:jc w:val="left"/>
        <w:rPr>
          <w:rFonts w:ascii="仿宋_GB2312" w:eastAsia="仿宋_GB2312"/>
          <w:b/>
          <w:sz w:val="32"/>
          <w:szCs w:val="32"/>
        </w:rPr>
      </w:pPr>
      <w:r>
        <w:rPr>
          <w:rFonts w:ascii="仿宋_GB2312" w:eastAsia="仿宋_GB2312"/>
          <w:b/>
          <w:sz w:val="32"/>
          <w:szCs w:val="32"/>
        </w:rPr>
        <w:br w:type="page"/>
      </w:r>
    </w:p>
    <w:p>
      <w:pPr>
        <w:numPr>
          <w:ilvl w:val="0"/>
          <w:numId w:val="5"/>
        </w:numPr>
        <w:spacing w:line="600" w:lineRule="exact"/>
        <w:ind w:firstLine="660" w:firstLineChars="150"/>
        <w:jc w:val="center"/>
        <w:outlineLvl w:val="0"/>
        <w:rPr>
          <w:rStyle w:val="24"/>
          <w:rFonts w:ascii="黑体" w:hAnsi="黑体" w:eastAsia="黑体"/>
          <w:b w:val="0"/>
        </w:rPr>
      </w:pPr>
      <w:bookmarkStart w:id="49" w:name="_Toc15377225"/>
      <w:bookmarkStart w:id="50" w:name="_Toc15396613"/>
      <w:r>
        <w:rPr>
          <w:rFonts w:hint="eastAsia" w:ascii="黑体" w:hAnsi="黑体" w:eastAsia="黑体"/>
          <w:sz w:val="44"/>
          <w:szCs w:val="44"/>
        </w:rPr>
        <w:t>名</w:t>
      </w:r>
      <w:r>
        <w:rPr>
          <w:rStyle w:val="24"/>
          <w:rFonts w:hint="eastAsia" w:ascii="黑体" w:hAnsi="黑体" w:eastAsia="黑体"/>
          <w:b w:val="0"/>
        </w:rPr>
        <w:t>词解释</w:t>
      </w:r>
      <w:bookmarkEnd w:id="49"/>
      <w:bookmarkEnd w:id="50"/>
    </w:p>
    <w:p>
      <w:pPr>
        <w:spacing w:line="600" w:lineRule="exact"/>
        <w:jc w:val="left"/>
        <w:rPr>
          <w:rFonts w:ascii="宋体"/>
          <w:b/>
          <w:sz w:val="44"/>
          <w:szCs w:val="44"/>
        </w:rPr>
      </w:pPr>
    </w:p>
    <w:p>
      <w:pPr>
        <w:pStyle w:val="22"/>
        <w:spacing w:line="560" w:lineRule="exact"/>
        <w:ind w:firstLine="640" w:firstLineChars="200"/>
        <w:rPr>
          <w:rFonts w:ascii="仿宋_GB2312" w:eastAsia="仿宋_GB2312"/>
          <w:color w:val="auto"/>
          <w:sz w:val="32"/>
          <w:szCs w:val="32"/>
        </w:rPr>
      </w:pPr>
      <w:bookmarkStart w:id="51" w:name="_Toc15396614"/>
      <w:bookmarkStart w:id="52" w:name="_Toc15377226"/>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pPr>
        <w:pStyle w:val="22"/>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2</w:t>
      </w:r>
      <w:r>
        <w:rPr>
          <w:rFonts w:ascii="仿宋_GB2312" w:eastAsia="仿宋_GB2312"/>
          <w:color w:val="auto"/>
          <w:sz w:val="32"/>
          <w:szCs w:val="32"/>
        </w:rPr>
        <w:t>.</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pPr>
        <w:pStyle w:val="22"/>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3</w:t>
      </w:r>
      <w:r>
        <w:rPr>
          <w:rFonts w:ascii="仿宋_GB2312" w:eastAsia="仿宋_GB2312"/>
          <w:color w:val="auto"/>
          <w:sz w:val="32"/>
          <w:szCs w:val="32"/>
        </w:rPr>
        <w:t>.</w:t>
      </w:r>
      <w:r>
        <w:rPr>
          <w:rFonts w:hint="eastAsia" w:ascii="仿宋_GB2312" w:eastAsia="仿宋_GB2312"/>
          <w:color w:val="auto"/>
          <w:sz w:val="32"/>
          <w:szCs w:val="32"/>
        </w:rPr>
        <w:t>结余分配：指事业单位按照会计制度规定缴纳的所得税、提取的专用结余以及转入非财政拨款结余的金额等。</w:t>
      </w:r>
    </w:p>
    <w:p>
      <w:pPr>
        <w:pStyle w:val="22"/>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4</w:t>
      </w:r>
      <w:r>
        <w:rPr>
          <w:rFonts w:hint="eastAsia" w:ascii="仿宋_GB2312" w:eastAsia="仿宋_GB2312"/>
          <w:color w:val="auto"/>
          <w:sz w:val="32"/>
          <w:szCs w:val="32"/>
        </w:rPr>
        <w:t>、年末结转和结余：指单位按有关规定结转到下年或以后年度继续使用的资金。</w:t>
      </w:r>
    </w:p>
    <w:p>
      <w:pPr>
        <w:ind w:firstLine="640" w:firstLineChars="200"/>
        <w:rPr>
          <w:rFonts w:ascii="仿宋_GB2312" w:eastAsia="仿宋_GB2312"/>
          <w:sz w:val="32"/>
          <w:szCs w:val="32"/>
        </w:rPr>
      </w:pPr>
      <w:r>
        <w:rPr>
          <w:rFonts w:hint="eastAsia" w:ascii="仿宋_GB2312" w:eastAsia="仿宋_GB2312"/>
          <w:sz w:val="32"/>
          <w:szCs w:val="32"/>
          <w:lang w:val="en-US" w:eastAsia="zh-CN"/>
        </w:rPr>
        <w:t>5</w:t>
      </w:r>
      <w:r>
        <w:rPr>
          <w:rFonts w:ascii="仿宋_GB2312" w:eastAsia="仿宋_GB2312"/>
          <w:sz w:val="32"/>
          <w:szCs w:val="32"/>
        </w:rPr>
        <w:t>.</w:t>
      </w:r>
      <w:r>
        <w:rPr>
          <w:rFonts w:eastAsia="仿宋_GB2312"/>
          <w:color w:val="000000"/>
          <w:sz w:val="32"/>
          <w:szCs w:val="32"/>
        </w:rPr>
        <w:t>一般公共服务（类）组织事务（款）其他组织事务支出（项）:指其他用于组织事务方面的支出。</w:t>
      </w:r>
    </w:p>
    <w:p>
      <w:pPr>
        <w:ind w:firstLine="640" w:firstLineChars="200"/>
        <w:rPr>
          <w:rFonts w:eastAsia="仿宋_GB2312"/>
          <w:color w:val="000000"/>
          <w:sz w:val="32"/>
          <w:szCs w:val="32"/>
        </w:rPr>
      </w:pPr>
      <w:r>
        <w:rPr>
          <w:rFonts w:hint="eastAsia" w:ascii="仿宋_GB2312" w:eastAsia="仿宋_GB2312"/>
          <w:sz w:val="32"/>
          <w:szCs w:val="32"/>
          <w:lang w:val="en-US" w:eastAsia="zh-CN"/>
        </w:rPr>
        <w:t>6</w:t>
      </w:r>
      <w:r>
        <w:rPr>
          <w:rFonts w:eastAsia="仿宋_GB2312"/>
          <w:color w:val="000000"/>
          <w:sz w:val="32"/>
          <w:szCs w:val="32"/>
        </w:rPr>
        <w:t>.教育（类）进修及培训（款）教师进修（项）:指反映教师进修、师资培训支出。</w:t>
      </w:r>
    </w:p>
    <w:p>
      <w:pPr>
        <w:pStyle w:val="2"/>
        <w:ind w:firstLine="640" w:firstLineChars="200"/>
      </w:pPr>
      <w:r>
        <w:rPr>
          <w:rFonts w:hint="eastAsia"/>
          <w:color w:val="000000"/>
          <w:sz w:val="32"/>
          <w:szCs w:val="32"/>
          <w:lang w:val="en-US" w:eastAsia="zh-CN"/>
        </w:rPr>
        <w:t>7</w:t>
      </w:r>
      <w:r>
        <w:rPr>
          <w:rFonts w:eastAsia="仿宋_GB2312"/>
          <w:color w:val="000000"/>
          <w:sz w:val="32"/>
          <w:szCs w:val="32"/>
        </w:rPr>
        <w:t>.教育（类）教育费附加安排的支出（款）其他教育费附加安排的支出（项）:指反映除上述项目以外其他用于教育费附加安排方面的支出。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8</w:t>
      </w:r>
      <w:r>
        <w:rPr>
          <w:rFonts w:eastAsia="仿宋_GB2312"/>
          <w:color w:val="000000"/>
          <w:sz w:val="32"/>
          <w:szCs w:val="32"/>
        </w:rPr>
        <w:t>.社会保障和就业（类）人力资源和社会保障管理事（款） 社会保险经办机构（项）:反映社会保险经办机构开展业务工作的支出。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9</w:t>
      </w:r>
      <w:r>
        <w:rPr>
          <w:rFonts w:eastAsia="仿宋_GB2312"/>
          <w:color w:val="000000"/>
          <w:sz w:val="32"/>
          <w:szCs w:val="32"/>
        </w:rPr>
        <w:t>.社会保障和就业（类）行政事业单位离退休（款）未归口管理的行政单位离退休（项）:。指未实行归口管理的行政单位（包括实行公务员管理的事业单位）开支的离退休支出。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10</w:t>
      </w:r>
      <w:r>
        <w:rPr>
          <w:rFonts w:eastAsia="仿宋_GB2312"/>
          <w:color w:val="000000"/>
          <w:sz w:val="32"/>
          <w:szCs w:val="32"/>
        </w:rPr>
        <w:t>.社会保障和就业（类）行政事业单位离退休（款）机关事业单位基本养老保险缴费支出（项）:指机关事业单位实施养老保险制度由单位缴纳的基本养老保险费支出。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11</w:t>
      </w:r>
      <w:r>
        <w:rPr>
          <w:rFonts w:eastAsia="仿宋_GB2312"/>
          <w:color w:val="000000"/>
          <w:sz w:val="32"/>
          <w:szCs w:val="32"/>
        </w:rPr>
        <w:t>.社会保障和就业（类）行政事业单位离退休（款）其他行政事业单位离退休支出（项）:其他用于行政事业单位离退休方面的支出。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12</w:t>
      </w:r>
      <w:r>
        <w:rPr>
          <w:rFonts w:eastAsia="仿宋_GB2312"/>
          <w:color w:val="000000"/>
          <w:sz w:val="32"/>
          <w:szCs w:val="32"/>
        </w:rPr>
        <w:t>.社会保障和就业（类）抚恤（款）死亡抚恤（项）:指按规定用于烈士和牺牲、病故人员家属的一次性和定期抚恤金以及丧葬补助费。</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13</w:t>
      </w:r>
      <w:r>
        <w:rPr>
          <w:rFonts w:eastAsia="仿宋_GB2312"/>
          <w:color w:val="000000"/>
          <w:sz w:val="32"/>
          <w:szCs w:val="32"/>
        </w:rPr>
        <w:t>.社会保障和就业（类）残疾人事业（款）其他残疾人事业支出（项）:反映其他用于残疾人事业方面的支出。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14</w:t>
      </w:r>
      <w:r>
        <w:rPr>
          <w:rFonts w:eastAsia="仿宋_GB2312"/>
          <w:color w:val="000000"/>
          <w:sz w:val="32"/>
          <w:szCs w:val="32"/>
        </w:rPr>
        <w:t>.社会保障和就业（类）其他社会保障和就业支出（款）其他社会保障和就业支出（项）:指社会保障和就业方面的其他支出。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15</w:t>
      </w:r>
      <w:r>
        <w:rPr>
          <w:rFonts w:eastAsia="仿宋_GB2312"/>
          <w:color w:val="000000"/>
          <w:sz w:val="32"/>
          <w:szCs w:val="32"/>
        </w:rPr>
        <w:t>.医疗卫生与计划生育（类）医疗保障（款）行政单位医疗（项）:指财政部门集中安排的行政单位基本医疗保险缴费经费，未参加医疗保险的行政单位的公费医疗经费，按国家规定享受离休人员、红军老战士待遇人员的医疗经费。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16</w:t>
      </w:r>
      <w:r>
        <w:rPr>
          <w:rFonts w:eastAsia="仿宋_GB2312"/>
          <w:color w:val="000000"/>
          <w:sz w:val="32"/>
          <w:szCs w:val="32"/>
        </w:rPr>
        <w:t>.医疗卫生与计划生育（类）医疗保障（款）事业单位医疗（项）:指财政部门集中安排的事业单位基本医疗保险缴费经费，未参加医疗保险的事业单位的公费医疗经费，按国家规定享受离休人员待遇人员的医疗经费。</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17</w:t>
      </w:r>
      <w:r>
        <w:rPr>
          <w:rFonts w:eastAsia="仿宋_GB2312"/>
          <w:color w:val="000000"/>
          <w:sz w:val="32"/>
          <w:szCs w:val="32"/>
        </w:rPr>
        <w:t>.住房保障（类）住房改革支出（款）住房公积金（项）:各单位按人力资源和社会保障部、财政部规定的基本工资和津贴补贴以及规定比例为职工缴纳的住房公积金。 </w:t>
      </w:r>
    </w:p>
    <w:p>
      <w:pPr>
        <w:ind w:firstLine="640" w:firstLineChars="200"/>
        <w:rPr>
          <w:rFonts w:ascii="仿宋_GB2312" w:eastAsia="仿宋_GB2312"/>
          <w:sz w:val="32"/>
          <w:szCs w:val="32"/>
        </w:rPr>
      </w:pPr>
      <w:r>
        <w:rPr>
          <w:rFonts w:hint="eastAsia" w:ascii="仿宋_GB2312" w:eastAsia="仿宋_GB2312"/>
          <w:sz w:val="32"/>
          <w:szCs w:val="32"/>
          <w:lang w:val="en-US" w:eastAsia="zh-CN"/>
        </w:rPr>
        <w:t>18</w:t>
      </w:r>
      <w:r>
        <w:rPr>
          <w:rFonts w:ascii="仿宋_GB2312" w:eastAsia="仿宋_GB2312"/>
          <w:sz w:val="32"/>
          <w:szCs w:val="32"/>
        </w:rPr>
        <w:t>.</w:t>
      </w:r>
      <w:r>
        <w:rPr>
          <w:rFonts w:hint="eastAsia" w:ascii="仿宋_GB2312" w:eastAsia="仿宋_GB2312"/>
          <w:sz w:val="32"/>
          <w:szCs w:val="32"/>
        </w:rPr>
        <w:t>基本支出：指为保障机构正常运转、完成日常工作任务而发生的人员支出和公用支出。</w:t>
      </w:r>
    </w:p>
    <w:p>
      <w:pPr>
        <w:ind w:firstLine="640" w:firstLineChars="200"/>
        <w:rPr>
          <w:rFonts w:ascii="仿宋_GB2312" w:eastAsia="仿宋_GB2312"/>
          <w:sz w:val="32"/>
          <w:szCs w:val="32"/>
        </w:rPr>
      </w:pPr>
      <w:r>
        <w:rPr>
          <w:rFonts w:hint="eastAsia" w:ascii="仿宋_GB2312" w:eastAsia="仿宋_GB2312"/>
          <w:sz w:val="32"/>
          <w:szCs w:val="32"/>
          <w:lang w:val="en-US" w:eastAsia="zh-CN"/>
        </w:rPr>
        <w:t>19</w:t>
      </w:r>
      <w:r>
        <w:rPr>
          <w:rFonts w:ascii="仿宋_GB2312" w:eastAsia="仿宋_GB2312"/>
          <w:sz w:val="32"/>
          <w:szCs w:val="32"/>
        </w:rPr>
        <w:t>.</w:t>
      </w:r>
      <w:r>
        <w:rPr>
          <w:rFonts w:hint="eastAsia" w:ascii="仿宋_GB2312" w:eastAsia="仿宋_GB2312"/>
          <w:sz w:val="32"/>
          <w:szCs w:val="32"/>
        </w:rPr>
        <w:t>项目支出：指在基本支出之外为完成特定行政任务和事业发展目标所发生的支出。</w:t>
      </w:r>
      <w:r>
        <w:rPr>
          <w:rFonts w:ascii="仿宋_GB2312" w:eastAsia="仿宋_GB2312"/>
          <w:sz w:val="32"/>
          <w:szCs w:val="32"/>
        </w:rPr>
        <w:t xml:space="preserve"> </w:t>
      </w:r>
    </w:p>
    <w:p>
      <w:pPr>
        <w:pStyle w:val="22"/>
        <w:spacing w:line="560" w:lineRule="exact"/>
        <w:ind w:firstLine="640" w:firstLineChars="200"/>
        <w:rPr>
          <w:rFonts w:hint="eastAsia" w:ascii="仿宋_GB2312" w:eastAsia="仿宋_GB2312"/>
          <w:color w:val="auto"/>
          <w:sz w:val="32"/>
          <w:szCs w:val="32"/>
        </w:rPr>
      </w:pPr>
      <w:r>
        <w:rPr>
          <w:rFonts w:hint="eastAsia" w:ascii="仿宋_GB2312" w:eastAsia="仿宋_GB2312"/>
          <w:color w:val="auto"/>
          <w:sz w:val="32"/>
          <w:szCs w:val="32"/>
          <w:lang w:val="en-US" w:eastAsia="zh-CN"/>
        </w:rPr>
        <w:t>20</w:t>
      </w:r>
      <w:r>
        <w:rPr>
          <w:rFonts w:ascii="仿宋_GB2312" w:eastAsia="仿宋_GB2312"/>
          <w:color w:val="auto"/>
          <w:sz w:val="32"/>
          <w:szCs w:val="32"/>
        </w:rPr>
        <w:t>.</w:t>
      </w:r>
      <w:r>
        <w:rPr>
          <w:rFonts w:hint="eastAsia" w:ascii="仿宋_GB2312" w:eastAsia="仿宋_GB2312"/>
          <w:color w:val="auto"/>
          <w:sz w:val="32"/>
          <w:szCs w:val="32"/>
        </w:rPr>
        <w:t>“三公”经费：指单位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Style w:val="24"/>
          <w:rFonts w:ascii="黑体" w:hAnsi="黑体" w:eastAsia="黑体"/>
          <w:b w:val="0"/>
        </w:rPr>
      </w:pPr>
      <w:r>
        <w:rPr>
          <w:rFonts w:hint="eastAsia" w:ascii="黑体" w:hAnsi="黑体" w:eastAsia="黑体"/>
          <w:sz w:val="44"/>
          <w:szCs w:val="44"/>
        </w:rPr>
        <w:t>第</w:t>
      </w:r>
      <w:r>
        <w:rPr>
          <w:rStyle w:val="24"/>
          <w:rFonts w:hint="eastAsia" w:ascii="黑体" w:hAnsi="黑体" w:eastAsia="黑体"/>
          <w:b w:val="0"/>
        </w:rPr>
        <w:t>四部分 附件</w:t>
      </w:r>
      <w:bookmarkEnd w:id="51"/>
    </w:p>
    <w:p>
      <w:pPr>
        <w:spacing w:line="572" w:lineRule="exact"/>
        <w:jc w:val="left"/>
        <w:outlineLvl w:val="0"/>
        <w:rPr>
          <w:rFonts w:ascii="仿宋_GB2312" w:hAnsi="仿宋_GB2312" w:eastAsia="仿宋_GB2312" w:cs="仿宋_GB2312"/>
          <w:sz w:val="32"/>
          <w:szCs w:val="32"/>
        </w:rPr>
      </w:pPr>
      <w:r>
        <w:rPr>
          <w:rFonts w:hint="eastAsia" w:ascii="黑体" w:hAnsi="黑体" w:eastAsia="黑体" w:cs="黑体"/>
          <w:sz w:val="32"/>
          <w:szCs w:val="32"/>
        </w:rPr>
        <w:t>附件</w:t>
      </w:r>
    </w:p>
    <w:tbl>
      <w:tblPr>
        <w:tblStyle w:val="12"/>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1668"/>
        <w:gridCol w:w="1134"/>
        <w:gridCol w:w="316"/>
        <w:gridCol w:w="1101"/>
        <w:gridCol w:w="534"/>
        <w:gridCol w:w="1189"/>
        <w:gridCol w:w="1224"/>
        <w:gridCol w:w="172"/>
        <w:gridCol w:w="2237"/>
        <w:gridCol w:w="236"/>
      </w:tblGrid>
      <w:tr>
        <w:tblPrEx>
          <w:tblCellMar>
            <w:top w:w="0" w:type="dxa"/>
            <w:left w:w="108" w:type="dxa"/>
            <w:bottom w:w="0" w:type="dxa"/>
            <w:right w:w="108" w:type="dxa"/>
          </w:tblCellMar>
        </w:tblPrEx>
        <w:trPr>
          <w:trHeight w:val="675" w:hRule="atLeast"/>
        </w:trPr>
        <w:tc>
          <w:tcPr>
            <w:tcW w:w="9575" w:type="dxa"/>
            <w:gridSpan w:val="9"/>
            <w:tcBorders>
              <w:top w:val="nil"/>
              <w:left w:val="nil"/>
              <w:bottom w:val="nil"/>
              <w:right w:val="nil"/>
            </w:tcBorders>
            <w:shd w:val="clear" w:color="auto" w:fill="auto"/>
            <w:vAlign w:val="center"/>
          </w:tcPr>
          <w:p>
            <w:pPr>
              <w:widowControl/>
              <w:jc w:val="center"/>
              <w:textAlignment w:val="center"/>
              <w:rPr>
                <w:rFonts w:ascii="宋体" w:hAnsi="宋体" w:cs="宋体"/>
                <w:b/>
                <w:sz w:val="32"/>
                <w:szCs w:val="32"/>
              </w:rPr>
            </w:pPr>
            <w:bookmarkStart w:id="53" w:name="_Toc15396618"/>
            <w:r>
              <w:rPr>
                <w:rFonts w:hint="eastAsia" w:ascii="宋体" w:hAnsi="宋体" w:cs="宋体"/>
                <w:b/>
                <w:sz w:val="32"/>
                <w:szCs w:val="32"/>
              </w:rPr>
              <w:t>2021年特定目标类部门预算项目绩效目标自评</w:t>
            </w:r>
          </w:p>
        </w:tc>
        <w:tc>
          <w:tcPr>
            <w:tcW w:w="236" w:type="dxa"/>
            <w:tcBorders>
              <w:top w:val="nil"/>
              <w:left w:val="nil"/>
              <w:bottom w:val="nil"/>
              <w:right w:val="nil"/>
            </w:tcBorders>
            <w:shd w:val="clear" w:color="auto" w:fill="auto"/>
            <w:vAlign w:val="center"/>
          </w:tcPr>
          <w:p>
            <w:pPr>
              <w:widowControl/>
              <w:jc w:val="center"/>
              <w:textAlignment w:val="center"/>
              <w:rPr>
                <w:rFonts w:ascii="宋体" w:hAnsi="宋体" w:cs="宋体"/>
                <w:b/>
                <w:kern w:val="0"/>
                <w:sz w:val="32"/>
                <w:szCs w:val="32"/>
              </w:rPr>
            </w:pPr>
          </w:p>
        </w:tc>
      </w:tr>
      <w:tr>
        <w:tblPrEx>
          <w:tblCellMar>
            <w:top w:w="0" w:type="dxa"/>
            <w:left w:w="108" w:type="dxa"/>
            <w:bottom w:w="0" w:type="dxa"/>
            <w:right w:w="108" w:type="dxa"/>
          </w:tblCellMar>
        </w:tblPrEx>
        <w:trPr>
          <w:gridAfter w:val="1"/>
          <w:wAfter w:w="236" w:type="dxa"/>
          <w:trHeight w:val="254" w:hRule="atLeast"/>
        </w:trPr>
        <w:tc>
          <w:tcPr>
            <w:tcW w:w="3118"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主管部门及代码</w:t>
            </w:r>
          </w:p>
        </w:tc>
        <w:tc>
          <w:tcPr>
            <w:tcW w:w="282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宋体" w:hAnsi="宋体" w:cs="宋体"/>
                <w:sz w:val="24"/>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实施单位</w:t>
            </w:r>
          </w:p>
        </w:tc>
        <w:tc>
          <w:tcPr>
            <w:tcW w:w="24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sz w:val="24"/>
              </w:rPr>
              <w:t>区教师发展中心</w:t>
            </w:r>
          </w:p>
        </w:tc>
      </w:tr>
      <w:tr>
        <w:tblPrEx>
          <w:tblCellMar>
            <w:top w:w="0" w:type="dxa"/>
            <w:left w:w="108" w:type="dxa"/>
            <w:bottom w:w="0" w:type="dxa"/>
            <w:right w:w="108" w:type="dxa"/>
          </w:tblCellMar>
        </w:tblPrEx>
        <w:trPr>
          <w:gridAfter w:val="1"/>
          <w:wAfter w:w="236" w:type="dxa"/>
          <w:trHeight w:val="341" w:hRule="atLeast"/>
        </w:trPr>
        <w:tc>
          <w:tcPr>
            <w:tcW w:w="3118"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项目预算</w:t>
            </w:r>
            <w:r>
              <w:rPr>
                <w:rFonts w:hint="eastAsia" w:ascii="宋体" w:hAnsi="宋体" w:cs="宋体"/>
                <w:kern w:val="0"/>
                <w:sz w:val="24"/>
              </w:rPr>
              <w:br w:type="textWrapping"/>
            </w:r>
            <w:r>
              <w:rPr>
                <w:rFonts w:hint="eastAsia" w:ascii="宋体" w:hAnsi="宋体" w:cs="宋体"/>
                <w:kern w:val="0"/>
                <w:sz w:val="24"/>
              </w:rPr>
              <w:t>执行情况</w:t>
            </w:r>
            <w:r>
              <w:rPr>
                <w:rFonts w:hint="eastAsia" w:ascii="宋体" w:hAnsi="宋体" w:cs="宋体"/>
                <w:kern w:val="0"/>
                <w:sz w:val="24"/>
              </w:rPr>
              <w:br w:type="textWrapping"/>
            </w:r>
            <w:r>
              <w:rPr>
                <w:rFonts w:hint="eastAsia" w:ascii="宋体" w:hAnsi="宋体" w:cs="宋体"/>
                <w:kern w:val="0"/>
                <w:sz w:val="24"/>
              </w:rPr>
              <w:t>（万元）</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预算数：</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sz w:val="24"/>
              </w:rPr>
              <w:t>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执行数：</w:t>
            </w:r>
          </w:p>
        </w:tc>
        <w:tc>
          <w:tcPr>
            <w:tcW w:w="24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ascii="宋体" w:hAnsi="宋体" w:cs="宋体"/>
                <w:sz w:val="24"/>
              </w:rPr>
            </w:pPr>
            <w:r>
              <w:rPr>
                <w:rFonts w:hint="eastAsia" w:ascii="宋体" w:hAnsi="宋体" w:cs="宋体"/>
                <w:sz w:val="24"/>
              </w:rPr>
              <w:t>2.83</w:t>
            </w:r>
          </w:p>
        </w:tc>
      </w:tr>
      <w:tr>
        <w:tblPrEx>
          <w:tblCellMar>
            <w:top w:w="0" w:type="dxa"/>
            <w:left w:w="108" w:type="dxa"/>
            <w:bottom w:w="0" w:type="dxa"/>
            <w:right w:w="108" w:type="dxa"/>
          </w:tblCellMar>
        </w:tblPrEx>
        <w:trPr>
          <w:gridAfter w:val="1"/>
          <w:wAfter w:w="236" w:type="dxa"/>
          <w:trHeight w:val="555" w:hRule="atLeast"/>
        </w:trPr>
        <w:tc>
          <w:tcPr>
            <w:tcW w:w="3118"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sz w:val="24"/>
              </w:rPr>
              <w:t>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24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ind w:firstLine="1680" w:firstLineChars="700"/>
              <w:textAlignment w:val="center"/>
              <w:rPr>
                <w:rFonts w:ascii="宋体" w:hAnsi="宋体" w:cs="宋体"/>
                <w:sz w:val="24"/>
              </w:rPr>
            </w:pPr>
            <w:r>
              <w:rPr>
                <w:rFonts w:hint="eastAsia" w:ascii="宋体" w:hAnsi="宋体" w:cs="宋体"/>
                <w:sz w:val="24"/>
              </w:rPr>
              <w:t>2.83</w:t>
            </w:r>
          </w:p>
        </w:tc>
      </w:tr>
      <w:tr>
        <w:tblPrEx>
          <w:tblCellMar>
            <w:top w:w="0" w:type="dxa"/>
            <w:left w:w="108" w:type="dxa"/>
            <w:bottom w:w="0" w:type="dxa"/>
            <w:right w:w="108" w:type="dxa"/>
          </w:tblCellMar>
        </w:tblPrEx>
        <w:trPr>
          <w:gridAfter w:val="1"/>
          <w:wAfter w:w="236" w:type="dxa"/>
          <w:trHeight w:val="341" w:hRule="atLeast"/>
        </w:trPr>
        <w:tc>
          <w:tcPr>
            <w:tcW w:w="3118"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240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p>
        </w:tc>
      </w:tr>
      <w:tr>
        <w:tblPrEx>
          <w:tblCellMar>
            <w:top w:w="0" w:type="dxa"/>
            <w:left w:w="108" w:type="dxa"/>
            <w:bottom w:w="0" w:type="dxa"/>
            <w:right w:w="108" w:type="dxa"/>
          </w:tblCellMar>
        </w:tblPrEx>
        <w:trPr>
          <w:gridAfter w:val="1"/>
          <w:wAfter w:w="236" w:type="dxa"/>
          <w:trHeight w:val="217" w:hRule="atLeast"/>
        </w:trPr>
        <w:tc>
          <w:tcPr>
            <w:tcW w:w="16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kern w:val="0"/>
                <w:sz w:val="24"/>
              </w:rPr>
            </w:pPr>
            <w:r>
              <w:rPr>
                <w:rFonts w:hint="eastAsia" w:ascii="宋体" w:hAnsi="宋体" w:cs="宋体"/>
                <w:kern w:val="0"/>
                <w:sz w:val="24"/>
              </w:rPr>
              <w:t>年度总体目标</w:t>
            </w:r>
          </w:p>
          <w:p>
            <w:pPr>
              <w:widowControl/>
              <w:spacing w:line="320" w:lineRule="exact"/>
              <w:jc w:val="center"/>
              <w:textAlignment w:val="center"/>
              <w:rPr>
                <w:rFonts w:ascii="宋体" w:hAnsi="宋体" w:cs="宋体"/>
                <w:sz w:val="24"/>
              </w:rPr>
            </w:pPr>
            <w:r>
              <w:rPr>
                <w:rFonts w:hint="eastAsia" w:ascii="宋体" w:hAnsi="宋体" w:cs="宋体"/>
                <w:kern w:val="0"/>
                <w:sz w:val="24"/>
              </w:rPr>
              <w:t>完成情况</w:t>
            </w:r>
          </w:p>
        </w:tc>
        <w:tc>
          <w:tcPr>
            <w:tcW w:w="427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预期目标</w:t>
            </w:r>
          </w:p>
        </w:tc>
        <w:tc>
          <w:tcPr>
            <w:tcW w:w="36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目标实际完成情况</w:t>
            </w:r>
          </w:p>
        </w:tc>
      </w:tr>
      <w:tr>
        <w:tblPrEx>
          <w:tblCellMar>
            <w:top w:w="0" w:type="dxa"/>
            <w:left w:w="108" w:type="dxa"/>
            <w:bottom w:w="0" w:type="dxa"/>
            <w:right w:w="108" w:type="dxa"/>
          </w:tblCellMar>
        </w:tblPrEx>
        <w:trPr>
          <w:gridAfter w:val="1"/>
          <w:wAfter w:w="236" w:type="dxa"/>
          <w:trHeight w:val="797" w:hRule="atLeast"/>
        </w:trPr>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4274" w:type="dxa"/>
            <w:gridSpan w:val="5"/>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rPr>
            </w:pPr>
            <w:r>
              <w:rPr>
                <w:rFonts w:hint="eastAsia" w:ascii="宋体" w:hAnsi="宋体" w:cs="宋体"/>
                <w:sz w:val="24"/>
              </w:rPr>
              <w:t>新教师培训，名师工作室主持人培训，骨干教师培训，教育系统后备干部培训。</w:t>
            </w:r>
          </w:p>
        </w:tc>
        <w:tc>
          <w:tcPr>
            <w:tcW w:w="3633"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rPr>
            </w:pPr>
            <w:r>
              <w:rPr>
                <w:rFonts w:hint="eastAsia" w:ascii="宋体" w:hAnsi="宋体" w:cs="宋体"/>
                <w:sz w:val="24"/>
              </w:rPr>
              <w:t>完成新教师培训，名师工作室主持人培训，骨干教师培训，教育系统后备干部培训，总计1000人次，因疫情原因，原定部分外出学习培训改为线上培训，本地培训，因此预算的钱没有用完。</w:t>
            </w:r>
          </w:p>
        </w:tc>
      </w:tr>
      <w:tr>
        <w:tblPrEx>
          <w:tblCellMar>
            <w:top w:w="0" w:type="dxa"/>
            <w:left w:w="108" w:type="dxa"/>
            <w:bottom w:w="0" w:type="dxa"/>
            <w:right w:w="108" w:type="dxa"/>
          </w:tblCellMar>
        </w:tblPrEx>
        <w:trPr>
          <w:gridAfter w:val="1"/>
          <w:wAfter w:w="236" w:type="dxa"/>
          <w:trHeight w:val="693" w:hRule="atLeast"/>
        </w:trPr>
        <w:tc>
          <w:tcPr>
            <w:tcW w:w="1668"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年度绩效指标完成情况</w:t>
            </w:r>
          </w:p>
        </w:tc>
        <w:tc>
          <w:tcPr>
            <w:tcW w:w="1134"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一级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41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二级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72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三级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39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预期指标值</w:t>
            </w:r>
          </w:p>
        </w:tc>
        <w:tc>
          <w:tcPr>
            <w:tcW w:w="223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实际完成指标值</w:t>
            </w:r>
          </w:p>
        </w:tc>
      </w:tr>
      <w:tr>
        <w:tblPrEx>
          <w:tblCellMar>
            <w:top w:w="0" w:type="dxa"/>
            <w:left w:w="108" w:type="dxa"/>
            <w:bottom w:w="0" w:type="dxa"/>
            <w:right w:w="108" w:type="dxa"/>
          </w:tblCellMar>
        </w:tblPrEx>
        <w:trPr>
          <w:gridAfter w:val="1"/>
          <w:wAfter w:w="236" w:type="dxa"/>
          <w:trHeight w:val="591" w:hRule="atLeast"/>
        </w:trPr>
        <w:tc>
          <w:tcPr>
            <w:tcW w:w="1668"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完成</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417"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数量指标</w:t>
            </w:r>
          </w:p>
        </w:tc>
        <w:tc>
          <w:tcPr>
            <w:tcW w:w="1723"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各类教师培训</w:t>
            </w:r>
          </w:p>
        </w:tc>
        <w:tc>
          <w:tcPr>
            <w:tcW w:w="1396"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1000人次</w:t>
            </w:r>
          </w:p>
        </w:tc>
        <w:tc>
          <w:tcPr>
            <w:tcW w:w="2237"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完成教师培训1000人次</w:t>
            </w:r>
          </w:p>
        </w:tc>
      </w:tr>
      <w:tr>
        <w:tblPrEx>
          <w:tblCellMar>
            <w:top w:w="0" w:type="dxa"/>
            <w:left w:w="108" w:type="dxa"/>
            <w:bottom w:w="0" w:type="dxa"/>
            <w:right w:w="108" w:type="dxa"/>
          </w:tblCellMar>
        </w:tblPrEx>
        <w:trPr>
          <w:gridAfter w:val="1"/>
          <w:wAfter w:w="236" w:type="dxa"/>
          <w:trHeight w:val="415" w:hRule="atLeast"/>
        </w:trPr>
        <w:tc>
          <w:tcPr>
            <w:tcW w:w="1668"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417"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质量指标</w:t>
            </w:r>
          </w:p>
        </w:tc>
        <w:tc>
          <w:tcPr>
            <w:tcW w:w="1723"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教师考核通过情况</w:t>
            </w:r>
          </w:p>
        </w:tc>
        <w:tc>
          <w:tcPr>
            <w:tcW w:w="1396"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jc w:val="center"/>
              <w:rPr>
                <w:rFonts w:ascii="宋体" w:hAnsi="宋体" w:cs="宋体"/>
                <w:sz w:val="18"/>
                <w:szCs w:val="18"/>
              </w:rPr>
            </w:pPr>
            <w:r>
              <w:rPr>
                <w:rFonts w:hint="eastAsia"/>
                <w:sz w:val="18"/>
                <w:szCs w:val="18"/>
              </w:rPr>
              <w:t>≥95%</w:t>
            </w:r>
          </w:p>
        </w:tc>
        <w:tc>
          <w:tcPr>
            <w:tcW w:w="2237" w:type="dxa"/>
            <w:tcBorders>
              <w:top w:val="single" w:color="000000" w:sz="4" w:space="0"/>
              <w:left w:val="single" w:color="000000" w:sz="4" w:space="0"/>
              <w:bottom w:val="single" w:color="000000" w:sz="4" w:space="0"/>
              <w:right w:val="single" w:color="000000" w:sz="4" w:space="0"/>
            </w:tcBorders>
            <w:shd w:val="clear" w:color="auto" w:fill="auto"/>
            <w:vAlign w:val="bottom"/>
          </w:tcPr>
          <w:p>
            <w:pPr>
              <w:jc w:val="center"/>
              <w:rPr>
                <w:rFonts w:ascii="宋体" w:hAnsi="宋体" w:cs="宋体"/>
                <w:sz w:val="18"/>
                <w:szCs w:val="18"/>
              </w:rPr>
            </w:pPr>
            <w:r>
              <w:rPr>
                <w:rFonts w:hint="eastAsia"/>
                <w:sz w:val="18"/>
                <w:szCs w:val="18"/>
              </w:rPr>
              <w:t>≥95%</w:t>
            </w:r>
          </w:p>
        </w:tc>
      </w:tr>
      <w:tr>
        <w:tblPrEx>
          <w:tblCellMar>
            <w:top w:w="0" w:type="dxa"/>
            <w:left w:w="108" w:type="dxa"/>
            <w:bottom w:w="0" w:type="dxa"/>
            <w:right w:w="108" w:type="dxa"/>
          </w:tblCellMar>
        </w:tblPrEx>
        <w:trPr>
          <w:gridAfter w:val="1"/>
          <w:wAfter w:w="236" w:type="dxa"/>
          <w:trHeight w:val="415" w:hRule="atLeast"/>
        </w:trPr>
        <w:tc>
          <w:tcPr>
            <w:tcW w:w="1668"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417"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时效指标</w:t>
            </w:r>
          </w:p>
        </w:tc>
        <w:tc>
          <w:tcPr>
            <w:tcW w:w="1723"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培训费用划拨</w:t>
            </w:r>
          </w:p>
        </w:tc>
        <w:tc>
          <w:tcPr>
            <w:tcW w:w="1396"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足额按时划拨</w:t>
            </w:r>
          </w:p>
        </w:tc>
        <w:tc>
          <w:tcPr>
            <w:tcW w:w="2237"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足额按时划拨</w:t>
            </w:r>
          </w:p>
        </w:tc>
      </w:tr>
      <w:tr>
        <w:tblPrEx>
          <w:tblCellMar>
            <w:top w:w="0" w:type="dxa"/>
            <w:left w:w="108" w:type="dxa"/>
            <w:bottom w:w="0" w:type="dxa"/>
            <w:right w:w="108" w:type="dxa"/>
          </w:tblCellMar>
        </w:tblPrEx>
        <w:trPr>
          <w:gridAfter w:val="1"/>
          <w:wAfter w:w="236" w:type="dxa"/>
          <w:trHeight w:val="518" w:hRule="atLeast"/>
        </w:trPr>
        <w:tc>
          <w:tcPr>
            <w:tcW w:w="1668"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417"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成本指标</w:t>
            </w:r>
          </w:p>
        </w:tc>
        <w:tc>
          <w:tcPr>
            <w:tcW w:w="1723"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人均培训费用</w:t>
            </w:r>
          </w:p>
        </w:tc>
        <w:tc>
          <w:tcPr>
            <w:tcW w:w="1396"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50/人</w:t>
            </w:r>
          </w:p>
        </w:tc>
        <w:tc>
          <w:tcPr>
            <w:tcW w:w="2237"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50/人</w:t>
            </w:r>
          </w:p>
        </w:tc>
      </w:tr>
      <w:tr>
        <w:tblPrEx>
          <w:tblCellMar>
            <w:top w:w="0" w:type="dxa"/>
            <w:left w:w="108" w:type="dxa"/>
            <w:bottom w:w="0" w:type="dxa"/>
            <w:right w:w="108" w:type="dxa"/>
          </w:tblCellMar>
        </w:tblPrEx>
        <w:trPr>
          <w:gridAfter w:val="1"/>
          <w:wAfter w:w="236" w:type="dxa"/>
          <w:trHeight w:val="695" w:hRule="atLeast"/>
        </w:trPr>
        <w:tc>
          <w:tcPr>
            <w:tcW w:w="1668"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效益</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指标</w:t>
            </w:r>
          </w:p>
        </w:tc>
        <w:tc>
          <w:tcPr>
            <w:tcW w:w="1417" w:type="dxa"/>
            <w:gridSpan w:val="2"/>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 xml:space="preserve"> </w:t>
            </w:r>
          </w:p>
          <w:p>
            <w:pPr>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社会效益  指标</w:t>
            </w:r>
          </w:p>
        </w:tc>
        <w:tc>
          <w:tcPr>
            <w:tcW w:w="1723" w:type="dxa"/>
            <w:gridSpan w:val="2"/>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参训人员能力提升情况</w:t>
            </w:r>
          </w:p>
        </w:tc>
        <w:tc>
          <w:tcPr>
            <w:tcW w:w="1396" w:type="dxa"/>
            <w:gridSpan w:val="2"/>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经过培训，参训教师师德、教育教学技能提升明显</w:t>
            </w:r>
          </w:p>
        </w:tc>
        <w:tc>
          <w:tcPr>
            <w:tcW w:w="2237" w:type="dxa"/>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经过培训，参训教师师德、教育教学技能提升明显</w:t>
            </w:r>
          </w:p>
        </w:tc>
      </w:tr>
      <w:tr>
        <w:tblPrEx>
          <w:tblCellMar>
            <w:top w:w="0" w:type="dxa"/>
            <w:left w:w="108" w:type="dxa"/>
            <w:bottom w:w="0" w:type="dxa"/>
            <w:right w:w="108" w:type="dxa"/>
          </w:tblCellMar>
        </w:tblPrEx>
        <w:trPr>
          <w:gridAfter w:val="1"/>
          <w:wAfter w:w="236" w:type="dxa"/>
          <w:trHeight w:val="571" w:hRule="atLeast"/>
        </w:trPr>
        <w:tc>
          <w:tcPr>
            <w:tcW w:w="1668"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417" w:type="dxa"/>
            <w:gridSpan w:val="2"/>
            <w:tcBorders>
              <w:top w:val="single" w:color="000000" w:sz="4" w:space="0"/>
              <w:left w:val="single" w:color="000000" w:sz="4" w:space="0"/>
              <w:right w:val="single" w:color="000000" w:sz="4" w:space="0"/>
            </w:tcBorders>
            <w:shd w:val="clear" w:color="auto" w:fill="auto"/>
            <w:vAlign w:val="bottom"/>
          </w:tcPr>
          <w:p>
            <w:pPr>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可持续影响 指标</w:t>
            </w:r>
          </w:p>
        </w:tc>
        <w:tc>
          <w:tcPr>
            <w:tcW w:w="1723" w:type="dxa"/>
            <w:gridSpan w:val="2"/>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整体教学质量提升情况</w:t>
            </w:r>
          </w:p>
        </w:tc>
        <w:tc>
          <w:tcPr>
            <w:tcW w:w="1396" w:type="dxa"/>
            <w:gridSpan w:val="2"/>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整体教学质量居全市前列</w:t>
            </w:r>
          </w:p>
        </w:tc>
        <w:tc>
          <w:tcPr>
            <w:tcW w:w="2237" w:type="dxa"/>
            <w:tcBorders>
              <w:top w:val="single" w:color="000000" w:sz="4" w:space="0"/>
              <w:left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我区整体教学质量各个学段均位于全市第一</w:t>
            </w:r>
          </w:p>
        </w:tc>
      </w:tr>
      <w:tr>
        <w:tblPrEx>
          <w:tblCellMar>
            <w:top w:w="0" w:type="dxa"/>
            <w:left w:w="108" w:type="dxa"/>
            <w:bottom w:w="0" w:type="dxa"/>
            <w:right w:w="108" w:type="dxa"/>
          </w:tblCellMar>
        </w:tblPrEx>
        <w:trPr>
          <w:gridAfter w:val="1"/>
          <w:wAfter w:w="236" w:type="dxa"/>
          <w:trHeight w:val="530" w:hRule="atLeast"/>
        </w:trPr>
        <w:tc>
          <w:tcPr>
            <w:tcW w:w="1668"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满意</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度指标</w:t>
            </w:r>
          </w:p>
        </w:tc>
        <w:tc>
          <w:tcPr>
            <w:tcW w:w="1417"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满意度</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723"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ascii="仿宋_GB2312" w:hAnsi="仿宋_GB2312" w:eastAsia="仿宋_GB2312" w:cs="仿宋_GB2312"/>
                <w:sz w:val="18"/>
                <w:szCs w:val="18"/>
              </w:rPr>
              <w:t>参与培训教师满意度</w:t>
            </w:r>
          </w:p>
        </w:tc>
        <w:tc>
          <w:tcPr>
            <w:tcW w:w="1396" w:type="dxa"/>
            <w:gridSpan w:val="2"/>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sz w:val="18"/>
                <w:szCs w:val="18"/>
              </w:rPr>
              <w:t>≥95%</w:t>
            </w:r>
          </w:p>
        </w:tc>
        <w:tc>
          <w:tcPr>
            <w:tcW w:w="2237"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18"/>
                <w:szCs w:val="18"/>
              </w:rPr>
            </w:pPr>
            <w:r>
              <w:rPr>
                <w:rFonts w:hint="eastAsia"/>
                <w:sz w:val="18"/>
                <w:szCs w:val="18"/>
              </w:rPr>
              <w:t>≥95%</w:t>
            </w:r>
          </w:p>
        </w:tc>
      </w:tr>
    </w:tbl>
    <w:p>
      <w:pPr>
        <w:spacing w:line="600" w:lineRule="exact"/>
        <w:jc w:val="center"/>
        <w:outlineLvl w:val="0"/>
        <w:rPr>
          <w:rFonts w:ascii="黑体" w:hAnsi="黑体" w:eastAsia="黑体"/>
          <w:sz w:val="44"/>
          <w:szCs w:val="44"/>
        </w:rPr>
      </w:pPr>
    </w:p>
    <w:p>
      <w:pPr>
        <w:widowControl/>
        <w:adjustRightInd w:val="0"/>
        <w:snapToGrid w:val="0"/>
        <w:spacing w:line="580" w:lineRule="exact"/>
        <w:contextualSpacing/>
        <w:jc w:val="left"/>
      </w:pPr>
      <w:r>
        <w:rPr>
          <w:rFonts w:hint="eastAsia" w:ascii="仿宋_GB2312" w:hAnsi="宋体" w:eastAsia="仿宋_GB2312" w:cs="宋体"/>
          <w:color w:val="000000"/>
          <w:kern w:val="0"/>
          <w:sz w:val="32"/>
          <w:szCs w:val="32"/>
          <w:shd w:val="clear" w:color="auto" w:fill="FFFFFF"/>
        </w:rPr>
        <w:t>（注：有两个及以上特定目标类部门预算项目的，需分别开展绩效目标自评并填写附表）</w:t>
      </w:r>
    </w:p>
    <w:p>
      <w:pPr>
        <w:spacing w:line="600" w:lineRule="exact"/>
        <w:jc w:val="center"/>
        <w:outlineLvl w:val="0"/>
        <w:rPr>
          <w:rFonts w:ascii="黑体" w:hAnsi="黑体" w:eastAsia="黑体"/>
          <w:sz w:val="44"/>
          <w:szCs w:val="44"/>
        </w:rPr>
      </w:pPr>
    </w:p>
    <w:p>
      <w:pPr>
        <w:spacing w:line="600" w:lineRule="exact"/>
        <w:jc w:val="center"/>
        <w:outlineLvl w:val="0"/>
        <w:rPr>
          <w:rFonts w:ascii="黑体" w:hAnsi="黑体" w:eastAsia="黑体"/>
          <w:sz w:val="44"/>
          <w:szCs w:val="44"/>
        </w:rPr>
      </w:pPr>
    </w:p>
    <w:p>
      <w:pPr>
        <w:spacing w:line="600" w:lineRule="exact"/>
        <w:jc w:val="center"/>
        <w:outlineLvl w:val="0"/>
        <w:rPr>
          <w:rFonts w:ascii="仿宋" w:hAnsi="仿宋" w:eastAsia="仿宋"/>
        </w:rPr>
      </w:pPr>
      <w:r>
        <w:rPr>
          <w:rFonts w:hint="eastAsia" w:ascii="黑体" w:hAnsi="黑体" w:eastAsia="黑体"/>
          <w:sz w:val="44"/>
          <w:szCs w:val="44"/>
        </w:rPr>
        <w:t>第</w:t>
      </w:r>
      <w:r>
        <w:rPr>
          <w:rStyle w:val="24"/>
          <w:rFonts w:hint="eastAsia" w:ascii="黑体" w:hAnsi="黑体" w:eastAsia="黑体"/>
          <w:b w:val="0"/>
        </w:rPr>
        <w:t>五部分 附表</w:t>
      </w:r>
      <w:bookmarkEnd w:id="52"/>
      <w:bookmarkEnd w:id="53"/>
      <w:bookmarkStart w:id="54" w:name="_Toc15396619"/>
    </w:p>
    <w:p>
      <w:pPr>
        <w:pStyle w:val="4"/>
        <w:rPr>
          <w:rFonts w:ascii="仿宋" w:hAnsi="仿宋" w:eastAsia="仿宋"/>
        </w:rPr>
      </w:pPr>
      <w:r>
        <w:rPr>
          <w:rFonts w:hint="eastAsia" w:ascii="仿宋" w:hAnsi="仿宋" w:eastAsia="仿宋"/>
          <w:b w:val="0"/>
        </w:rPr>
        <w:t>一、收</w:t>
      </w:r>
      <w:r>
        <w:rPr>
          <w:rStyle w:val="25"/>
          <w:rFonts w:hint="eastAsia" w:ascii="仿宋" w:hAnsi="仿宋" w:eastAsia="仿宋"/>
          <w:b w:val="0"/>
          <w:bCs w:val="0"/>
        </w:rPr>
        <w:t>入支出决算总表</w:t>
      </w:r>
      <w:bookmarkEnd w:id="54"/>
    </w:p>
    <w:p>
      <w:pPr>
        <w:pStyle w:val="4"/>
        <w:rPr>
          <w:rFonts w:ascii="仿宋" w:hAnsi="仿宋" w:eastAsia="仿宋"/>
        </w:rPr>
      </w:pPr>
      <w:bookmarkStart w:id="55" w:name="_Toc15396620"/>
      <w:r>
        <w:rPr>
          <w:rFonts w:hint="eastAsia" w:ascii="仿宋" w:hAnsi="仿宋" w:eastAsia="仿宋"/>
          <w:b w:val="0"/>
        </w:rPr>
        <w:t>二、收</w:t>
      </w:r>
      <w:r>
        <w:rPr>
          <w:rStyle w:val="25"/>
          <w:rFonts w:hint="eastAsia" w:ascii="仿宋" w:hAnsi="仿宋" w:eastAsia="仿宋"/>
          <w:b w:val="0"/>
          <w:bCs w:val="0"/>
        </w:rPr>
        <w:t>入决算表</w:t>
      </w:r>
      <w:bookmarkEnd w:id="55"/>
    </w:p>
    <w:p>
      <w:pPr>
        <w:pStyle w:val="4"/>
        <w:rPr>
          <w:rFonts w:ascii="仿宋" w:hAnsi="仿宋" w:eastAsia="仿宋"/>
        </w:rPr>
      </w:pPr>
      <w:bookmarkStart w:id="56" w:name="_Toc15396621"/>
      <w:r>
        <w:rPr>
          <w:rStyle w:val="25"/>
          <w:rFonts w:hint="eastAsia" w:ascii="仿宋" w:hAnsi="仿宋" w:eastAsia="仿宋"/>
          <w:b w:val="0"/>
          <w:bCs w:val="0"/>
        </w:rPr>
        <w:t>三、</w:t>
      </w:r>
      <w:r>
        <w:rPr>
          <w:rFonts w:hint="eastAsia" w:ascii="仿宋" w:hAnsi="仿宋" w:eastAsia="仿宋"/>
          <w:b w:val="0"/>
        </w:rPr>
        <w:t>支</w:t>
      </w:r>
      <w:r>
        <w:rPr>
          <w:rStyle w:val="25"/>
          <w:rFonts w:hint="eastAsia" w:ascii="仿宋" w:hAnsi="仿宋" w:eastAsia="仿宋"/>
          <w:b w:val="0"/>
          <w:bCs w:val="0"/>
        </w:rPr>
        <w:t>出决算表</w:t>
      </w:r>
      <w:bookmarkEnd w:id="56"/>
    </w:p>
    <w:p>
      <w:pPr>
        <w:pStyle w:val="4"/>
        <w:rPr>
          <w:rFonts w:ascii="仿宋" w:hAnsi="仿宋" w:eastAsia="仿宋"/>
          <w:b w:val="0"/>
        </w:rPr>
      </w:pPr>
      <w:bookmarkStart w:id="57" w:name="_Toc15396622"/>
      <w:r>
        <w:rPr>
          <w:rStyle w:val="25"/>
          <w:rFonts w:hint="eastAsia" w:ascii="仿宋" w:hAnsi="仿宋" w:eastAsia="仿宋"/>
          <w:b w:val="0"/>
          <w:bCs w:val="0"/>
        </w:rPr>
        <w:t>四、</w:t>
      </w:r>
      <w:r>
        <w:rPr>
          <w:rFonts w:hint="eastAsia" w:ascii="仿宋" w:hAnsi="仿宋" w:eastAsia="仿宋"/>
          <w:b w:val="0"/>
        </w:rPr>
        <w:t>财</w:t>
      </w:r>
      <w:r>
        <w:rPr>
          <w:rStyle w:val="25"/>
          <w:rFonts w:hint="eastAsia" w:ascii="仿宋" w:hAnsi="仿宋" w:eastAsia="仿宋"/>
          <w:b w:val="0"/>
          <w:bCs w:val="0"/>
        </w:rPr>
        <w:t>政拨款收入支出决算总表</w:t>
      </w:r>
      <w:bookmarkEnd w:id="57"/>
    </w:p>
    <w:p>
      <w:pPr>
        <w:pStyle w:val="4"/>
        <w:rPr>
          <w:rStyle w:val="25"/>
          <w:rFonts w:ascii="仿宋" w:hAnsi="仿宋" w:eastAsia="仿宋"/>
          <w:b w:val="0"/>
          <w:bCs w:val="0"/>
        </w:rPr>
      </w:pPr>
      <w:bookmarkStart w:id="58" w:name="_Toc15396623"/>
      <w:r>
        <w:rPr>
          <w:rStyle w:val="25"/>
          <w:rFonts w:hint="eastAsia" w:ascii="仿宋" w:hAnsi="仿宋" w:eastAsia="仿宋"/>
          <w:b w:val="0"/>
          <w:bCs w:val="0"/>
        </w:rPr>
        <w:t>五、</w:t>
      </w:r>
      <w:r>
        <w:rPr>
          <w:rFonts w:hint="eastAsia" w:ascii="仿宋" w:hAnsi="仿宋" w:eastAsia="仿宋"/>
          <w:b w:val="0"/>
        </w:rPr>
        <w:t>财</w:t>
      </w:r>
      <w:r>
        <w:rPr>
          <w:rStyle w:val="25"/>
          <w:rFonts w:hint="eastAsia" w:ascii="仿宋" w:hAnsi="仿宋" w:eastAsia="仿宋"/>
          <w:b w:val="0"/>
          <w:bCs w:val="0"/>
        </w:rPr>
        <w:t>政拨款支出决算明细表</w:t>
      </w:r>
      <w:bookmarkEnd w:id="58"/>
      <w:bookmarkStart w:id="59" w:name="_Toc15396624"/>
    </w:p>
    <w:p>
      <w:pPr>
        <w:pStyle w:val="4"/>
        <w:rPr>
          <w:rFonts w:ascii="仿宋" w:hAnsi="仿宋" w:eastAsia="仿宋"/>
        </w:rPr>
      </w:pPr>
      <w:r>
        <w:rPr>
          <w:rStyle w:val="25"/>
          <w:rFonts w:hint="eastAsia" w:ascii="仿宋" w:hAnsi="仿宋" w:eastAsia="仿宋"/>
          <w:b w:val="0"/>
          <w:bCs w:val="0"/>
        </w:rPr>
        <w:t>六、</w:t>
      </w:r>
      <w:r>
        <w:rPr>
          <w:rFonts w:hint="eastAsia" w:ascii="仿宋" w:hAnsi="仿宋" w:eastAsia="仿宋"/>
          <w:b w:val="0"/>
        </w:rPr>
        <w:t>一</w:t>
      </w:r>
      <w:r>
        <w:rPr>
          <w:rStyle w:val="25"/>
          <w:rFonts w:hint="eastAsia" w:ascii="仿宋" w:hAnsi="仿宋" w:eastAsia="仿宋"/>
          <w:b w:val="0"/>
          <w:bCs w:val="0"/>
        </w:rPr>
        <w:t>般公共预算财政拨款支出决算表</w:t>
      </w:r>
      <w:bookmarkEnd w:id="59"/>
    </w:p>
    <w:p>
      <w:pPr>
        <w:pStyle w:val="4"/>
        <w:rPr>
          <w:rFonts w:ascii="仿宋" w:hAnsi="仿宋" w:eastAsia="仿宋"/>
        </w:rPr>
      </w:pPr>
      <w:bookmarkStart w:id="60" w:name="_Toc15396625"/>
      <w:r>
        <w:rPr>
          <w:rStyle w:val="25"/>
          <w:rFonts w:hint="eastAsia" w:ascii="仿宋" w:hAnsi="仿宋" w:eastAsia="仿宋"/>
          <w:b w:val="0"/>
          <w:bCs w:val="0"/>
        </w:rPr>
        <w:t>七、</w:t>
      </w:r>
      <w:r>
        <w:rPr>
          <w:rFonts w:hint="eastAsia" w:ascii="仿宋" w:hAnsi="仿宋" w:eastAsia="仿宋"/>
          <w:b w:val="0"/>
        </w:rPr>
        <w:t>一</w:t>
      </w:r>
      <w:r>
        <w:rPr>
          <w:rStyle w:val="25"/>
          <w:rFonts w:hint="eastAsia" w:ascii="仿宋" w:hAnsi="仿宋" w:eastAsia="仿宋"/>
          <w:b w:val="0"/>
          <w:bCs w:val="0"/>
        </w:rPr>
        <w:t>般公共预算财政拨款支出决算明细表</w:t>
      </w:r>
      <w:bookmarkEnd w:id="60"/>
    </w:p>
    <w:p>
      <w:pPr>
        <w:pStyle w:val="4"/>
        <w:rPr>
          <w:rFonts w:ascii="仿宋" w:hAnsi="仿宋" w:eastAsia="仿宋"/>
        </w:rPr>
      </w:pPr>
      <w:bookmarkStart w:id="61" w:name="_Toc15396626"/>
      <w:r>
        <w:rPr>
          <w:rStyle w:val="25"/>
          <w:rFonts w:hint="eastAsia" w:ascii="仿宋" w:hAnsi="仿宋" w:eastAsia="仿宋"/>
          <w:b w:val="0"/>
          <w:bCs w:val="0"/>
        </w:rPr>
        <w:t>八、</w:t>
      </w:r>
      <w:r>
        <w:rPr>
          <w:rFonts w:hint="eastAsia" w:ascii="仿宋" w:hAnsi="仿宋" w:eastAsia="仿宋"/>
          <w:b w:val="0"/>
        </w:rPr>
        <w:t>一</w:t>
      </w:r>
      <w:r>
        <w:rPr>
          <w:rStyle w:val="25"/>
          <w:rFonts w:hint="eastAsia" w:ascii="仿宋" w:hAnsi="仿宋" w:eastAsia="仿宋"/>
          <w:b w:val="0"/>
          <w:bCs w:val="0"/>
        </w:rPr>
        <w:t>般公共预算财政拨款基本支出决算表</w:t>
      </w:r>
      <w:bookmarkEnd w:id="61"/>
    </w:p>
    <w:p>
      <w:pPr>
        <w:pStyle w:val="4"/>
        <w:rPr>
          <w:rFonts w:ascii="仿宋" w:hAnsi="仿宋" w:eastAsia="仿宋"/>
        </w:rPr>
      </w:pPr>
      <w:bookmarkStart w:id="62" w:name="_Toc15396627"/>
      <w:r>
        <w:rPr>
          <w:rStyle w:val="25"/>
          <w:rFonts w:hint="eastAsia" w:ascii="仿宋" w:hAnsi="仿宋" w:eastAsia="仿宋"/>
          <w:b w:val="0"/>
          <w:bCs w:val="0"/>
        </w:rPr>
        <w:t>九、</w:t>
      </w:r>
      <w:r>
        <w:rPr>
          <w:rFonts w:hint="eastAsia" w:ascii="仿宋" w:hAnsi="仿宋" w:eastAsia="仿宋"/>
          <w:b w:val="0"/>
        </w:rPr>
        <w:t>一</w:t>
      </w:r>
      <w:r>
        <w:rPr>
          <w:rStyle w:val="25"/>
          <w:rFonts w:hint="eastAsia" w:ascii="仿宋" w:hAnsi="仿宋" w:eastAsia="仿宋"/>
          <w:b w:val="0"/>
          <w:bCs w:val="0"/>
        </w:rPr>
        <w:t>般公共预算财政拨款项目支出决算表</w:t>
      </w:r>
      <w:bookmarkEnd w:id="62"/>
    </w:p>
    <w:p>
      <w:pPr>
        <w:pStyle w:val="4"/>
        <w:rPr>
          <w:rFonts w:ascii="仿宋" w:hAnsi="仿宋" w:eastAsia="仿宋"/>
        </w:rPr>
      </w:pPr>
      <w:bookmarkStart w:id="63" w:name="_Toc15396628"/>
      <w:r>
        <w:rPr>
          <w:rStyle w:val="25"/>
          <w:rFonts w:hint="eastAsia" w:ascii="仿宋" w:hAnsi="仿宋" w:eastAsia="仿宋"/>
          <w:b w:val="0"/>
          <w:bCs w:val="0"/>
        </w:rPr>
        <w:t>十、</w:t>
      </w:r>
      <w:r>
        <w:rPr>
          <w:rFonts w:hint="eastAsia" w:ascii="仿宋" w:hAnsi="仿宋" w:eastAsia="仿宋"/>
          <w:b w:val="0"/>
        </w:rPr>
        <w:t>一</w:t>
      </w:r>
      <w:r>
        <w:rPr>
          <w:rStyle w:val="25"/>
          <w:rFonts w:hint="eastAsia" w:ascii="仿宋" w:hAnsi="仿宋" w:eastAsia="仿宋"/>
          <w:b w:val="0"/>
          <w:bCs w:val="0"/>
        </w:rPr>
        <w:t>般公共预算财政拨款“三公”经费支出决算表</w:t>
      </w:r>
      <w:bookmarkEnd w:id="63"/>
    </w:p>
    <w:p>
      <w:pPr>
        <w:pStyle w:val="4"/>
        <w:rPr>
          <w:rFonts w:ascii="仿宋" w:hAnsi="仿宋" w:eastAsia="仿宋"/>
        </w:rPr>
      </w:pPr>
      <w:bookmarkStart w:id="64" w:name="_Toc15396629"/>
      <w:r>
        <w:rPr>
          <w:rStyle w:val="25"/>
          <w:rFonts w:hint="eastAsia" w:ascii="仿宋" w:hAnsi="仿宋" w:eastAsia="仿宋"/>
          <w:b w:val="0"/>
          <w:bCs w:val="0"/>
        </w:rPr>
        <w:t>十一、</w:t>
      </w:r>
      <w:r>
        <w:rPr>
          <w:rFonts w:hint="eastAsia" w:ascii="仿宋" w:hAnsi="仿宋" w:eastAsia="仿宋"/>
          <w:b w:val="0"/>
        </w:rPr>
        <w:t>政</w:t>
      </w:r>
      <w:r>
        <w:rPr>
          <w:rStyle w:val="25"/>
          <w:rFonts w:hint="eastAsia" w:ascii="仿宋" w:hAnsi="仿宋" w:eastAsia="仿宋"/>
          <w:b w:val="0"/>
          <w:bCs w:val="0"/>
        </w:rPr>
        <w:t>府性基金预算财政拨款收入支出决算表</w:t>
      </w:r>
      <w:bookmarkEnd w:id="64"/>
    </w:p>
    <w:p>
      <w:pPr>
        <w:pStyle w:val="4"/>
        <w:rPr>
          <w:rFonts w:ascii="仿宋" w:hAnsi="仿宋" w:eastAsia="仿宋"/>
        </w:rPr>
      </w:pPr>
      <w:bookmarkStart w:id="65" w:name="_Toc15396630"/>
      <w:r>
        <w:rPr>
          <w:rStyle w:val="25"/>
          <w:rFonts w:hint="eastAsia" w:ascii="仿宋" w:hAnsi="仿宋" w:eastAsia="仿宋"/>
          <w:b w:val="0"/>
          <w:bCs w:val="0"/>
        </w:rPr>
        <w:t>十二、</w:t>
      </w:r>
      <w:r>
        <w:rPr>
          <w:rFonts w:hint="eastAsia" w:ascii="仿宋" w:hAnsi="仿宋" w:eastAsia="仿宋"/>
          <w:b w:val="0"/>
        </w:rPr>
        <w:t>政</w:t>
      </w:r>
      <w:r>
        <w:rPr>
          <w:rStyle w:val="25"/>
          <w:rFonts w:hint="eastAsia" w:ascii="仿宋" w:hAnsi="仿宋" w:eastAsia="仿宋"/>
          <w:b w:val="0"/>
          <w:bCs w:val="0"/>
        </w:rPr>
        <w:t>府性基金预算财政拨款“三公”经费支出决算表</w:t>
      </w:r>
      <w:bookmarkEnd w:id="65"/>
    </w:p>
    <w:p>
      <w:pPr>
        <w:pStyle w:val="4"/>
        <w:rPr>
          <w:rStyle w:val="25"/>
          <w:rFonts w:ascii="仿宋" w:hAnsi="仿宋" w:eastAsia="仿宋"/>
          <w:b w:val="0"/>
          <w:bCs w:val="0"/>
        </w:rPr>
      </w:pPr>
      <w:bookmarkStart w:id="66" w:name="_Toc15396631"/>
      <w:r>
        <w:rPr>
          <w:rStyle w:val="25"/>
          <w:rFonts w:hint="eastAsia" w:ascii="仿宋" w:hAnsi="仿宋" w:eastAsia="仿宋"/>
          <w:b w:val="0"/>
          <w:bCs w:val="0"/>
        </w:rPr>
        <w:t>十三、</w:t>
      </w:r>
      <w:r>
        <w:rPr>
          <w:rFonts w:hint="eastAsia" w:ascii="仿宋" w:hAnsi="仿宋" w:eastAsia="仿宋"/>
          <w:b w:val="0"/>
        </w:rPr>
        <w:t>国</w:t>
      </w:r>
      <w:r>
        <w:rPr>
          <w:rStyle w:val="25"/>
          <w:rFonts w:hint="eastAsia" w:ascii="仿宋" w:hAnsi="仿宋" w:eastAsia="仿宋"/>
          <w:b w:val="0"/>
          <w:bCs w:val="0"/>
        </w:rPr>
        <w:t>有资本经营预算财政拨款收入支出决算表</w:t>
      </w:r>
      <w:bookmarkEnd w:id="66"/>
    </w:p>
    <w:p>
      <w:pPr>
        <w:rPr>
          <w:rStyle w:val="25"/>
          <w:rFonts w:ascii="仿宋" w:hAnsi="仿宋" w:eastAsia="仿宋"/>
          <w:b w:val="0"/>
          <w:bCs w:val="0"/>
        </w:rPr>
      </w:pPr>
      <w:r>
        <w:rPr>
          <w:rStyle w:val="25"/>
          <w:rFonts w:hint="eastAsia" w:ascii="仿宋" w:hAnsi="仿宋" w:eastAsia="仿宋"/>
          <w:b w:val="0"/>
          <w:bCs w:val="0"/>
        </w:rPr>
        <w:t>十四、国有资本经营预算财政拨款支出决算表</w:t>
      </w:r>
    </w:p>
    <w:p>
      <w:pPr>
        <w:pStyle w:val="2"/>
        <w:spacing w:before="93"/>
        <w:rPr>
          <w:rStyle w:val="25"/>
          <w:rFonts w:ascii="仿宋" w:hAnsi="仿宋" w:eastAsia="仿宋"/>
          <w:b w:val="0"/>
          <w:bCs w:val="0"/>
        </w:rPr>
      </w:pPr>
    </w:p>
    <w:p>
      <w:pPr>
        <w:pStyle w:val="2"/>
        <w:spacing w:before="93"/>
      </w:pPr>
      <w:r>
        <w:drawing>
          <wp:inline distT="0" distB="0" distL="114300" distR="114300">
            <wp:extent cx="5768975" cy="4896485"/>
            <wp:effectExtent l="0" t="0" r="3175" b="184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5768975" cy="4896485"/>
                    </a:xfrm>
                    <a:prstGeom prst="rect">
                      <a:avLst/>
                    </a:prstGeom>
                  </pic:spPr>
                </pic:pic>
              </a:graphicData>
            </a:graphic>
          </wp:inline>
        </w:drawing>
      </w:r>
    </w:p>
    <w:p>
      <w:pPr>
        <w:pStyle w:val="2"/>
        <w:spacing w:before="93"/>
      </w:pPr>
    </w:p>
    <w:p>
      <w:pPr>
        <w:pStyle w:val="2"/>
        <w:spacing w:before="93"/>
      </w:pPr>
      <w:r>
        <w:drawing>
          <wp:inline distT="0" distB="0" distL="114300" distR="114300">
            <wp:extent cx="5147310" cy="2755900"/>
            <wp:effectExtent l="0" t="0" r="152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5147310" cy="2755900"/>
                    </a:xfrm>
                    <a:prstGeom prst="rect">
                      <a:avLst/>
                    </a:prstGeom>
                    <a:noFill/>
                    <a:ln>
                      <a:noFill/>
                    </a:ln>
                  </pic:spPr>
                </pic:pic>
              </a:graphicData>
            </a:graphic>
          </wp:inline>
        </w:drawing>
      </w:r>
    </w:p>
    <w:p>
      <w:pPr>
        <w:pStyle w:val="2"/>
        <w:spacing w:before="93"/>
      </w:pPr>
      <w:r>
        <w:drawing>
          <wp:inline distT="0" distB="0" distL="114300" distR="114300">
            <wp:extent cx="6096000" cy="3729990"/>
            <wp:effectExtent l="0" t="0" r="0" b="381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5"/>
                    <a:stretch>
                      <a:fillRect/>
                    </a:stretch>
                  </pic:blipFill>
                  <pic:spPr>
                    <a:xfrm>
                      <a:off x="0" y="0"/>
                      <a:ext cx="6096000" cy="3729990"/>
                    </a:xfrm>
                    <a:prstGeom prst="rect">
                      <a:avLst/>
                    </a:prstGeom>
                  </pic:spPr>
                </pic:pic>
              </a:graphicData>
            </a:graphic>
          </wp:inline>
        </w:drawing>
      </w:r>
    </w:p>
    <w:p>
      <w:pPr>
        <w:pStyle w:val="2"/>
        <w:spacing w:before="93"/>
      </w:pPr>
    </w:p>
    <w:p>
      <w:pPr>
        <w:pStyle w:val="2"/>
        <w:spacing w:before="93"/>
      </w:pPr>
      <w:r>
        <w:drawing>
          <wp:inline distT="0" distB="0" distL="114300" distR="114300">
            <wp:extent cx="6097905" cy="4554855"/>
            <wp:effectExtent l="0" t="0" r="17145" b="1714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6"/>
                    <a:stretch>
                      <a:fillRect/>
                    </a:stretch>
                  </pic:blipFill>
                  <pic:spPr>
                    <a:xfrm>
                      <a:off x="0" y="0"/>
                      <a:ext cx="6097905" cy="4554855"/>
                    </a:xfrm>
                    <a:prstGeom prst="rect">
                      <a:avLst/>
                    </a:prstGeom>
                  </pic:spPr>
                </pic:pic>
              </a:graphicData>
            </a:graphic>
          </wp:inline>
        </w:drawing>
      </w:r>
    </w:p>
    <w:p>
      <w:pPr>
        <w:pStyle w:val="2"/>
        <w:spacing w:before="93"/>
      </w:pPr>
    </w:p>
    <w:p>
      <w:pPr>
        <w:pStyle w:val="2"/>
        <w:spacing w:before="93"/>
      </w:pPr>
    </w:p>
    <w:p>
      <w:pPr>
        <w:pStyle w:val="2"/>
        <w:spacing w:before="93"/>
      </w:pPr>
      <w:r>
        <w:drawing>
          <wp:inline distT="0" distB="0" distL="114300" distR="114300">
            <wp:extent cx="5267325" cy="7903845"/>
            <wp:effectExtent l="0" t="0" r="9525" b="19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5267325" cy="7903845"/>
                    </a:xfrm>
                    <a:prstGeom prst="rect">
                      <a:avLst/>
                    </a:prstGeom>
                  </pic:spPr>
                </pic:pic>
              </a:graphicData>
            </a:graphic>
          </wp:inline>
        </w:drawing>
      </w:r>
    </w:p>
    <w:p>
      <w:pPr>
        <w:pStyle w:val="2"/>
        <w:spacing w:before="93"/>
      </w:pPr>
      <w:r>
        <w:drawing>
          <wp:inline distT="0" distB="0" distL="114300" distR="114300">
            <wp:extent cx="6121400" cy="5317490"/>
            <wp:effectExtent l="0" t="0" r="12700" b="1651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8"/>
                    <a:stretch>
                      <a:fillRect/>
                    </a:stretch>
                  </pic:blipFill>
                  <pic:spPr>
                    <a:xfrm>
                      <a:off x="0" y="0"/>
                      <a:ext cx="6121400" cy="5317490"/>
                    </a:xfrm>
                    <a:prstGeom prst="rect">
                      <a:avLst/>
                    </a:prstGeom>
                  </pic:spPr>
                </pic:pic>
              </a:graphicData>
            </a:graphic>
          </wp:inline>
        </w:drawing>
      </w:r>
    </w:p>
    <w:p>
      <w:pPr>
        <w:pStyle w:val="2"/>
        <w:spacing w:before="93"/>
      </w:pPr>
    </w:p>
    <w:p>
      <w:pPr>
        <w:pStyle w:val="2"/>
        <w:spacing w:before="93"/>
      </w:pPr>
      <w:r>
        <w:drawing>
          <wp:inline distT="0" distB="0" distL="114300" distR="114300">
            <wp:extent cx="6402070" cy="2245995"/>
            <wp:effectExtent l="0" t="0" r="1778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6402070" cy="2245995"/>
                    </a:xfrm>
                    <a:prstGeom prst="rect">
                      <a:avLst/>
                    </a:prstGeom>
                  </pic:spPr>
                </pic:pic>
              </a:graphicData>
            </a:graphic>
          </wp:inline>
        </w:drawing>
      </w:r>
    </w:p>
    <w:p>
      <w:pPr>
        <w:pStyle w:val="2"/>
        <w:spacing w:before="93"/>
      </w:pPr>
      <w:r>
        <w:drawing>
          <wp:inline distT="0" distB="0" distL="114300" distR="114300">
            <wp:extent cx="6416040" cy="1475740"/>
            <wp:effectExtent l="0" t="0" r="3810" b="1016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0"/>
                    <a:stretch>
                      <a:fillRect/>
                    </a:stretch>
                  </pic:blipFill>
                  <pic:spPr>
                    <a:xfrm>
                      <a:off x="0" y="0"/>
                      <a:ext cx="6416040" cy="1475740"/>
                    </a:xfrm>
                    <a:prstGeom prst="rect">
                      <a:avLst/>
                    </a:prstGeom>
                  </pic:spPr>
                </pic:pic>
              </a:graphicData>
            </a:graphic>
          </wp:inline>
        </w:drawing>
      </w:r>
    </w:p>
    <w:p>
      <w:pPr>
        <w:pStyle w:val="2"/>
        <w:spacing w:before="93"/>
      </w:pPr>
      <w:r>
        <w:drawing>
          <wp:inline distT="0" distB="0" distL="114300" distR="114300">
            <wp:extent cx="11678920" cy="2421255"/>
            <wp:effectExtent l="0" t="0" r="17780" b="1714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21"/>
                    <a:stretch>
                      <a:fillRect/>
                    </a:stretch>
                  </pic:blipFill>
                  <pic:spPr>
                    <a:xfrm>
                      <a:off x="0" y="0"/>
                      <a:ext cx="11678920" cy="2421255"/>
                    </a:xfrm>
                    <a:prstGeom prst="rect">
                      <a:avLst/>
                    </a:prstGeom>
                  </pic:spPr>
                </pic:pic>
              </a:graphicData>
            </a:graphic>
          </wp:inline>
        </w:drawing>
      </w:r>
    </w:p>
    <w:p>
      <w:pPr>
        <w:pStyle w:val="2"/>
        <w:spacing w:before="93"/>
      </w:pPr>
      <w:r>
        <w:drawing>
          <wp:inline distT="0" distB="0" distL="114300" distR="114300">
            <wp:extent cx="16449040" cy="2793365"/>
            <wp:effectExtent l="0" t="0" r="10160" b="698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22"/>
                    <a:stretch>
                      <a:fillRect/>
                    </a:stretch>
                  </pic:blipFill>
                  <pic:spPr>
                    <a:xfrm>
                      <a:off x="0" y="0"/>
                      <a:ext cx="16449040" cy="2793365"/>
                    </a:xfrm>
                    <a:prstGeom prst="rect">
                      <a:avLst/>
                    </a:prstGeom>
                  </pic:spPr>
                </pic:pic>
              </a:graphicData>
            </a:graphic>
          </wp:inline>
        </w:drawing>
      </w:r>
    </w:p>
    <w:p/>
    <w:p/>
    <w:p/>
    <w:p>
      <w:pPr>
        <w:tabs>
          <w:tab w:val="left" w:pos="6579"/>
        </w:tabs>
        <w:jc w:val="left"/>
      </w:pPr>
      <w:r>
        <w:rPr>
          <w:rFonts w:hint="eastAsia"/>
        </w:rPr>
        <w:tab/>
      </w:r>
    </w:p>
    <w:p>
      <w:pPr>
        <w:pStyle w:val="2"/>
        <w:spacing w:before="93"/>
      </w:pPr>
      <w:r>
        <w:drawing>
          <wp:inline distT="0" distB="0" distL="114300" distR="114300">
            <wp:extent cx="5650865" cy="3759835"/>
            <wp:effectExtent l="0" t="0" r="6985" b="12065"/>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23"/>
                    <a:stretch>
                      <a:fillRect/>
                    </a:stretch>
                  </pic:blipFill>
                  <pic:spPr>
                    <a:xfrm>
                      <a:off x="0" y="0"/>
                      <a:ext cx="5650865" cy="3759835"/>
                    </a:xfrm>
                    <a:prstGeom prst="rect">
                      <a:avLst/>
                    </a:prstGeom>
                  </pic:spPr>
                </pic:pic>
              </a:graphicData>
            </a:graphic>
          </wp:inline>
        </w:drawing>
      </w:r>
    </w:p>
    <w:p>
      <w:pPr>
        <w:pStyle w:val="2"/>
        <w:spacing w:before="93"/>
      </w:pPr>
      <w:r>
        <w:drawing>
          <wp:inline distT="0" distB="0" distL="114300" distR="114300">
            <wp:extent cx="6111240" cy="3133725"/>
            <wp:effectExtent l="0" t="0" r="3810" b="9525"/>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24"/>
                    <a:stretch>
                      <a:fillRect/>
                    </a:stretch>
                  </pic:blipFill>
                  <pic:spPr>
                    <a:xfrm>
                      <a:off x="0" y="0"/>
                      <a:ext cx="6111240" cy="3133725"/>
                    </a:xfrm>
                    <a:prstGeom prst="rect">
                      <a:avLst/>
                    </a:prstGeom>
                  </pic:spPr>
                </pic:pic>
              </a:graphicData>
            </a:graphic>
          </wp:inline>
        </w:drawing>
      </w:r>
    </w:p>
    <w:p>
      <w:pPr>
        <w:pStyle w:val="2"/>
        <w:spacing w:before="93"/>
      </w:pPr>
    </w:p>
    <w:p>
      <w:pPr>
        <w:pStyle w:val="2"/>
        <w:spacing w:before="93"/>
      </w:pPr>
      <w:r>
        <w:drawing>
          <wp:inline distT="0" distB="0" distL="114300" distR="114300">
            <wp:extent cx="6327140" cy="1330960"/>
            <wp:effectExtent l="0" t="0" r="16510" b="254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5"/>
                    <a:stretch>
                      <a:fillRect/>
                    </a:stretch>
                  </pic:blipFill>
                  <pic:spPr>
                    <a:xfrm>
                      <a:off x="0" y="0"/>
                      <a:ext cx="6327140" cy="1330960"/>
                    </a:xfrm>
                    <a:prstGeom prst="rect">
                      <a:avLst/>
                    </a:prstGeom>
                  </pic:spPr>
                </pic:pic>
              </a:graphicData>
            </a:graphic>
          </wp:inline>
        </w:drawing>
      </w:r>
    </w:p>
    <w:p>
      <w:pPr>
        <w:pStyle w:val="2"/>
        <w:spacing w:before="93"/>
      </w:pPr>
    </w:p>
    <w:p>
      <w:pPr>
        <w:pStyle w:val="2"/>
        <w:spacing w:before="93"/>
      </w:pPr>
      <w:r>
        <w:drawing>
          <wp:inline distT="0" distB="0" distL="114300" distR="114300">
            <wp:extent cx="6294120" cy="1776095"/>
            <wp:effectExtent l="0" t="0" r="11430" b="1460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26"/>
                    <a:stretch>
                      <a:fillRect/>
                    </a:stretch>
                  </pic:blipFill>
                  <pic:spPr>
                    <a:xfrm>
                      <a:off x="0" y="0"/>
                      <a:ext cx="6294120" cy="1776095"/>
                    </a:xfrm>
                    <a:prstGeom prst="rect">
                      <a:avLst/>
                    </a:prstGeom>
                  </pic:spPr>
                </pic:pic>
              </a:graphicData>
            </a:graphic>
          </wp:inline>
        </w:drawing>
      </w:r>
    </w:p>
    <w:p>
      <w:pPr>
        <w:pStyle w:val="2"/>
        <w:spacing w:before="93"/>
      </w:pPr>
    </w:p>
    <w:p>
      <w:pPr>
        <w:pStyle w:val="2"/>
        <w:spacing w:before="93"/>
      </w:pPr>
      <w:r>
        <w:drawing>
          <wp:inline distT="0" distB="0" distL="114300" distR="114300">
            <wp:extent cx="6055360" cy="1350645"/>
            <wp:effectExtent l="0" t="0" r="2540" b="190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27"/>
                    <a:stretch>
                      <a:fillRect/>
                    </a:stretch>
                  </pic:blipFill>
                  <pic:spPr>
                    <a:xfrm>
                      <a:off x="0" y="0"/>
                      <a:ext cx="6055360" cy="1350645"/>
                    </a:xfrm>
                    <a:prstGeom prst="rect">
                      <a:avLst/>
                    </a:prstGeom>
                  </pic:spPr>
                </pic:pic>
              </a:graphicData>
            </a:graphic>
          </wp:inline>
        </w:drawing>
      </w:r>
    </w:p>
    <w:p>
      <w:pPr>
        <w:pStyle w:val="2"/>
        <w:spacing w:before="93"/>
      </w:pPr>
    </w:p>
    <w:p>
      <w:pPr>
        <w:pStyle w:val="2"/>
        <w:spacing w:before="93"/>
      </w:pPr>
      <w:r>
        <w:drawing>
          <wp:inline distT="0" distB="0" distL="114300" distR="114300">
            <wp:extent cx="5961380" cy="2316480"/>
            <wp:effectExtent l="0" t="0" r="1270" b="762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28"/>
                    <a:stretch>
                      <a:fillRect/>
                    </a:stretch>
                  </pic:blipFill>
                  <pic:spPr>
                    <a:xfrm>
                      <a:off x="0" y="0"/>
                      <a:ext cx="5961380" cy="2316480"/>
                    </a:xfrm>
                    <a:prstGeom prst="rect">
                      <a:avLst/>
                    </a:prstGeom>
                  </pic:spPr>
                </pic:pic>
              </a:graphicData>
            </a:graphic>
          </wp:inline>
        </w:drawing>
      </w:r>
    </w:p>
    <w:p>
      <w:pPr>
        <w:pStyle w:val="2"/>
        <w:spacing w:before="93"/>
      </w:pPr>
    </w:p>
    <w:p>
      <w:pPr>
        <w:pStyle w:val="2"/>
        <w:spacing w:before="93"/>
      </w:pPr>
      <w:r>
        <w:drawing>
          <wp:inline distT="0" distB="0" distL="114300" distR="114300">
            <wp:extent cx="6311265" cy="2808605"/>
            <wp:effectExtent l="0" t="0" r="13335" b="10795"/>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29"/>
                    <a:stretch>
                      <a:fillRect/>
                    </a:stretch>
                  </pic:blipFill>
                  <pic:spPr>
                    <a:xfrm>
                      <a:off x="0" y="0"/>
                      <a:ext cx="6311265" cy="2808605"/>
                    </a:xfrm>
                    <a:prstGeom prst="rect">
                      <a:avLst/>
                    </a:prstGeom>
                  </pic:spPr>
                </pic:pic>
              </a:graphicData>
            </a:graphic>
          </wp:inline>
        </w:drawing>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黑体"/>
    <w:panose1 w:val="00000000000000000000"/>
    <w:charset w:val="86"/>
    <w:family w:val="script"/>
    <w:pitch w:val="default"/>
    <w:sig w:usb0="00000000" w:usb1="00000000" w:usb2="00000000" w:usb3="00000000" w:csb0="00040000"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8"/>
          <w:jc w:val="center"/>
        </w:pPr>
        <w:r>
          <w:fldChar w:fldCharType="begin"/>
        </w:r>
        <w:r>
          <w:instrText xml:space="preserve">PAGE   \* MERGEFORMAT</w:instrText>
        </w:r>
        <w:r>
          <w:fldChar w:fldCharType="separate"/>
        </w:r>
        <w:r>
          <w:rPr>
            <w:lang w:val="zh-CN"/>
          </w:rPr>
          <w:t>2</w:t>
        </w:r>
        <w:r>
          <w:fldChar w:fldCharType="end"/>
        </w:r>
      </w:p>
    </w:sdtContent>
  </w:sdt>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2">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3">
    <w:nsid w:val="6FED24F6"/>
    <w:multiLevelType w:val="multilevel"/>
    <w:tmpl w:val="6FED24F6"/>
    <w:lvl w:ilvl="0" w:tentative="0">
      <w:start w:val="1"/>
      <w:numFmt w:val="japaneseCounting"/>
      <w:lvlText w:val="%1、"/>
      <w:lvlJc w:val="left"/>
      <w:pPr>
        <w:ind w:left="660" w:hanging="6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798BF7AB"/>
    <w:multiLevelType w:val="singleLevel"/>
    <w:tmpl w:val="798BF7AB"/>
    <w:lvl w:ilvl="0" w:tentative="0">
      <w:start w:val="1"/>
      <w:numFmt w:val="decimal"/>
      <w:lvlText w:val="%1."/>
      <w:lvlJc w:val="left"/>
      <w:pPr>
        <w:tabs>
          <w:tab w:val="left" w:pos="312"/>
        </w:tabs>
      </w:pPr>
    </w:lvl>
  </w:abstractNum>
  <w:num w:numId="1">
    <w:abstractNumId w:val="3"/>
  </w:num>
  <w:num w:numId="2">
    <w:abstractNumId w:val="2"/>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DAzMWYwYWViZGZiM2Y1Yjg2NWQ2NDA4YTBjMjgyMzk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74E20"/>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E48D8"/>
    <w:rsid w:val="002F1818"/>
    <w:rsid w:val="002F567B"/>
    <w:rsid w:val="003216A9"/>
    <w:rsid w:val="00335A74"/>
    <w:rsid w:val="0036561B"/>
    <w:rsid w:val="0037013F"/>
    <w:rsid w:val="00380C92"/>
    <w:rsid w:val="00392D20"/>
    <w:rsid w:val="003A484F"/>
    <w:rsid w:val="003A4883"/>
    <w:rsid w:val="003B0BE0"/>
    <w:rsid w:val="003B0C1B"/>
    <w:rsid w:val="003B688C"/>
    <w:rsid w:val="003C0291"/>
    <w:rsid w:val="003C39AE"/>
    <w:rsid w:val="003C7B60"/>
    <w:rsid w:val="003D0C0F"/>
    <w:rsid w:val="003D1FB2"/>
    <w:rsid w:val="003D66DA"/>
    <w:rsid w:val="003E1310"/>
    <w:rsid w:val="003E5CB4"/>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1CBF"/>
    <w:rsid w:val="006748A4"/>
    <w:rsid w:val="00681A31"/>
    <w:rsid w:val="00683E73"/>
    <w:rsid w:val="0069520C"/>
    <w:rsid w:val="006A3141"/>
    <w:rsid w:val="006A5E34"/>
    <w:rsid w:val="006B2422"/>
    <w:rsid w:val="006B2B9A"/>
    <w:rsid w:val="006C0E0E"/>
    <w:rsid w:val="006C1937"/>
    <w:rsid w:val="006F020C"/>
    <w:rsid w:val="007127B7"/>
    <w:rsid w:val="0071798E"/>
    <w:rsid w:val="007416B6"/>
    <w:rsid w:val="00746F48"/>
    <w:rsid w:val="0075404D"/>
    <w:rsid w:val="00754825"/>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609F9"/>
    <w:rsid w:val="00861C22"/>
    <w:rsid w:val="00866EF1"/>
    <w:rsid w:val="00871F71"/>
    <w:rsid w:val="00872FD8"/>
    <w:rsid w:val="00885AF4"/>
    <w:rsid w:val="008939CD"/>
    <w:rsid w:val="008B768C"/>
    <w:rsid w:val="008C15DA"/>
    <w:rsid w:val="008C4DB1"/>
    <w:rsid w:val="008C4EAF"/>
    <w:rsid w:val="008C5176"/>
    <w:rsid w:val="008C7FD0"/>
    <w:rsid w:val="008E1DE7"/>
    <w:rsid w:val="008E707C"/>
    <w:rsid w:val="008F4605"/>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57CE8"/>
    <w:rsid w:val="00A64A29"/>
    <w:rsid w:val="00A67AB5"/>
    <w:rsid w:val="00A733B2"/>
    <w:rsid w:val="00A741C2"/>
    <w:rsid w:val="00A774A1"/>
    <w:rsid w:val="00A91760"/>
    <w:rsid w:val="00A93B00"/>
    <w:rsid w:val="00A93C21"/>
    <w:rsid w:val="00AB64C9"/>
    <w:rsid w:val="00AC3C6A"/>
    <w:rsid w:val="00AD5620"/>
    <w:rsid w:val="00AD656B"/>
    <w:rsid w:val="00AD7A5F"/>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1067"/>
    <w:rsid w:val="00BF5BD6"/>
    <w:rsid w:val="00C03E31"/>
    <w:rsid w:val="00C33E72"/>
    <w:rsid w:val="00C354B2"/>
    <w:rsid w:val="00C35554"/>
    <w:rsid w:val="00C42709"/>
    <w:rsid w:val="00C533CC"/>
    <w:rsid w:val="00C5751C"/>
    <w:rsid w:val="00C61BFC"/>
    <w:rsid w:val="00C62B85"/>
    <w:rsid w:val="00C65438"/>
    <w:rsid w:val="00C65748"/>
    <w:rsid w:val="00C87FD8"/>
    <w:rsid w:val="00C91381"/>
    <w:rsid w:val="00C91CBB"/>
    <w:rsid w:val="00CA6A66"/>
    <w:rsid w:val="00CB4E70"/>
    <w:rsid w:val="00CC09B6"/>
    <w:rsid w:val="00CC5BE5"/>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B6D64"/>
    <w:rsid w:val="00DC410D"/>
    <w:rsid w:val="00DC5A81"/>
    <w:rsid w:val="00DC68CA"/>
    <w:rsid w:val="00DC7CBA"/>
    <w:rsid w:val="00DD73B7"/>
    <w:rsid w:val="00DF28BC"/>
    <w:rsid w:val="00DF34B9"/>
    <w:rsid w:val="00E01053"/>
    <w:rsid w:val="00E07ACF"/>
    <w:rsid w:val="00E331A1"/>
    <w:rsid w:val="00E33202"/>
    <w:rsid w:val="00E336A9"/>
    <w:rsid w:val="00E3540E"/>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2055"/>
    <w:rsid w:val="00F754A1"/>
    <w:rsid w:val="00F81FD9"/>
    <w:rsid w:val="00F841AA"/>
    <w:rsid w:val="00F84A94"/>
    <w:rsid w:val="00F87E96"/>
    <w:rsid w:val="00FA23E8"/>
    <w:rsid w:val="00FD3CC1"/>
    <w:rsid w:val="00FF1E02"/>
    <w:rsid w:val="00FF30B4"/>
    <w:rsid w:val="02A974CD"/>
    <w:rsid w:val="03F042EB"/>
    <w:rsid w:val="04AB1AD0"/>
    <w:rsid w:val="07D77D81"/>
    <w:rsid w:val="0A2032A3"/>
    <w:rsid w:val="0B8A37D8"/>
    <w:rsid w:val="10C055FF"/>
    <w:rsid w:val="118107EC"/>
    <w:rsid w:val="11DD6519"/>
    <w:rsid w:val="11DF0BCF"/>
    <w:rsid w:val="13F92F16"/>
    <w:rsid w:val="16BB723D"/>
    <w:rsid w:val="16EF785C"/>
    <w:rsid w:val="18015F3F"/>
    <w:rsid w:val="194A022D"/>
    <w:rsid w:val="1BE8440E"/>
    <w:rsid w:val="1D155CEE"/>
    <w:rsid w:val="20F57F95"/>
    <w:rsid w:val="240371BF"/>
    <w:rsid w:val="25C741E6"/>
    <w:rsid w:val="27842671"/>
    <w:rsid w:val="29AC65D8"/>
    <w:rsid w:val="29FD04D3"/>
    <w:rsid w:val="2ABE7A3E"/>
    <w:rsid w:val="2B4773B4"/>
    <w:rsid w:val="2C207D8E"/>
    <w:rsid w:val="2EFA178C"/>
    <w:rsid w:val="30B46D73"/>
    <w:rsid w:val="319F7F4E"/>
    <w:rsid w:val="3638060A"/>
    <w:rsid w:val="39AE70AB"/>
    <w:rsid w:val="3C0C0783"/>
    <w:rsid w:val="3F9F3A96"/>
    <w:rsid w:val="401E7324"/>
    <w:rsid w:val="493C27E9"/>
    <w:rsid w:val="496F39ED"/>
    <w:rsid w:val="49FF41D3"/>
    <w:rsid w:val="4A1B72E0"/>
    <w:rsid w:val="4BE068DB"/>
    <w:rsid w:val="4BF6002B"/>
    <w:rsid w:val="4CAA7809"/>
    <w:rsid w:val="4ECE2238"/>
    <w:rsid w:val="4FDE40B1"/>
    <w:rsid w:val="51DB4B86"/>
    <w:rsid w:val="5447507A"/>
    <w:rsid w:val="54A34671"/>
    <w:rsid w:val="55333C3E"/>
    <w:rsid w:val="57DB571A"/>
    <w:rsid w:val="5AE82AB0"/>
    <w:rsid w:val="5B1775D1"/>
    <w:rsid w:val="64CA39A1"/>
    <w:rsid w:val="64E50FE7"/>
    <w:rsid w:val="65986DB7"/>
    <w:rsid w:val="65A237E4"/>
    <w:rsid w:val="68AA1A16"/>
    <w:rsid w:val="6C00134C"/>
    <w:rsid w:val="6C4A05C8"/>
    <w:rsid w:val="6DB945EA"/>
    <w:rsid w:val="72734D90"/>
    <w:rsid w:val="763639D5"/>
    <w:rsid w:val="79E7B28D"/>
    <w:rsid w:val="7F9F20EE"/>
    <w:rsid w:val="9E3A10E2"/>
    <w:rsid w:val="F2E1F9D4"/>
    <w:rsid w:val="F7880819"/>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28"/>
    <w:unhideWhenUsed/>
    <w:qFormat/>
    <w:uiPriority w:val="9"/>
    <w:pPr>
      <w:keepNext/>
      <w:keepLines/>
      <w:spacing w:before="260" w:after="260" w:line="416" w:lineRule="auto"/>
      <w:outlineLvl w:val="2"/>
    </w:pPr>
    <w:rPr>
      <w:b/>
      <w:bCs/>
      <w:sz w:val="32"/>
      <w:szCs w:val="32"/>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21"/>
    <w:qFormat/>
    <w:uiPriority w:val="99"/>
    <w:pPr>
      <w:spacing w:beforeLines="30"/>
    </w:pPr>
    <w:rPr>
      <w:rFonts w:ascii="仿宋_GB2312" w:eastAsia="仿宋_GB2312"/>
      <w:kern w:val="0"/>
      <w:sz w:val="30"/>
    </w:rPr>
  </w:style>
  <w:style w:type="paragraph" w:styleId="6">
    <w:name w:val="toc 3"/>
    <w:basedOn w:val="1"/>
    <w:next w:val="1"/>
    <w:unhideWhenUsed/>
    <w:qFormat/>
    <w:uiPriority w:val="39"/>
    <w:pPr>
      <w:tabs>
        <w:tab w:val="right" w:leader="dot" w:pos="8296"/>
      </w:tabs>
      <w:ind w:left="840" w:leftChars="400"/>
    </w:pPr>
  </w:style>
  <w:style w:type="paragraph" w:styleId="7">
    <w:name w:val="Balloon Text"/>
    <w:basedOn w:val="1"/>
    <w:link w:val="27"/>
    <w:semiHidden/>
    <w:unhideWhenUsed/>
    <w:qFormat/>
    <w:uiPriority w:val="99"/>
    <w:rPr>
      <w:sz w:val="18"/>
      <w:szCs w:val="18"/>
    </w:rPr>
  </w:style>
  <w:style w:type="paragraph" w:styleId="8">
    <w:name w:val="footer"/>
    <w:basedOn w:val="1"/>
    <w:link w:val="19"/>
    <w:qFormat/>
    <w:uiPriority w:val="99"/>
    <w:pPr>
      <w:tabs>
        <w:tab w:val="center" w:pos="4153"/>
        <w:tab w:val="right" w:pos="8306"/>
      </w:tabs>
      <w:snapToGrid w:val="0"/>
      <w:jc w:val="left"/>
    </w:pPr>
    <w:rPr>
      <w:rFonts w:ascii="Calibri" w:hAnsi="Calibri"/>
      <w:kern w:val="0"/>
      <w:sz w:val="18"/>
      <w:szCs w:val="18"/>
    </w:rPr>
  </w:style>
  <w:style w:type="paragraph" w:styleId="9">
    <w:name w:val="header"/>
    <w:basedOn w:val="1"/>
    <w:link w:val="17"/>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0">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1">
    <w:name w:val="toc 2"/>
    <w:basedOn w:val="1"/>
    <w:next w:val="1"/>
    <w:unhideWhenUsed/>
    <w:qFormat/>
    <w:uiPriority w:val="39"/>
    <w:pPr>
      <w:tabs>
        <w:tab w:val="right" w:leader="dot" w:pos="8296"/>
      </w:tabs>
      <w:ind w:left="420" w:leftChars="200"/>
    </w:pPr>
  </w:style>
  <w:style w:type="character" w:styleId="14">
    <w:name w:val="Strong"/>
    <w:basedOn w:val="13"/>
    <w:qFormat/>
    <w:uiPriority w:val="99"/>
    <w:rPr>
      <w:b/>
    </w:rPr>
  </w:style>
  <w:style w:type="character" w:styleId="15">
    <w:name w:val="Hyperlink"/>
    <w:basedOn w:val="13"/>
    <w:unhideWhenUsed/>
    <w:qFormat/>
    <w:uiPriority w:val="99"/>
    <w:rPr>
      <w:color w:val="0000FF" w:themeColor="hyperlink"/>
      <w:u w:val="single"/>
    </w:rPr>
  </w:style>
  <w:style w:type="character" w:customStyle="1" w:styleId="16">
    <w:name w:val="Header Char"/>
    <w:basedOn w:val="13"/>
    <w:semiHidden/>
    <w:qFormat/>
    <w:uiPriority w:val="99"/>
    <w:rPr>
      <w:rFonts w:ascii="Times New Roman" w:hAnsi="Times New Roman"/>
      <w:sz w:val="18"/>
      <w:szCs w:val="18"/>
    </w:rPr>
  </w:style>
  <w:style w:type="character" w:customStyle="1" w:styleId="17">
    <w:name w:val="页眉 Char"/>
    <w:link w:val="9"/>
    <w:semiHidden/>
    <w:qFormat/>
    <w:locked/>
    <w:uiPriority w:val="99"/>
    <w:rPr>
      <w:sz w:val="18"/>
    </w:rPr>
  </w:style>
  <w:style w:type="character" w:customStyle="1" w:styleId="18">
    <w:name w:val="Footer Char"/>
    <w:basedOn w:val="13"/>
    <w:semiHidden/>
    <w:qFormat/>
    <w:uiPriority w:val="99"/>
    <w:rPr>
      <w:rFonts w:ascii="Times New Roman" w:hAnsi="Times New Roman"/>
      <w:sz w:val="18"/>
      <w:szCs w:val="18"/>
    </w:rPr>
  </w:style>
  <w:style w:type="character" w:customStyle="1" w:styleId="19">
    <w:name w:val="页脚 Char"/>
    <w:link w:val="8"/>
    <w:qFormat/>
    <w:locked/>
    <w:uiPriority w:val="99"/>
    <w:rPr>
      <w:sz w:val="18"/>
    </w:rPr>
  </w:style>
  <w:style w:type="character" w:customStyle="1" w:styleId="20">
    <w:name w:val="Body Text Char"/>
    <w:basedOn w:val="13"/>
    <w:semiHidden/>
    <w:qFormat/>
    <w:uiPriority w:val="99"/>
    <w:rPr>
      <w:rFonts w:ascii="Times New Roman" w:hAnsi="Times New Roman"/>
      <w:szCs w:val="24"/>
    </w:rPr>
  </w:style>
  <w:style w:type="character" w:customStyle="1" w:styleId="21">
    <w:name w:val="正文文本 Char"/>
    <w:link w:val="2"/>
    <w:qFormat/>
    <w:locked/>
    <w:uiPriority w:val="99"/>
    <w:rPr>
      <w:rFonts w:ascii="仿宋_GB2312" w:hAnsi="Times New Roman" w:eastAsia="仿宋_GB2312"/>
      <w:sz w:val="24"/>
    </w:rPr>
  </w:style>
  <w:style w:type="paragraph" w:customStyle="1" w:styleId="22">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3">
    <w:name w:val="List Paragraph"/>
    <w:basedOn w:val="1"/>
    <w:qFormat/>
    <w:uiPriority w:val="34"/>
    <w:pPr>
      <w:ind w:firstLine="420" w:firstLineChars="200"/>
    </w:pPr>
  </w:style>
  <w:style w:type="character" w:customStyle="1" w:styleId="24">
    <w:name w:val="标题 1 Char"/>
    <w:basedOn w:val="13"/>
    <w:link w:val="3"/>
    <w:qFormat/>
    <w:uiPriority w:val="9"/>
    <w:rPr>
      <w:rFonts w:ascii="Times New Roman" w:hAnsi="Times New Roman"/>
      <w:b/>
      <w:bCs/>
      <w:kern w:val="44"/>
      <w:sz w:val="44"/>
      <w:szCs w:val="44"/>
    </w:rPr>
  </w:style>
  <w:style w:type="character" w:customStyle="1" w:styleId="25">
    <w:name w:val="标题 2 Char"/>
    <w:basedOn w:val="13"/>
    <w:link w:val="4"/>
    <w:qFormat/>
    <w:uiPriority w:val="9"/>
    <w:rPr>
      <w:rFonts w:asciiTheme="majorHAnsi" w:hAnsiTheme="majorHAnsi" w:eastAsiaTheme="majorEastAsia" w:cstheme="majorBidi"/>
      <w:b/>
      <w:bCs/>
      <w:kern w:val="2"/>
      <w:sz w:val="32"/>
      <w:szCs w:val="32"/>
    </w:rPr>
  </w:style>
  <w:style w:type="paragraph" w:customStyle="1" w:styleId="26">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7">
    <w:name w:val="批注框文本 Char"/>
    <w:basedOn w:val="13"/>
    <w:link w:val="7"/>
    <w:semiHidden/>
    <w:qFormat/>
    <w:uiPriority w:val="99"/>
    <w:rPr>
      <w:rFonts w:ascii="Times New Roman" w:hAnsi="Times New Roman"/>
      <w:kern w:val="2"/>
      <w:sz w:val="18"/>
      <w:szCs w:val="18"/>
    </w:rPr>
  </w:style>
  <w:style w:type="character" w:customStyle="1" w:styleId="28">
    <w:name w:val="标题 3 Char"/>
    <w:basedOn w:val="13"/>
    <w:link w:val="5"/>
    <w:qFormat/>
    <w:uiPriority w:val="9"/>
    <w:rPr>
      <w:rFonts w:ascii="Times New Roman" w:hAnsi="Times New Roman"/>
      <w:b/>
      <w:bCs/>
      <w:kern w:val="2"/>
      <w:sz w:val="32"/>
      <w:szCs w:val="32"/>
    </w:rPr>
  </w:style>
  <w:style w:type="paragraph" w:customStyle="1" w:styleId="29">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chart" Target="charts/chart3.xml"/><Relationship Id="rId8" Type="http://schemas.openxmlformats.org/officeDocument/2006/relationships/chart" Target="charts/chart2.xml"/><Relationship Id="rId7" Type="http://schemas.openxmlformats.org/officeDocument/2006/relationships/chart" Target="charts/chart1.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png"/><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chart" Target="charts/chart6.xml"/><Relationship Id="rId11" Type="http://schemas.openxmlformats.org/officeDocument/2006/relationships/chart" Target="charts/chart5.xml"/><Relationship Id="rId10" Type="http://schemas.openxmlformats.org/officeDocument/2006/relationships/chart" Target="charts/chart4.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Workbook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2</a:t>
            </a:r>
            <a:r>
              <a:rPr lang="zh-CN"/>
              <a:t>：</a:t>
            </a:r>
            <a:r>
              <a:rPr lang="en-US"/>
              <a:t>2021</a:t>
            </a:r>
            <a:r>
              <a:rPr lang="zh-CN"/>
              <a:t>年收入决算结构图</a:t>
            </a:r>
            <a:endParaRPr lang="zh-CN"/>
          </a:p>
        </c:rich>
      </c:tx>
      <c:layout/>
      <c:overlay val="0"/>
    </c:title>
    <c:autoTitleDeleted val="0"/>
    <c:plotArea>
      <c:layout/>
      <c:pieChart>
        <c:varyColors val="1"/>
        <c:ser>
          <c:idx val="0"/>
          <c:order val="0"/>
          <c:tx>
            <c:strRef>
              <c:f>收入决算结构图2!$B$6</c:f>
              <c:strCache>
                <c:ptCount val="1"/>
                <c:pt idx="0">
                  <c:v>占比</c:v>
                </c:pt>
              </c:strCache>
            </c:strRef>
          </c:tx>
          <c:explosion val="0"/>
          <c:dPt>
            <c:idx val="0"/>
            <c:bubble3D val="0"/>
          </c:dPt>
          <c:dPt>
            <c:idx val="1"/>
            <c:bubble3D val="0"/>
          </c:dPt>
          <c:dPt>
            <c:idx val="2"/>
            <c:bubble3D val="0"/>
          </c:dPt>
          <c:dPt>
            <c:idx val="3"/>
            <c:bubble3D val="0"/>
          </c:dPt>
          <c:dLbls>
            <c:dLbl>
              <c:idx val="1"/>
              <c:layout>
                <c:manualLayout>
                  <c:x val="-0.0167753458752465"/>
                  <c:y val="-0.0412493660885495"/>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50471494345391"/>
                  <c:y val="-0.0162085918724544"/>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收入决算结构图2!$A$7:$A$10</c:f>
              <c:strCache>
                <c:ptCount val="4"/>
                <c:pt idx="0">
                  <c:v>一般公共预算财政拨款收入905万元</c:v>
                </c:pt>
                <c:pt idx="1">
                  <c:v>政府性基金预算财政拨款0万元</c:v>
                </c:pt>
                <c:pt idx="2">
                  <c:v>事业收入0万元</c:v>
                </c:pt>
                <c:pt idx="3">
                  <c:v>其他收入0万元</c:v>
                </c:pt>
              </c:strCache>
            </c:strRef>
          </c:cat>
          <c:val>
            <c:numRef>
              <c:f>收入决算结构图2!$B$7:$B$10</c:f>
              <c:numCache>
                <c:formatCode>0.00%</c:formatCode>
                <c:ptCount val="4"/>
                <c:pt idx="0">
                  <c:v>1</c:v>
                </c:pt>
                <c:pt idx="1">
                  <c:v>0</c:v>
                </c:pt>
                <c:pt idx="2">
                  <c:v>0</c:v>
                </c:pt>
                <c:pt idx="3">
                  <c:v>0</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zero"/>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3</a:t>
            </a:r>
            <a:r>
              <a:rPr lang="zh-CN"/>
              <a:t>：</a:t>
            </a:r>
            <a:r>
              <a:rPr lang="en-US"/>
              <a:t>2021</a:t>
            </a:r>
            <a:r>
              <a:rPr lang="zh-CN"/>
              <a:t>年支出决算结构图</a:t>
            </a:r>
            <a:endParaRPr lang="zh-CN"/>
          </a:p>
        </c:rich>
      </c:tx>
      <c:layout>
        <c:manualLayout>
          <c:xMode val="edge"/>
          <c:yMode val="edge"/>
          <c:x val="0.224852767962309"/>
          <c:y val="0.0234604105571848"/>
        </c:manualLayout>
      </c:layout>
      <c:overlay val="0"/>
    </c:title>
    <c:autoTitleDeleted val="0"/>
    <c:plotArea>
      <c:layout/>
      <c:pieChart>
        <c:varyColors val="1"/>
        <c:ser>
          <c:idx val="0"/>
          <c:order val="0"/>
          <c:tx>
            <c:strRef>
              <c:f>支出决算结构图3!$B$9</c:f>
              <c:strCache>
                <c:ptCount val="1"/>
                <c:pt idx="0">
                  <c:v>占比</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支出决算结构图3!$A$10:$A$11</c:f>
              <c:strCache>
                <c:ptCount val="2"/>
                <c:pt idx="0">
                  <c:v>基本支出863.32万元</c:v>
                </c:pt>
                <c:pt idx="1">
                  <c:v>项目支出50.02万元</c:v>
                </c:pt>
              </c:strCache>
            </c:strRef>
          </c:cat>
          <c:val>
            <c:numRef>
              <c:f>支出决算结构图3!$B$10:$B$11</c:f>
              <c:numCache>
                <c:formatCode>0.00%</c:formatCode>
                <c:ptCount val="2"/>
                <c:pt idx="0">
                  <c:v>0.945</c:v>
                </c:pt>
                <c:pt idx="1">
                  <c:v>0.055</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zero"/>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4</a:t>
            </a:r>
            <a:r>
              <a:rPr lang="zh-CN" altLang="en-US"/>
              <a:t>：财政拨款收、支决算总计变动情况图</a:t>
            </a:r>
            <a:endParaRPr lang="zh-CN" altLang="en-US"/>
          </a:p>
        </c:rich>
      </c:tx>
      <c:layout/>
      <c:overlay val="0"/>
    </c:title>
    <c:autoTitleDeleted val="0"/>
    <c:plotArea>
      <c:layout/>
      <c:barChart>
        <c:barDir val="col"/>
        <c:grouping val="clustered"/>
        <c:varyColors val="0"/>
        <c:ser>
          <c:idx val="0"/>
          <c:order val="0"/>
          <c:tx>
            <c:strRef>
              <c:f>'财政拨款收、支决算总计变动情况图4'!$C$4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'财政拨款收、支决算总计变动情况图4'!$B$5:$B$6</c:f>
              <c:strCache>
                <c:ptCount val="2"/>
                <c:pt idx="0">
                  <c:v>2021年</c:v>
                </c:pt>
                <c:pt idx="1">
                  <c:v>2020年</c:v>
                </c:pt>
              </c:strCache>
            </c:strRef>
          </c:cat>
          <c:val>
            <c:numRef>
              <c:f>'财政拨款收、支决算总计变动情况图4'!$C$5:$C$6</c:f>
              <c:numCache>
                <c:formatCode>#,##0.00</c:formatCode>
                <c:ptCount val="2"/>
                <c:pt idx="0">
                  <c:v>1818.35</c:v>
                </c:pt>
                <c:pt idx="1">
                  <c:v>1771.17</c:v>
                </c:pt>
              </c:numCache>
            </c:numRef>
          </c:val>
        </c:ser>
        <c:dLbls>
          <c:showLegendKey val="0"/>
          <c:showVal val="1"/>
          <c:showCatName val="0"/>
          <c:showSerName val="0"/>
          <c:showPercent val="0"/>
          <c:showBubbleSize val="0"/>
        </c:dLbls>
        <c:gapWidth val="150"/>
        <c:axId val="120155520"/>
        <c:axId val="120157312"/>
      </c:barChart>
      <c:catAx>
        <c:axId val="12015552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120157312"/>
        <c:crosses val="autoZero"/>
        <c:auto val="1"/>
        <c:lblAlgn val="ctr"/>
        <c:lblOffset val="100"/>
        <c:noMultiLvlLbl val="0"/>
      </c:catAx>
      <c:valAx>
        <c:axId val="120157312"/>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120155520"/>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5</a:t>
            </a:r>
            <a:r>
              <a:rPr lang="zh-CN" altLang="en-US"/>
              <a:t>：一般公共预算财政拨款支出决算       变动情况图</a:t>
            </a:r>
            <a:endParaRPr lang="zh-CN" altLang="en-US"/>
          </a:p>
        </c:rich>
      </c:tx>
      <c:layout/>
      <c:overlay val="0"/>
    </c:title>
    <c:autoTitleDeleted val="0"/>
    <c:plotArea>
      <c:layout/>
      <c:barChart>
        <c:barDir val="col"/>
        <c:grouping val="clustered"/>
        <c:varyColors val="0"/>
        <c:ser>
          <c:idx val="0"/>
          <c:order val="0"/>
          <c:tx>
            <c:strRef>
              <c:f>一般公共预算财政拨款支出决算变动图5!$C$4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一般公共预算财政拨款支出决算变动图5!$B$5:$B$6</c:f>
              <c:strCache>
                <c:ptCount val="2"/>
                <c:pt idx="0">
                  <c:v>2021年</c:v>
                </c:pt>
                <c:pt idx="1">
                  <c:v>2020年</c:v>
                </c:pt>
              </c:strCache>
            </c:strRef>
          </c:cat>
          <c:val>
            <c:numRef>
              <c:f>一般公共预算财政拨款支出决算变动图5!$C$5:$C$6</c:f>
              <c:numCache>
                <c:formatCode>#,##0.00</c:formatCode>
                <c:ptCount val="2"/>
                <c:pt idx="0">
                  <c:v>913.35</c:v>
                </c:pt>
                <c:pt idx="1">
                  <c:v>890.03</c:v>
                </c:pt>
              </c:numCache>
            </c:numRef>
          </c:val>
        </c:ser>
        <c:dLbls>
          <c:showLegendKey val="0"/>
          <c:showVal val="1"/>
          <c:showCatName val="0"/>
          <c:showSerName val="0"/>
          <c:showPercent val="0"/>
          <c:showBubbleSize val="0"/>
        </c:dLbls>
        <c:gapWidth val="150"/>
        <c:axId val="120063488"/>
        <c:axId val="120065024"/>
      </c:barChart>
      <c:catAx>
        <c:axId val="12006348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120065024"/>
        <c:crosses val="autoZero"/>
        <c:auto val="1"/>
        <c:lblAlgn val="ctr"/>
        <c:lblOffset val="100"/>
        <c:noMultiLvlLbl val="0"/>
      </c:catAx>
      <c:valAx>
        <c:axId val="12006502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120063488"/>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6</a:t>
            </a:r>
            <a:r>
              <a:rPr lang="zh-CN" altLang="en-US"/>
              <a:t>：一般公共预算财政拨款支出决算结构图</a:t>
            </a:r>
            <a:endParaRPr lang="zh-CN" altLang="en-US"/>
          </a:p>
        </c:rich>
      </c:tx>
      <c:layout/>
      <c:overlay val="0"/>
    </c:title>
    <c:autoTitleDeleted val="0"/>
    <c:plotArea>
      <c:layout/>
      <c:pieChart>
        <c:varyColors val="1"/>
        <c:ser>
          <c:idx val="0"/>
          <c:order val="0"/>
          <c:tx>
            <c:strRef>
              <c:f>一般公共预算财政拨款支出决算结构图6!$C$18</c:f>
              <c:strCache>
                <c:ptCount val="1"/>
                <c:pt idx="0">
                  <c:v>占比</c:v>
                </c:pt>
              </c:strCache>
            </c:strRef>
          </c:tx>
          <c:explosion val="0"/>
          <c:dPt>
            <c:idx val="0"/>
            <c:bubble3D val="0"/>
          </c:dPt>
          <c:dPt>
            <c:idx val="1"/>
            <c:bubble3D val="0"/>
          </c:dPt>
          <c:dPt>
            <c:idx val="2"/>
            <c:bubble3D val="0"/>
          </c:dPt>
          <c:dPt>
            <c:idx val="3"/>
            <c:bubble3D val="0"/>
          </c:dPt>
          <c:dPt>
            <c:idx val="4"/>
            <c:bubble3D val="0"/>
          </c:dPt>
          <c:dPt>
            <c:idx val="5"/>
            <c:bubble3D val="0"/>
          </c:dPt>
          <c:dPt>
            <c:idx val="6"/>
            <c:bubble3D val="0"/>
          </c:dPt>
          <c:dLbls>
            <c:dLbl>
              <c:idx val="5"/>
              <c:layout>
                <c:manualLayout>
                  <c:x val="0.0569634882148239"/>
                  <c:y val="-0.0231827518809166"/>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0305024618798017"/>
                  <c:y val="0.119045485645333"/>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一般公共预算财政拨款支出决算结构图6!$B$19:$B$25</c:f>
              <c:strCache>
                <c:ptCount val="7"/>
                <c:pt idx="1">
                  <c:v>教育支出</c:v>
                </c:pt>
                <c:pt idx="2">
                  <c:v>文化旅游体育与传媒支出</c:v>
                </c:pt>
                <c:pt idx="3">
                  <c:v>社会保障和就业支出</c:v>
                </c:pt>
                <c:pt idx="4">
                  <c:v>卫生健康支出</c:v>
                </c:pt>
                <c:pt idx="5">
                  <c:v>农林水支出</c:v>
                </c:pt>
                <c:pt idx="6">
                  <c:v>住房保障支出</c:v>
                </c:pt>
              </c:strCache>
            </c:strRef>
          </c:cat>
          <c:val>
            <c:numRef>
              <c:f>一般公共预算财政拨款支出决算结构图6!$C$19:$C$25</c:f>
              <c:numCache>
                <c:formatCode>General</c:formatCode>
                <c:ptCount val="7"/>
                <c:pt idx="1" c:formatCode="0.00%">
                  <c:v>0.749526468495101</c:v>
                </c:pt>
                <c:pt idx="2" c:formatCode="0.00%">
                  <c:v>0</c:v>
                </c:pt>
                <c:pt idx="3" c:formatCode="0.00%">
                  <c:v>0.158942355066513</c:v>
                </c:pt>
                <c:pt idx="4" c:formatCode="0.00%">
                  <c:v>0.0269885586029452</c:v>
                </c:pt>
                <c:pt idx="5" c:formatCode="0.00%">
                  <c:v>0</c:v>
                </c:pt>
                <c:pt idx="6" c:formatCode="0.00%">
                  <c:v>0.0645426178354411</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zero"/>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7</a:t>
            </a:r>
            <a:r>
              <a:rPr lang="zh-CN" altLang="en-US"/>
              <a:t>：</a:t>
            </a:r>
            <a:r>
              <a:rPr lang="en-US" altLang="zh-CN"/>
              <a:t>2021</a:t>
            </a:r>
            <a:r>
              <a:rPr lang="zh-CN" altLang="en-US"/>
              <a:t>年  </a:t>
            </a:r>
            <a:r>
              <a:rPr lang="en-US" altLang="zh-CN"/>
              <a:t>"</a:t>
            </a:r>
            <a:r>
              <a:rPr lang="zh-CN" altLang="en-US"/>
              <a:t>三公”经费财政拨款                  支出结构图</a:t>
            </a:r>
            <a:endParaRPr lang="zh-CN" altLang="en-US"/>
          </a:p>
        </c:rich>
      </c:tx>
      <c:layout/>
      <c:overlay val="0"/>
    </c:title>
    <c:autoTitleDeleted val="0"/>
    <c:plotArea>
      <c:layout>
        <c:manualLayout>
          <c:layoutTarget val="inner"/>
          <c:xMode val="edge"/>
          <c:yMode val="edge"/>
          <c:x val="0.171978213507625"/>
          <c:y val="0.30756378600823"/>
          <c:w val="0.320749455337691"/>
          <c:h val="0.605860082304528"/>
        </c:manualLayout>
      </c:layout>
      <c:pieChart>
        <c:varyColors val="1"/>
        <c:ser>
          <c:idx val="0"/>
          <c:order val="0"/>
          <c:tx>
            <c:strRef>
              <c:f>'“三公”经费财政拨款支出结构图7 '!$B$9</c:f>
              <c:strCache>
                <c:ptCount val="1"/>
                <c:pt idx="0">
                  <c:v>占比</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'“三公”经费财政拨款支出结构图7 '!$A$10:$A$11</c:f>
              <c:strCache>
                <c:ptCount val="2"/>
                <c:pt idx="0">
                  <c:v>公务用车购置及运行维护费支出0万元</c:v>
                </c:pt>
                <c:pt idx="1">
                  <c:v>公务接待费支出0万元</c:v>
                </c:pt>
              </c:strCache>
            </c:strRef>
          </c:cat>
          <c:val>
            <c:numRef>
              <c:f>'“三公”经费财政拨款支出结构图7 '!$B$10:$B$11</c:f>
              <c:numCache>
                <c:formatCode>0.00%</c:formatCode>
                <c:ptCount val="2"/>
                <c:pt idx="0">
                  <c:v>0</c:v>
                </c:pt>
                <c:pt idx="1">
                  <c:v>0</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zero"/>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28C98A-B305-494F-8C78-B20772C8FF84}">
  <ds:schemaRefs/>
</ds:datastoreItem>
</file>

<file path=docProps/app.xml><?xml version="1.0" encoding="utf-8"?>
<Properties xmlns="http://schemas.openxmlformats.org/officeDocument/2006/extended-properties" xmlns:vt="http://schemas.openxmlformats.org/officeDocument/2006/docPropsVTypes">
  <Template>Normal</Template>
  <Company>四川省财政厅</Company>
  <Pages>26</Pages>
  <Words>4901</Words>
  <Characters>5281</Characters>
  <Lines>46</Lines>
  <Paragraphs>13</Paragraphs>
  <TotalTime>2</TotalTime>
  <ScaleCrop>false</ScaleCrop>
  <LinksUpToDate>false</LinksUpToDate>
  <CharactersWithSpaces>5317</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2022-09-13T01:18:00Z</dcterms:created>
  <dc:creator>曹颖</dc:creator>
  <cp:lastModifiedBy>user</cp:lastModifiedBy>
  <cp:lastPrinted>2022-10-17T02:15:00Z</cp:lastPrinted>
  <dcterms:modified xsi:type="dcterms:W3CDTF">2022-12-07T05:50:19Z</dcterms:modified>
  <dc:title>四川省***</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7A313DF7705A404F99228AFE17DB846D</vt:lpwstr>
  </property>
</Properties>
</file>