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sz w:val="72"/>
          <w:szCs w:val="72"/>
        </w:rPr>
      </w:pPr>
      <w:bookmarkStart w:id="0" w:name="_Toc15306267"/>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spacing w:line="600" w:lineRule="exact"/>
        <w:jc w:val="center"/>
        <w:outlineLvl w:val="0"/>
        <w:rPr>
          <w:rFonts w:ascii="方正小标宋简体" w:hAnsi="宋体" w:eastAsia="方正小标宋简体"/>
          <w:sz w:val="72"/>
          <w:szCs w:val="72"/>
        </w:rPr>
      </w:pPr>
    </w:p>
    <w:p>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5396597"/>
      <w:bookmarkStart w:id="2" w:name="_Toc15378441"/>
      <w:bookmarkStart w:id="3" w:name="_Toc15396475"/>
      <w:bookmarkStart w:id="4" w:name="_Toc15377193"/>
      <w:bookmarkStart w:id="5" w:name="_Toc15377425"/>
      <w:r>
        <w:rPr>
          <w:rFonts w:hint="eastAsia" w:ascii="方正小标宋简体" w:hAnsi="方正小标宋简体" w:eastAsia="方正小标宋简体" w:cs="方正小标宋简体"/>
          <w:sz w:val="72"/>
          <w:szCs w:val="72"/>
        </w:rPr>
        <w:t>2021年度</w:t>
      </w:r>
      <w:bookmarkEnd w:id="1"/>
      <w:bookmarkEnd w:id="2"/>
      <w:bookmarkEnd w:id="3"/>
      <w:bookmarkEnd w:id="4"/>
      <w:bookmarkEnd w:id="5"/>
    </w:p>
    <w:p>
      <w:pPr>
        <w:adjustRightInd w:val="0"/>
        <w:snapToGrid w:val="0"/>
        <w:spacing w:line="360" w:lineRule="auto"/>
        <w:jc w:val="center"/>
        <w:outlineLvl w:val="0"/>
        <w:rPr>
          <w:rFonts w:hint="default" w:ascii="方正小标宋简体" w:hAnsi="方正小标宋简体" w:eastAsia="方正小标宋简体" w:cs="方正小标宋简体"/>
          <w:sz w:val="72"/>
          <w:szCs w:val="72"/>
          <w:lang w:val="en-US" w:eastAsia="zh-CN"/>
        </w:rPr>
      </w:pPr>
      <w:bookmarkStart w:id="6" w:name="_Toc15396598"/>
      <w:bookmarkStart w:id="7" w:name="_Toc15377194"/>
      <w:bookmarkStart w:id="8" w:name="_Toc15378442"/>
      <w:bookmarkStart w:id="9" w:name="_Toc15377426"/>
      <w:bookmarkStart w:id="10" w:name="_Toc15396476"/>
      <w:r>
        <w:rPr>
          <w:rFonts w:hint="eastAsia" w:ascii="方正小标宋简体" w:hAnsi="方正小标宋简体" w:eastAsia="方正小标宋简体" w:cs="方正小标宋简体"/>
          <w:sz w:val="72"/>
          <w:szCs w:val="72"/>
        </w:rPr>
        <w:t>乐山市市中区</w:t>
      </w:r>
      <w:bookmarkEnd w:id="0"/>
      <w:bookmarkStart w:id="11" w:name="_Toc15306268"/>
      <w:r>
        <w:rPr>
          <w:rFonts w:hint="eastAsia" w:ascii="方正小标宋简体" w:hAnsi="方正小标宋简体" w:eastAsia="方正小标宋简体" w:cs="方正小标宋简体"/>
          <w:sz w:val="72"/>
          <w:szCs w:val="72"/>
          <w:lang w:val="en-US" w:eastAsia="zh-CN"/>
        </w:rPr>
        <w:t>学生发展中心</w:t>
      </w:r>
      <w:r>
        <w:rPr>
          <w:rFonts w:hint="eastAsia" w:ascii="方正小标宋简体" w:hAnsi="方正小标宋简体" w:eastAsia="方正小标宋简体" w:cs="方正小标宋简体"/>
          <w:sz w:val="72"/>
          <w:szCs w:val="72"/>
        </w:rPr>
        <w:t>决算</w:t>
      </w:r>
      <w:bookmarkEnd w:id="6"/>
      <w:bookmarkEnd w:id="7"/>
      <w:bookmarkEnd w:id="8"/>
      <w:bookmarkEnd w:id="9"/>
      <w:bookmarkEnd w:id="10"/>
      <w:bookmarkEnd w:id="11"/>
      <w:r>
        <w:rPr>
          <w:rFonts w:hint="eastAsia" w:ascii="方正小标宋简体" w:hAnsi="方正小标宋简体" w:eastAsia="方正小标宋简体" w:cs="方正小标宋简体"/>
          <w:sz w:val="72"/>
          <w:szCs w:val="72"/>
          <w:lang w:val="en-US" w:eastAsia="zh-CN"/>
        </w:rPr>
        <w:t>编报说明</w:t>
      </w:r>
    </w:p>
    <w:p>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pPr>
        <w:widowControl/>
        <w:jc w:val="center"/>
        <w:rPr>
          <w:rFonts w:ascii="黑体" w:hAnsi="黑体" w:eastAsia="黑体" w:cstheme="minorBidi"/>
          <w:sz w:val="28"/>
          <w:szCs w:val="28"/>
        </w:rPr>
      </w:pPr>
    </w:p>
    <w:p>
      <w:pPr>
        <w:pStyle w:val="10"/>
      </w:pPr>
      <w:r>
        <w:rPr>
          <w:rFonts w:hint="eastAsia"/>
        </w:rPr>
        <w:t>公开时间：2022年</w:t>
      </w:r>
      <w:r>
        <w:rPr>
          <w:rFonts w:hint="eastAsia"/>
          <w:lang w:val="en-US" w:eastAsia="zh-CN"/>
        </w:rPr>
        <w:t>10</w:t>
      </w:r>
      <w:r>
        <w:rPr>
          <w:rFonts w:hint="eastAsia"/>
        </w:rPr>
        <w:t xml:space="preserve"> 月</w:t>
      </w:r>
      <w:r>
        <w:rPr>
          <w:rFonts w:hint="eastAsia"/>
          <w:lang w:val="en-US" w:eastAsia="zh-CN"/>
        </w:rPr>
        <w:t>18</w:t>
      </w:r>
      <w:r>
        <w:rPr>
          <w:rFonts w:hint="eastAsia"/>
        </w:rPr>
        <w:t xml:space="preserve"> 日</w:t>
      </w:r>
    </w:p>
    <w:p/>
    <w:p>
      <w:pPr>
        <w:pStyle w:val="10"/>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单位概况</w:t>
      </w:r>
    </w:p>
    <w:p>
      <w:pPr>
        <w:pStyle w:val="11"/>
        <w:adjustRightInd w:val="0"/>
        <w:snapToGrid w:val="0"/>
        <w:spacing w:line="440" w:lineRule="exact"/>
        <w:jc w:val="left"/>
        <w:rPr>
          <w:rFonts w:hint="eastAsia" w:eastAsia="宋体"/>
          <w:sz w:val="24"/>
          <w:lang w:eastAsia="zh-CN"/>
        </w:rPr>
      </w:pPr>
      <w:r>
        <w:rPr>
          <w:rFonts w:hint="eastAsia"/>
          <w:sz w:val="24"/>
        </w:rPr>
        <w:t xml:space="preserve">一、职能简介 </w:t>
      </w:r>
      <w:r>
        <w:rPr>
          <w:rFonts w:hint="eastAsia" w:ascii="宋体" w:hAnsi="宋体" w:cs="宋体"/>
          <w:sz w:val="24"/>
        </w:rPr>
        <w:t>……………………………………………………………………</w:t>
      </w:r>
      <w:r>
        <w:rPr>
          <w:rFonts w:hint="eastAsia" w:ascii="宋体" w:hAnsi="宋体" w:cs="宋体"/>
          <w:sz w:val="24"/>
          <w:lang w:val="en-US" w:eastAsia="zh-CN"/>
        </w:rPr>
        <w:t>4</w:t>
      </w:r>
    </w:p>
    <w:p>
      <w:pPr>
        <w:pStyle w:val="11"/>
        <w:adjustRightInd w:val="0"/>
        <w:snapToGrid w:val="0"/>
        <w:spacing w:line="440" w:lineRule="exact"/>
        <w:jc w:val="left"/>
        <w:rPr>
          <w:rFonts w:hint="eastAsia" w:eastAsia="宋体" w:asciiTheme="minorEastAsia" w:hAnsiTheme="minorEastAsia" w:cstheme="minorEastAsia"/>
          <w:sz w:val="24"/>
          <w:lang w:eastAsia="zh-CN"/>
        </w:rPr>
      </w:pPr>
      <w:r>
        <w:rPr>
          <w:rFonts w:hint="eastAsia" w:asciiTheme="minorEastAsia" w:hAnsiTheme="minorEastAsia" w:eastAsiaTheme="minorEastAsia" w:cstheme="minorEastAsia"/>
          <w:sz w:val="24"/>
        </w:rPr>
        <w:t>二、2021年重点工作完成情况</w:t>
      </w:r>
      <w:r>
        <w:rPr>
          <w:rFonts w:hint="eastAsia" w:ascii="宋体" w:hAnsi="宋体" w:cs="宋体"/>
          <w:sz w:val="24"/>
        </w:rPr>
        <w:t>…………………………………………………</w:t>
      </w:r>
      <w:r>
        <w:rPr>
          <w:rFonts w:hint="eastAsia" w:ascii="宋体" w:hAnsi="宋体" w:cs="宋体"/>
          <w:sz w:val="24"/>
          <w:lang w:val="en-US" w:eastAsia="zh-CN"/>
        </w:rPr>
        <w:t>4</w:t>
      </w:r>
    </w:p>
    <w:p>
      <w:pPr>
        <w:pStyle w:val="10"/>
        <w:adjustRightInd w:val="0"/>
        <w:snapToGrid w:val="0"/>
        <w:spacing w:before="0" w:line="440" w:lineRule="exact"/>
        <w:jc w:val="left"/>
        <w:rPr>
          <w:rFonts w:hint="eastAsia" w:eastAsia="仿宋"/>
          <w:sz w:val="24"/>
          <w:szCs w:val="24"/>
          <w:lang w:eastAsia="zh-CN"/>
        </w:rPr>
      </w:pPr>
      <w:r>
        <w:rPr>
          <w:rFonts w:hint="eastAsia"/>
          <w:sz w:val="24"/>
        </w:rPr>
        <w:t>第二部分 2021年度单位决算情况说明</w:t>
      </w:r>
      <w:r>
        <w:rPr>
          <w:rFonts w:hint="eastAsia" w:ascii="宋体" w:hAnsi="宋体" w:cs="宋体"/>
          <w:sz w:val="24"/>
        </w:rPr>
        <w:t>……………………………………………</w:t>
      </w:r>
      <w:r>
        <w:rPr>
          <w:rFonts w:hint="eastAsia" w:ascii="宋体" w:hAnsi="宋体" w:cs="宋体"/>
          <w:sz w:val="24"/>
          <w:lang w:val="en-US" w:eastAsia="zh-CN"/>
        </w:rPr>
        <w:t>9</w:t>
      </w:r>
    </w:p>
    <w:p>
      <w:pPr>
        <w:pStyle w:val="11"/>
        <w:adjustRightInd w:val="0"/>
        <w:snapToGrid w:val="0"/>
        <w:spacing w:line="440" w:lineRule="exact"/>
        <w:jc w:val="left"/>
        <w:rPr>
          <w:rFonts w:hint="eastAsia" w:ascii="仿宋" w:hAnsi="仿宋" w:eastAsia="宋体" w:cstheme="minorBidi"/>
          <w:sz w:val="24"/>
          <w:lang w:eastAsia="zh-CN"/>
        </w:rPr>
      </w:pPr>
      <w:r>
        <w:rPr>
          <w:rFonts w:hint="eastAsia"/>
          <w:sz w:val="24"/>
        </w:rPr>
        <w:t>一、收入支出决算总体情况说明</w:t>
      </w:r>
      <w:r>
        <w:rPr>
          <w:rFonts w:hint="eastAsia" w:ascii="宋体" w:hAnsi="宋体" w:cs="宋体"/>
          <w:sz w:val="24"/>
        </w:rPr>
        <w:t>………………………………………………</w:t>
      </w:r>
      <w:r>
        <w:rPr>
          <w:rFonts w:hint="eastAsia" w:ascii="宋体" w:hAnsi="宋体" w:cs="宋体"/>
          <w:sz w:val="24"/>
          <w:lang w:val="en-US" w:eastAsia="zh-CN"/>
        </w:rPr>
        <w:t>9</w:t>
      </w:r>
    </w:p>
    <w:p>
      <w:pPr>
        <w:pStyle w:val="11"/>
        <w:adjustRightInd w:val="0"/>
        <w:snapToGrid w:val="0"/>
        <w:spacing w:line="440" w:lineRule="exact"/>
        <w:jc w:val="left"/>
        <w:rPr>
          <w:rFonts w:hint="eastAsia" w:ascii="仿宋" w:hAnsi="仿宋" w:eastAsia="宋体" w:cstheme="minorBidi"/>
          <w:sz w:val="24"/>
          <w:lang w:eastAsia="zh-CN"/>
        </w:rPr>
      </w:pPr>
      <w:r>
        <w:rPr>
          <w:rFonts w:hint="eastAsia"/>
          <w:sz w:val="24"/>
        </w:rPr>
        <w:t>二、收入决算情况说明</w:t>
      </w:r>
      <w:r>
        <w:rPr>
          <w:rFonts w:hint="eastAsia" w:ascii="宋体" w:hAnsi="宋体" w:cs="宋体"/>
          <w:sz w:val="24"/>
        </w:rPr>
        <w:t>…………………………………………………………</w:t>
      </w:r>
      <w:r>
        <w:rPr>
          <w:rFonts w:hint="eastAsia" w:ascii="宋体" w:hAnsi="宋体" w:cs="宋体"/>
          <w:sz w:val="24"/>
          <w:lang w:val="en-US" w:eastAsia="zh-CN"/>
        </w:rPr>
        <w:t>9</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三、支出决算情况说明</w:t>
      </w:r>
      <w:r>
        <w:rPr>
          <w:rFonts w:hint="eastAsia" w:ascii="宋体" w:hAnsi="宋体" w:cs="宋体"/>
          <w:sz w:val="24"/>
        </w:rPr>
        <w:t>…………………………………………………………</w:t>
      </w:r>
      <w:r>
        <w:rPr>
          <w:rFonts w:hint="eastAsia" w:ascii="宋体" w:hAnsi="宋体" w:cs="宋体"/>
          <w:sz w:val="24"/>
          <w:lang w:val="en-US" w:eastAsia="zh-CN"/>
        </w:rPr>
        <w:t>10</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四、财政拨款收入支出决算总体情况说明</w:t>
      </w:r>
      <w:r>
        <w:rPr>
          <w:rFonts w:hint="eastAsia" w:ascii="宋体" w:hAnsi="宋体" w:cs="宋体"/>
          <w:sz w:val="24"/>
        </w:rPr>
        <w:t>……………………………………</w:t>
      </w:r>
      <w:r>
        <w:rPr>
          <w:rFonts w:hint="eastAsia" w:ascii="宋体" w:hAnsi="宋体" w:cs="宋体"/>
          <w:sz w:val="24"/>
          <w:lang w:val="en-US" w:eastAsia="zh-CN"/>
        </w:rPr>
        <w:t>11</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五、一般公共预算财政拨款支出决算情况说明</w:t>
      </w:r>
      <w:r>
        <w:rPr>
          <w:rFonts w:hint="eastAsia" w:ascii="宋体" w:hAnsi="宋体" w:cs="宋体"/>
          <w:sz w:val="24"/>
        </w:rPr>
        <w:t>………………………………</w:t>
      </w:r>
      <w:r>
        <w:rPr>
          <w:rFonts w:hint="eastAsia" w:ascii="宋体" w:hAnsi="宋体" w:cs="宋体"/>
          <w:sz w:val="24"/>
          <w:lang w:val="en-US" w:eastAsia="zh-CN"/>
        </w:rPr>
        <w:t>12</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六、一般公共预算财政拨款基本支出决算情况说明</w:t>
      </w:r>
      <w:r>
        <w:rPr>
          <w:rFonts w:hint="eastAsia" w:ascii="宋体" w:hAnsi="宋体" w:cs="宋体"/>
          <w:sz w:val="24"/>
        </w:rPr>
        <w:t>…………………………</w:t>
      </w:r>
      <w:r>
        <w:rPr>
          <w:rFonts w:hint="eastAsia" w:ascii="宋体" w:hAnsi="宋体" w:cs="宋体"/>
          <w:sz w:val="24"/>
          <w:lang w:val="en-US" w:eastAsia="zh-CN"/>
        </w:rPr>
        <w:t>15</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 xml:space="preserve">七、“三公”经费财政拨款支出决算情况说明 </w:t>
      </w:r>
      <w:r>
        <w:rPr>
          <w:rFonts w:hint="eastAsia" w:ascii="宋体" w:hAnsi="宋体" w:cs="宋体"/>
          <w:sz w:val="24"/>
        </w:rPr>
        <w:t>……………………………</w:t>
      </w:r>
      <w:r>
        <w:rPr>
          <w:rFonts w:hint="eastAsia" w:ascii="宋体" w:hAnsi="宋体" w:cs="宋体"/>
          <w:sz w:val="24"/>
          <w:lang w:val="en-US" w:eastAsia="zh-CN"/>
        </w:rPr>
        <w:t>15</w:t>
      </w:r>
    </w:p>
    <w:p>
      <w:pPr>
        <w:pStyle w:val="11"/>
        <w:adjustRightInd w:val="0"/>
        <w:snapToGrid w:val="0"/>
        <w:spacing w:line="440" w:lineRule="exact"/>
        <w:jc w:val="left"/>
        <w:rPr>
          <w:rFonts w:hint="default" w:ascii="仿宋" w:hAnsi="仿宋" w:eastAsia="宋体" w:cstheme="minorBidi"/>
          <w:sz w:val="24"/>
          <w:lang w:val="en-US" w:eastAsia="zh-CN"/>
        </w:rPr>
      </w:pPr>
      <w:r>
        <w:rPr>
          <w:rFonts w:hint="eastAsia"/>
          <w:sz w:val="24"/>
        </w:rPr>
        <w:t>八、政府性基金预算支出决算情况说明</w:t>
      </w:r>
      <w:r>
        <w:rPr>
          <w:rFonts w:hint="eastAsia" w:ascii="宋体" w:hAnsi="宋体" w:cs="宋体"/>
          <w:sz w:val="24"/>
        </w:rPr>
        <w:t>………………………………………</w:t>
      </w:r>
      <w:r>
        <w:rPr>
          <w:rFonts w:hint="eastAsia" w:ascii="宋体" w:hAnsi="宋体" w:cs="宋体"/>
          <w:sz w:val="24"/>
          <w:lang w:val="en-US" w:eastAsia="zh-CN"/>
        </w:rPr>
        <w:t>17</w:t>
      </w:r>
    </w:p>
    <w:p>
      <w:pPr>
        <w:pStyle w:val="11"/>
        <w:adjustRightInd w:val="0"/>
        <w:snapToGrid w:val="0"/>
        <w:spacing w:line="440" w:lineRule="exact"/>
        <w:jc w:val="left"/>
        <w:rPr>
          <w:rFonts w:hint="default" w:eastAsia="宋体"/>
          <w:sz w:val="24"/>
          <w:lang w:val="en-US" w:eastAsia="zh-CN"/>
        </w:rPr>
      </w:pPr>
      <w:r>
        <w:rPr>
          <w:rFonts w:hint="eastAsia"/>
          <w:sz w:val="24"/>
        </w:rPr>
        <w:t>九、国有资本经营预算支出决算情况说明</w:t>
      </w:r>
      <w:r>
        <w:rPr>
          <w:rFonts w:hint="eastAsia" w:ascii="宋体" w:hAnsi="宋体" w:cs="宋体"/>
          <w:sz w:val="24"/>
        </w:rPr>
        <w:t>……………………………………</w:t>
      </w:r>
      <w:r>
        <w:rPr>
          <w:rFonts w:hint="eastAsia" w:ascii="宋体" w:hAnsi="宋体" w:cs="宋体"/>
          <w:sz w:val="24"/>
          <w:lang w:val="en-US" w:eastAsia="zh-CN"/>
        </w:rPr>
        <w:t>17</w:t>
      </w:r>
    </w:p>
    <w:p>
      <w:pPr>
        <w:pStyle w:val="11"/>
        <w:adjustRightInd w:val="0"/>
        <w:snapToGrid w:val="0"/>
        <w:spacing w:line="440" w:lineRule="exact"/>
        <w:jc w:val="left"/>
        <w:rPr>
          <w:rFonts w:hint="default" w:eastAsia="宋体"/>
          <w:sz w:val="24"/>
          <w:lang w:val="en-US" w:eastAsia="zh-CN"/>
        </w:rPr>
      </w:pPr>
      <w:r>
        <w:rPr>
          <w:rFonts w:hint="eastAsia"/>
          <w:sz w:val="24"/>
        </w:rPr>
        <w:t>十、其他重要事项的情况说明</w:t>
      </w:r>
      <w:r>
        <w:rPr>
          <w:rFonts w:hint="eastAsia" w:ascii="宋体" w:hAnsi="宋体" w:cs="宋体"/>
          <w:sz w:val="24"/>
        </w:rPr>
        <w:t>…………………………………………………</w:t>
      </w:r>
      <w:r>
        <w:rPr>
          <w:rFonts w:hint="eastAsia" w:ascii="宋体" w:hAnsi="宋体" w:cs="宋体"/>
          <w:sz w:val="24"/>
          <w:lang w:val="en-US" w:eastAsia="zh-CN"/>
        </w:rPr>
        <w:t>18</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第三部分</w:t>
      </w:r>
      <w:r>
        <w:rPr>
          <w:sz w:val="24"/>
        </w:rPr>
        <w:t xml:space="preserve"> </w:t>
      </w:r>
      <w:r>
        <w:rPr>
          <w:rFonts w:hint="eastAsia"/>
          <w:sz w:val="24"/>
        </w:rPr>
        <w:t xml:space="preserve">名词解释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rPr>
        <w:t>……</w:t>
      </w:r>
      <w:r>
        <w:rPr>
          <w:rFonts w:hint="eastAsia" w:ascii="宋体" w:hAnsi="宋体" w:cs="宋体"/>
          <w:sz w:val="24"/>
          <w:lang w:val="en-US" w:eastAsia="zh-CN"/>
        </w:rPr>
        <w:t>20</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第四部分</w:t>
      </w:r>
      <w:r>
        <w:rPr>
          <w:sz w:val="24"/>
        </w:rPr>
        <w:t xml:space="preserve"> </w:t>
      </w:r>
      <w:r>
        <w:rPr>
          <w:rFonts w:hint="eastAsia"/>
          <w:sz w:val="24"/>
        </w:rPr>
        <w:t xml:space="preserve">附件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rPr>
        <w:t>…………</w:t>
      </w:r>
      <w:r>
        <w:rPr>
          <w:rFonts w:hint="eastAsia" w:ascii="宋体" w:hAnsi="宋体" w:cs="宋体"/>
          <w:sz w:val="24"/>
          <w:lang w:val="en-US" w:eastAsia="zh-CN"/>
        </w:rPr>
        <w:t>24</w:t>
      </w:r>
    </w:p>
    <w:p>
      <w:pPr>
        <w:pStyle w:val="10"/>
        <w:adjustRightInd w:val="0"/>
        <w:snapToGrid w:val="0"/>
        <w:spacing w:before="0" w:line="440" w:lineRule="exact"/>
        <w:jc w:val="left"/>
        <w:rPr>
          <w:rFonts w:hint="default" w:eastAsia="仿宋" w:cstheme="minorBidi"/>
          <w:sz w:val="24"/>
          <w:szCs w:val="24"/>
          <w:lang w:val="en-US" w:eastAsia="zh-CN"/>
        </w:rPr>
      </w:pPr>
      <w:r>
        <w:rPr>
          <w:rFonts w:hint="eastAsia"/>
          <w:sz w:val="24"/>
        </w:rPr>
        <w:t>第五部分</w:t>
      </w:r>
      <w:r>
        <w:rPr>
          <w:sz w:val="24"/>
        </w:rPr>
        <w:t xml:space="preserve"> </w:t>
      </w:r>
      <w:r>
        <w:rPr>
          <w:rFonts w:hint="eastAsia"/>
          <w:sz w:val="24"/>
        </w:rPr>
        <w:t xml:space="preserve">附表 </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rPr>
        <w:t>…</w:t>
      </w:r>
      <w:r>
        <w:rPr>
          <w:rFonts w:hint="eastAsia" w:ascii="宋体" w:hAnsi="宋体" w:cs="宋体"/>
          <w:sz w:val="24"/>
          <w:lang w:val="en-US" w:eastAsia="zh-CN"/>
        </w:rPr>
        <w:t>26</w:t>
      </w:r>
    </w:p>
    <w:p>
      <w:pPr>
        <w:pStyle w:val="11"/>
        <w:adjustRightInd w:val="0"/>
        <w:snapToGrid w:val="0"/>
        <w:spacing w:line="440" w:lineRule="exact"/>
        <w:jc w:val="left"/>
        <w:rPr>
          <w:rFonts w:hint="default" w:eastAsia="宋体"/>
          <w:sz w:val="24"/>
          <w:lang w:val="en-US" w:eastAsia="zh-CN"/>
        </w:rPr>
      </w:pPr>
      <w:r>
        <w:rPr>
          <w:rFonts w:hint="eastAsia"/>
          <w:sz w:val="24"/>
        </w:rPr>
        <w:t>一、收入支出决算总表</w:t>
      </w:r>
      <w:r>
        <w:rPr>
          <w:rFonts w:hint="eastAsia" w:ascii="宋体" w:hAnsi="宋体" w:cs="宋体"/>
          <w:sz w:val="24"/>
        </w:rPr>
        <w:t>…………………………………………………………</w:t>
      </w:r>
      <w:r>
        <w:rPr>
          <w:rFonts w:hint="eastAsia" w:ascii="宋体" w:hAnsi="宋体" w:cs="宋体"/>
          <w:sz w:val="24"/>
          <w:lang w:val="en-US" w:eastAsia="zh-CN"/>
        </w:rPr>
        <w:t>26</w:t>
      </w:r>
    </w:p>
    <w:p>
      <w:pPr>
        <w:pStyle w:val="11"/>
        <w:adjustRightInd w:val="0"/>
        <w:snapToGrid w:val="0"/>
        <w:spacing w:line="440" w:lineRule="exact"/>
        <w:jc w:val="left"/>
        <w:rPr>
          <w:rFonts w:hint="default" w:eastAsia="宋体"/>
          <w:sz w:val="24"/>
          <w:lang w:val="en-US" w:eastAsia="zh-CN"/>
        </w:rPr>
      </w:pPr>
      <w:r>
        <w:rPr>
          <w:rFonts w:hint="eastAsia"/>
          <w:sz w:val="24"/>
        </w:rPr>
        <w:t>二、收入决算表</w:t>
      </w:r>
      <w:r>
        <w:rPr>
          <w:rFonts w:hint="eastAsia" w:ascii="宋体" w:hAnsi="宋体" w:cs="宋体"/>
          <w:sz w:val="24"/>
        </w:rPr>
        <w:t>…………………………………………………………………</w:t>
      </w:r>
      <w:r>
        <w:rPr>
          <w:rFonts w:hint="eastAsia" w:ascii="宋体" w:hAnsi="宋体" w:cs="宋体"/>
          <w:sz w:val="24"/>
          <w:lang w:val="en-US" w:eastAsia="zh-CN"/>
        </w:rPr>
        <w:t>27</w:t>
      </w:r>
    </w:p>
    <w:p>
      <w:pPr>
        <w:pStyle w:val="11"/>
        <w:adjustRightInd w:val="0"/>
        <w:snapToGrid w:val="0"/>
        <w:spacing w:line="440" w:lineRule="exact"/>
        <w:jc w:val="left"/>
        <w:rPr>
          <w:rFonts w:hint="default" w:eastAsia="宋体"/>
          <w:sz w:val="24"/>
          <w:lang w:val="en-US" w:eastAsia="zh-CN"/>
        </w:rPr>
      </w:pPr>
      <w:r>
        <w:rPr>
          <w:rFonts w:hint="eastAsia"/>
          <w:sz w:val="24"/>
        </w:rPr>
        <w:t>三、支出决算表</w:t>
      </w:r>
      <w:r>
        <w:rPr>
          <w:rFonts w:hint="eastAsia" w:ascii="宋体" w:hAnsi="宋体" w:cs="宋体"/>
          <w:sz w:val="24"/>
        </w:rPr>
        <w:t>…………………………………………………………………</w:t>
      </w:r>
      <w:r>
        <w:rPr>
          <w:rFonts w:hint="eastAsia" w:ascii="宋体" w:hAnsi="宋体" w:cs="宋体"/>
          <w:sz w:val="24"/>
          <w:lang w:val="en-US" w:eastAsia="zh-CN"/>
        </w:rPr>
        <w:t>28</w:t>
      </w:r>
    </w:p>
    <w:p>
      <w:pPr>
        <w:pStyle w:val="11"/>
        <w:adjustRightInd w:val="0"/>
        <w:snapToGrid w:val="0"/>
        <w:spacing w:line="440" w:lineRule="exact"/>
        <w:jc w:val="left"/>
        <w:rPr>
          <w:rFonts w:hint="default" w:eastAsia="宋体"/>
          <w:sz w:val="24"/>
          <w:lang w:val="en-US" w:eastAsia="zh-CN"/>
        </w:rPr>
      </w:pPr>
      <w:r>
        <w:rPr>
          <w:rFonts w:hint="eastAsia"/>
          <w:sz w:val="24"/>
        </w:rPr>
        <w:t>四、财政拨款收入支出决算总表</w:t>
      </w:r>
      <w:r>
        <w:rPr>
          <w:rFonts w:hint="eastAsia" w:ascii="宋体" w:hAnsi="宋体" w:cs="宋体"/>
          <w:sz w:val="24"/>
        </w:rPr>
        <w:t>………………………………………………</w:t>
      </w:r>
      <w:r>
        <w:rPr>
          <w:rFonts w:hint="eastAsia" w:ascii="宋体" w:hAnsi="宋体" w:cs="宋体"/>
          <w:sz w:val="24"/>
          <w:lang w:val="en-US" w:eastAsia="zh-CN"/>
        </w:rPr>
        <w:t>29</w:t>
      </w:r>
    </w:p>
    <w:p>
      <w:pPr>
        <w:pStyle w:val="11"/>
        <w:adjustRightInd w:val="0"/>
        <w:snapToGrid w:val="0"/>
        <w:spacing w:line="440" w:lineRule="exact"/>
        <w:jc w:val="left"/>
        <w:rPr>
          <w:rFonts w:hint="default" w:eastAsia="宋体"/>
          <w:sz w:val="24"/>
          <w:lang w:val="en-US" w:eastAsia="zh-CN"/>
        </w:rPr>
      </w:pPr>
      <w:r>
        <w:rPr>
          <w:rFonts w:hint="eastAsia"/>
          <w:sz w:val="24"/>
        </w:rPr>
        <w:t>五、财政拨款支出决算明细表</w:t>
      </w:r>
      <w:r>
        <w:rPr>
          <w:rFonts w:hint="eastAsia" w:ascii="宋体" w:hAnsi="宋体" w:cs="宋体"/>
          <w:sz w:val="24"/>
        </w:rPr>
        <w:t>…………………………………………………</w:t>
      </w:r>
      <w:r>
        <w:rPr>
          <w:rFonts w:hint="eastAsia" w:ascii="宋体" w:hAnsi="宋体" w:cs="宋体"/>
          <w:sz w:val="24"/>
          <w:lang w:val="en-US" w:eastAsia="zh-CN"/>
        </w:rPr>
        <w:t>30</w:t>
      </w:r>
    </w:p>
    <w:p>
      <w:pPr>
        <w:pStyle w:val="11"/>
        <w:adjustRightInd w:val="0"/>
        <w:snapToGrid w:val="0"/>
        <w:spacing w:line="440" w:lineRule="exact"/>
        <w:jc w:val="left"/>
        <w:rPr>
          <w:rFonts w:hint="default" w:eastAsia="宋体"/>
          <w:sz w:val="24"/>
          <w:lang w:val="en-US" w:eastAsia="zh-CN"/>
        </w:rPr>
      </w:pPr>
      <w:r>
        <w:rPr>
          <w:rFonts w:hint="eastAsia"/>
          <w:sz w:val="24"/>
        </w:rPr>
        <w:t>六、一般公共预算财政拨款支出决算表</w:t>
      </w:r>
      <w:r>
        <w:rPr>
          <w:rFonts w:hint="eastAsia" w:ascii="宋体" w:hAnsi="宋体" w:cs="宋体"/>
          <w:sz w:val="24"/>
        </w:rPr>
        <w:t>………………………………………</w:t>
      </w:r>
      <w:r>
        <w:rPr>
          <w:rFonts w:hint="eastAsia" w:ascii="宋体" w:hAnsi="宋体" w:cs="宋体"/>
          <w:sz w:val="24"/>
          <w:lang w:val="en-US" w:eastAsia="zh-CN"/>
        </w:rPr>
        <w:t>35</w:t>
      </w:r>
    </w:p>
    <w:p>
      <w:pPr>
        <w:pStyle w:val="11"/>
        <w:adjustRightInd w:val="0"/>
        <w:snapToGrid w:val="0"/>
        <w:spacing w:line="440" w:lineRule="exact"/>
        <w:jc w:val="left"/>
        <w:rPr>
          <w:rFonts w:hint="default" w:eastAsia="宋体"/>
          <w:sz w:val="24"/>
          <w:lang w:val="en-US" w:eastAsia="zh-CN"/>
        </w:rPr>
      </w:pPr>
      <w:r>
        <w:rPr>
          <w:rFonts w:hint="eastAsia"/>
          <w:sz w:val="24"/>
        </w:rPr>
        <w:t>七、一般公共预算财政拨款支出决算明细表</w:t>
      </w:r>
      <w:r>
        <w:rPr>
          <w:rFonts w:hint="eastAsia" w:ascii="宋体" w:hAnsi="宋体" w:cs="宋体"/>
          <w:sz w:val="24"/>
        </w:rPr>
        <w:t>…………………………………</w:t>
      </w:r>
      <w:r>
        <w:rPr>
          <w:rFonts w:hint="eastAsia" w:ascii="宋体" w:hAnsi="宋体" w:cs="宋体"/>
          <w:sz w:val="24"/>
          <w:lang w:val="en-US" w:eastAsia="zh-CN"/>
        </w:rPr>
        <w:t>36</w:t>
      </w:r>
    </w:p>
    <w:p>
      <w:pPr>
        <w:pStyle w:val="11"/>
        <w:adjustRightInd w:val="0"/>
        <w:snapToGrid w:val="0"/>
        <w:spacing w:line="440" w:lineRule="exact"/>
        <w:jc w:val="left"/>
        <w:rPr>
          <w:rFonts w:hint="default" w:eastAsia="宋体"/>
          <w:sz w:val="24"/>
          <w:lang w:val="en-US" w:eastAsia="zh-CN"/>
        </w:rPr>
      </w:pPr>
      <w:r>
        <w:rPr>
          <w:rFonts w:hint="eastAsia"/>
          <w:sz w:val="24"/>
        </w:rPr>
        <w:t>八、一般公共预算财政拨款基本支出决算表</w:t>
      </w:r>
      <w:r>
        <w:rPr>
          <w:rFonts w:hint="eastAsia" w:ascii="宋体" w:hAnsi="宋体" w:cs="宋体"/>
          <w:sz w:val="24"/>
        </w:rPr>
        <w:t>…………………………………</w:t>
      </w:r>
      <w:r>
        <w:rPr>
          <w:rFonts w:hint="eastAsia" w:ascii="宋体" w:hAnsi="宋体" w:cs="宋体"/>
          <w:sz w:val="24"/>
          <w:lang w:val="en-US" w:eastAsia="zh-CN"/>
        </w:rPr>
        <w:t>44</w:t>
      </w:r>
    </w:p>
    <w:p>
      <w:pPr>
        <w:pStyle w:val="11"/>
        <w:adjustRightInd w:val="0"/>
        <w:snapToGrid w:val="0"/>
        <w:spacing w:line="440" w:lineRule="exact"/>
        <w:jc w:val="left"/>
        <w:rPr>
          <w:rFonts w:hint="default" w:eastAsia="宋体"/>
          <w:sz w:val="24"/>
          <w:lang w:val="en-US" w:eastAsia="zh-CN"/>
        </w:rPr>
      </w:pPr>
      <w:r>
        <w:rPr>
          <w:rFonts w:hint="eastAsia"/>
          <w:sz w:val="24"/>
        </w:rPr>
        <w:t>九、一般公共预算财政拨款项目支出决算表</w:t>
      </w:r>
      <w:r>
        <w:rPr>
          <w:rFonts w:hint="eastAsia" w:ascii="宋体" w:hAnsi="宋体" w:cs="宋体"/>
          <w:sz w:val="24"/>
        </w:rPr>
        <w:t>………………………………</w:t>
      </w:r>
      <w:r>
        <w:rPr>
          <w:rFonts w:hint="eastAsia" w:ascii="宋体" w:hAnsi="宋体" w:cs="宋体"/>
          <w:sz w:val="24"/>
          <w:lang w:val="en-US" w:eastAsia="zh-CN"/>
        </w:rPr>
        <w:t xml:space="preserve"> 45</w:t>
      </w:r>
    </w:p>
    <w:p>
      <w:pPr>
        <w:pStyle w:val="11"/>
        <w:adjustRightInd w:val="0"/>
        <w:snapToGrid w:val="0"/>
        <w:spacing w:line="440" w:lineRule="exact"/>
        <w:jc w:val="left"/>
        <w:rPr>
          <w:rFonts w:hint="default" w:eastAsia="宋体"/>
          <w:sz w:val="24"/>
          <w:lang w:val="en-US" w:eastAsia="zh-CN"/>
        </w:rPr>
      </w:pPr>
      <w:r>
        <w:rPr>
          <w:rFonts w:hint="eastAsia"/>
          <w:sz w:val="24"/>
        </w:rPr>
        <w:t>十、一般公共预算财政拨款“三公”经费支出决算表</w:t>
      </w:r>
      <w:r>
        <w:rPr>
          <w:rFonts w:hint="eastAsia" w:ascii="宋体" w:hAnsi="宋体" w:cs="宋体"/>
          <w:sz w:val="24"/>
        </w:rPr>
        <w:t>………………………</w:t>
      </w:r>
      <w:r>
        <w:rPr>
          <w:rFonts w:hint="eastAsia" w:ascii="宋体" w:hAnsi="宋体" w:cs="宋体"/>
          <w:sz w:val="24"/>
          <w:lang w:val="en-US" w:eastAsia="zh-CN"/>
        </w:rPr>
        <w:t>46</w:t>
      </w:r>
    </w:p>
    <w:p>
      <w:pPr>
        <w:pStyle w:val="11"/>
        <w:adjustRightInd w:val="0"/>
        <w:snapToGrid w:val="0"/>
        <w:spacing w:line="440" w:lineRule="exact"/>
        <w:jc w:val="left"/>
        <w:rPr>
          <w:rFonts w:hint="default" w:eastAsia="宋体"/>
          <w:sz w:val="24"/>
          <w:lang w:val="en-US" w:eastAsia="zh-CN"/>
        </w:rPr>
      </w:pPr>
      <w:r>
        <w:rPr>
          <w:rFonts w:hint="eastAsia"/>
          <w:sz w:val="24"/>
        </w:rPr>
        <w:t>十一、政府性基金预算财政拨款收入支出决算表</w:t>
      </w:r>
      <w:r>
        <w:rPr>
          <w:rFonts w:hint="eastAsia" w:ascii="宋体" w:hAnsi="宋体" w:cs="宋体"/>
          <w:sz w:val="24"/>
        </w:rPr>
        <w:t>……………………………</w:t>
      </w:r>
      <w:r>
        <w:rPr>
          <w:rFonts w:hint="eastAsia" w:ascii="宋体" w:hAnsi="宋体" w:cs="宋体"/>
          <w:sz w:val="24"/>
          <w:lang w:val="en-US" w:eastAsia="zh-CN"/>
        </w:rPr>
        <w:t>46</w:t>
      </w:r>
      <w:r>
        <w:rPr>
          <w:rFonts w:hint="eastAsia"/>
          <w:sz w:val="24"/>
        </w:rPr>
        <w:t>十二、政府性基金预算财政拨款“三公”经费支出决算表</w:t>
      </w:r>
      <w:r>
        <w:rPr>
          <w:rFonts w:hint="eastAsia" w:ascii="宋体" w:hAnsi="宋体" w:cs="宋体"/>
          <w:sz w:val="24"/>
        </w:rPr>
        <w:t>…………………</w:t>
      </w:r>
      <w:r>
        <w:rPr>
          <w:rFonts w:hint="eastAsia" w:ascii="宋体" w:hAnsi="宋体" w:cs="宋体"/>
          <w:sz w:val="24"/>
          <w:lang w:val="en-US" w:eastAsia="zh-CN"/>
        </w:rPr>
        <w:t>47</w:t>
      </w:r>
    </w:p>
    <w:p>
      <w:pPr>
        <w:pStyle w:val="11"/>
        <w:adjustRightInd w:val="0"/>
        <w:snapToGrid w:val="0"/>
        <w:spacing w:line="440" w:lineRule="exact"/>
        <w:jc w:val="left"/>
        <w:rPr>
          <w:rFonts w:hint="default" w:eastAsia="宋体"/>
          <w:sz w:val="24"/>
          <w:lang w:val="en-US" w:eastAsia="zh-CN"/>
        </w:rPr>
      </w:pPr>
      <w:r>
        <w:rPr>
          <w:rFonts w:hint="eastAsia"/>
          <w:sz w:val="24"/>
        </w:rPr>
        <w:t>十三、国有资本经营预算财政拨款收入支出决算表</w:t>
      </w:r>
      <w:r>
        <w:rPr>
          <w:rFonts w:hint="eastAsia" w:ascii="宋体" w:hAnsi="宋体" w:cs="宋体"/>
          <w:sz w:val="24"/>
        </w:rPr>
        <w:t>…………………………</w:t>
      </w:r>
      <w:r>
        <w:rPr>
          <w:rFonts w:hint="eastAsia" w:ascii="宋体" w:hAnsi="宋体" w:cs="宋体"/>
          <w:sz w:val="24"/>
          <w:lang w:val="en-US" w:eastAsia="zh-CN"/>
        </w:rPr>
        <w:t>47</w:t>
      </w:r>
      <w:r>
        <w:rPr>
          <w:rFonts w:hint="eastAsia"/>
          <w:sz w:val="24"/>
        </w:rPr>
        <w:t>十四、国有资本经营预算财政拨款支出决算表</w:t>
      </w:r>
      <w:r>
        <w:rPr>
          <w:rFonts w:hint="eastAsia" w:ascii="宋体" w:hAnsi="宋体" w:cs="宋体"/>
          <w:sz w:val="24"/>
        </w:rPr>
        <w:t>…………………</w:t>
      </w:r>
      <w:r>
        <w:rPr>
          <w:rFonts w:hint="eastAsia" w:ascii="宋体" w:hAnsi="宋体" w:cs="宋体"/>
          <w:sz w:val="24"/>
          <w:lang w:val="en-US" w:eastAsia="zh-CN"/>
        </w:rPr>
        <w:t xml:space="preserve">  </w:t>
      </w:r>
      <w:r>
        <w:rPr>
          <w:rFonts w:hint="eastAsia" w:ascii="宋体" w:hAnsi="宋体" w:cs="宋体"/>
          <w:sz w:val="24"/>
        </w:rPr>
        <w:t>…………</w:t>
      </w:r>
      <w:r>
        <w:rPr>
          <w:rFonts w:hint="eastAsia" w:ascii="宋体" w:hAnsi="宋体" w:cs="宋体"/>
          <w:sz w:val="24"/>
          <w:lang w:val="en-US" w:eastAsia="zh-CN"/>
        </w:rPr>
        <w:t>48</w:t>
      </w:r>
    </w:p>
    <w:p>
      <w:pPr>
        <w:widowControl/>
        <w:spacing w:line="440" w:lineRule="exact"/>
        <w:jc w:val="left"/>
        <w:rPr>
          <w:rFonts w:ascii="仿宋" w:hAnsi="仿宋" w:eastAsia="仿宋"/>
          <w:bCs/>
          <w:kern w:val="44"/>
          <w:sz w:val="24"/>
        </w:rPr>
      </w:pPr>
      <w:bookmarkStart w:id="67" w:name="_GoBack"/>
      <w:bookmarkEnd w:id="67"/>
      <w:bookmarkStart w:id="12" w:name="_Toc15396599"/>
      <w:bookmarkStart w:id="13" w:name="_Toc15377196"/>
      <w:r>
        <w:rPr>
          <w:rFonts w:ascii="仿宋" w:hAnsi="仿宋" w:eastAsia="仿宋"/>
          <w:b/>
          <w:sz w:val="24"/>
        </w:rPr>
        <w:br w:type="page"/>
      </w:r>
    </w:p>
    <w:p>
      <w:pPr>
        <w:pStyle w:val="3"/>
        <w:jc w:val="center"/>
        <w:rPr>
          <w:rStyle w:val="24"/>
          <w:rFonts w:ascii="黑体" w:hAnsi="黑体" w:eastAsia="黑体"/>
          <w:b/>
          <w:bCs w:val="0"/>
        </w:rPr>
      </w:pPr>
      <w:r>
        <w:rPr>
          <w:rFonts w:hint="eastAsia" w:ascii="黑体" w:hAnsi="黑体" w:eastAsia="黑体"/>
          <w:b w:val="0"/>
        </w:rPr>
        <w:t>第一部分 单位</w:t>
      </w:r>
      <w:r>
        <w:rPr>
          <w:rStyle w:val="24"/>
          <w:rFonts w:hint="eastAsia" w:ascii="黑体" w:hAnsi="黑体" w:eastAsia="黑体"/>
          <w:b w:val="0"/>
          <w:bCs w:val="0"/>
        </w:rPr>
        <w:t>概况</w:t>
      </w:r>
      <w:bookmarkEnd w:id="12"/>
      <w:bookmarkEnd w:id="13"/>
    </w:p>
    <w:p>
      <w:pPr>
        <w:widowControl/>
        <w:jc w:val="left"/>
        <w:rPr>
          <w:rFonts w:ascii="黑体" w:eastAsia="黑体"/>
          <w:sz w:val="32"/>
          <w:szCs w:val="32"/>
        </w:rPr>
      </w:pPr>
    </w:p>
    <w:p>
      <w:pPr>
        <w:pStyle w:val="4"/>
        <w:numPr>
          <w:ilvl w:val="0"/>
          <w:numId w:val="1"/>
        </w:numPr>
        <w:rPr>
          <w:rStyle w:val="25"/>
          <w:rFonts w:hint="eastAsia" w:ascii="黑体" w:hAnsi="黑体" w:eastAsia="黑体"/>
          <w:b w:val="0"/>
          <w:bCs w:val="0"/>
        </w:rPr>
      </w:pPr>
      <w:bookmarkStart w:id="14" w:name="_Toc15396600"/>
      <w:bookmarkStart w:id="15" w:name="_Toc15377197"/>
      <w:r>
        <w:rPr>
          <w:rStyle w:val="25"/>
          <w:rFonts w:hint="eastAsia" w:ascii="黑体" w:hAnsi="黑体" w:eastAsia="黑体"/>
          <w:b w:val="0"/>
          <w:bCs w:val="0"/>
        </w:rPr>
        <w:t>职能简介</w:t>
      </w:r>
    </w:p>
    <w:p>
      <w:pPr>
        <w:numPr>
          <w:ilvl w:val="0"/>
          <w:numId w:val="0"/>
        </w:numPr>
        <w:rPr>
          <w:rFonts w:hint="default" w:eastAsia="宋体"/>
          <w:lang w:val="en-US" w:eastAsia="zh-CN"/>
        </w:rPr>
      </w:pPr>
      <w:r>
        <w:rPr>
          <w:rFonts w:hint="eastAsia"/>
          <w:lang w:val="en-US" w:eastAsia="zh-CN"/>
        </w:rPr>
        <w:t xml:space="preserve">    </w:t>
      </w:r>
      <w:r>
        <w:rPr>
          <w:rFonts w:hint="eastAsia" w:ascii="仿宋_GB2312" w:hAnsi="仿宋_GB2312" w:eastAsia="仿宋_GB2312" w:cs="仿宋_GB2312"/>
          <w:color w:val="auto"/>
          <w:sz w:val="32"/>
          <w:szCs w:val="32"/>
        </w:rPr>
        <w:t>乐山市市中区</w:t>
      </w:r>
      <w:r>
        <w:rPr>
          <w:rFonts w:hint="eastAsia" w:ascii="仿宋_GB2312" w:hAnsi="仿宋_GB2312" w:eastAsia="仿宋_GB2312" w:cs="仿宋_GB2312"/>
          <w:color w:val="auto"/>
          <w:sz w:val="32"/>
          <w:szCs w:val="32"/>
          <w:lang w:val="en-US" w:eastAsia="zh-CN"/>
        </w:rPr>
        <w:t>学生发展中心</w:t>
      </w:r>
      <w:r>
        <w:rPr>
          <w:rFonts w:hint="eastAsia" w:ascii="仿宋_GB2312" w:hAnsi="仿宋_GB2312" w:eastAsia="仿宋_GB2312" w:cs="仿宋_GB2312"/>
          <w:color w:val="auto"/>
          <w:sz w:val="32"/>
          <w:szCs w:val="32"/>
        </w:rPr>
        <w:t>是</w:t>
      </w:r>
      <w:r>
        <w:rPr>
          <w:rFonts w:hint="eastAsia" w:ascii="仿宋_GB2312" w:hAnsi="仿宋_GB2312" w:eastAsia="仿宋_GB2312" w:cs="仿宋_GB2312"/>
          <w:color w:val="auto"/>
          <w:sz w:val="32"/>
          <w:szCs w:val="32"/>
          <w:lang w:val="en-US" w:eastAsia="zh-CN"/>
        </w:rPr>
        <w:t>乐山市市中区教育局下属二级</w:t>
      </w:r>
      <w:r>
        <w:rPr>
          <w:rFonts w:hint="eastAsia" w:ascii="仿宋_GB2312" w:hAnsi="仿宋_GB2312" w:eastAsia="仿宋_GB2312" w:cs="仿宋_GB2312"/>
          <w:color w:val="auto"/>
          <w:sz w:val="32"/>
          <w:szCs w:val="32"/>
        </w:rPr>
        <w:t>事业单位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主要职责：</w:t>
      </w:r>
      <w:r>
        <w:rPr>
          <w:rFonts w:hint="eastAsia" w:ascii="仿宋_GB2312" w:hAnsi="仿宋_GB2312" w:eastAsia="仿宋_GB2312" w:cs="仿宋_GB2312"/>
          <w:color w:val="auto"/>
          <w:sz w:val="32"/>
          <w:szCs w:val="32"/>
        </w:rPr>
        <w:t>负责全区性的学生活动和社会实践活动的总体规划、组织落实和管理工作，管理指导全区社团建设工作；负责少先队、团队活动的开展；负责全区学生各类兴趣特长培训、心里健康教育、家庭教育等组织指导；负责课后服务的管理工作；负责乡村少年宫的管理指导；负责全区学校艺体发展的创建工作；负责全区学生社团的指导；负责全区校外培训机构、中职学校的指导；负责组织开展全区学生科技竞赛和科普活动，指导青少年开展科技创新活动，组织管理全区学生科技创新人才培养，负责全区科技辅导员队伍建设。</w:t>
      </w:r>
    </w:p>
    <w:p>
      <w:pPr>
        <w:pStyle w:val="4"/>
        <w:rPr>
          <w:rFonts w:hint="eastAsia" w:ascii="黑体" w:hAnsi="黑体" w:eastAsia="黑体"/>
          <w:b w:val="0"/>
        </w:rPr>
      </w:pPr>
      <w:r>
        <w:rPr>
          <w:rFonts w:hint="eastAsia" w:ascii="黑体" w:hAnsi="黑体" w:eastAsia="黑体"/>
          <w:b w:val="0"/>
        </w:rPr>
        <w:t>二、2021年重点工作</w:t>
      </w:r>
      <w:bookmarkEnd w:id="14"/>
      <w:bookmarkEnd w:id="15"/>
      <w:r>
        <w:rPr>
          <w:rFonts w:hint="eastAsia" w:ascii="黑体" w:hAnsi="黑体" w:eastAsia="黑体"/>
          <w:b w:val="0"/>
        </w:rPr>
        <w:t>完成情况</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我单位</w:t>
      </w:r>
      <w:r>
        <w:rPr>
          <w:rFonts w:hint="eastAsia" w:ascii="仿宋_GB2312" w:hAnsi="仿宋_GB2312" w:eastAsia="仿宋_GB2312" w:cs="仿宋_GB2312"/>
          <w:color w:val="auto"/>
          <w:sz w:val="32"/>
          <w:szCs w:val="32"/>
        </w:rPr>
        <w:t>严格按照资金用途使用资金，做到专款专用。在遵循国家的《采购法》、《预算法》充分认识到各类资金的重要性和特殊性，以高度的责任感和使命感管好用好每一分钱，使资金的安排、使用发挥出最大效益，实现项目目标。</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我</w:t>
      </w:r>
      <w:r>
        <w:rPr>
          <w:rFonts w:hint="eastAsia" w:ascii="仿宋_GB2312" w:hAnsi="仿宋_GB2312" w:eastAsia="仿宋_GB2312" w:cs="仿宋_GB2312"/>
          <w:color w:val="auto"/>
          <w:sz w:val="32"/>
          <w:szCs w:val="32"/>
          <w:lang w:val="en-US" w:eastAsia="zh-CN"/>
        </w:rPr>
        <w:t>单位</w:t>
      </w:r>
      <w:r>
        <w:rPr>
          <w:rFonts w:hint="eastAsia" w:ascii="仿宋_GB2312" w:hAnsi="仿宋_GB2312" w:eastAsia="仿宋_GB2312" w:cs="仿宋_GB2312"/>
          <w:color w:val="auto"/>
          <w:sz w:val="32"/>
          <w:szCs w:val="32"/>
        </w:rPr>
        <w:t>整体支出绩效总体良好，各项目标达到了相应时期执行进度，各项专项经费按预算实施，使财政收支预算执行都得了良好的制度保障和实施效果。</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2021年，在区教育局的正确领导和社会各界的关心支持下，区学生发展中心长期坚持公益性、开放性、科学性、普及性的原则，以服务社会为宗旨，以加强思想道德建设为核心，深入开展艺体特长培训，认真组织开展各项实践活动及免费公益活动，积极探索建立与学校有效衔接的工作机制，落实“双减”政策，推进全区课后服务及校外教育的健康发展，现将2021年度工作总结如下：</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一、党建工作</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认真学习习近平总书记在党史学习教育动员会上及在庆祝中国共产党成立100周年大会上的重要讲话精神，坚持社会主义办学方向，全面贯彻党的教育方针，围绕中心年度工作任务和要求，立足教育教学岗位，结合“我为群众办实事”等活动，抓好支部内党员真抓实干。规范落实“三会一课”制度，认真开展“主题党日”活动，“入党纪念日”、志愿服务等活动，将党建工作与教育教学、队伍建设等有机结合，作用发挥好;规范实行党务公开，实施党员积分管理;认真履行党风廉政建设责任制。全年无违纪违规行为，无受到党纪、政纪警告以上处分人员。此外，积极号召全体教职工坚持“学习强国”的每日学习，重点强调党史教育四本“权威教科书”，要求每位教师写好读书笔记。</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二、内部管理</w:t>
      </w:r>
    </w:p>
    <w:p>
      <w:pPr>
        <w:keepNext w:val="0"/>
        <w:keepLines w:val="0"/>
        <w:pageBreakBefore w:val="0"/>
        <w:widowControl w:val="0"/>
        <w:kinsoku/>
        <w:wordWrap/>
        <w:overflowPunct/>
        <w:topLinePunct w:val="0"/>
        <w:autoSpaceDE/>
        <w:autoSpaceDN/>
        <w:bidi w:val="0"/>
        <w:adjustRightInd w:val="0"/>
        <w:snapToGrid/>
        <w:spacing w:line="240" w:lineRule="auto"/>
        <w:ind w:firstLine="640" w:firstLineChars="2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一是完善各类规章制度。1、加强教职工管理，实行综合量化考核制度。继续修改完善了“外聘教师薪酬制度方案”、“学生发展中心绩效考核方案”等内容，通过建设科学、高效的约束激励机制，有效地促进了教师的积极性。二是培训管理。1、兴趣特长培训。在严格落实防疫防控要求下，全年共开展春季、暑期、秋季培训，开设有美术类、体育类、舞蹈类、器乐类、围棋、主持、科技类等135个培训班，1800余名学生参加培训，累计完成约27000培训课时。2、打造课后服务特色项目。在2021年春季成立了“小海棠”合唱社团及“新星”舞蹈社团，聘请高校专家授课，旨在培养出能够代表全区水平的学生艺术团体。经过在全区学校的层层选拔，共选出精英学生130余名。通过一学期的坚持训练，取得了良好的效果。3、拓宽了兴趣培训的范围。在常规艺术体育类培训的基础上，中心另外开设了“机器人编程”、“益智积木”等科技类培训，聘请师院专家授课，保证了课程的高质量进行。4、在校点开展特色培训。2021年秋季为满足家长、学生运动的需求，在柏杨小学开展了篮球、足球项目的培训。二是注重后备干部培养。本年度新选拔两名后备干部，让中心更有活力、更有干劲；人员分工及职责越来越明确，分工不分家，互相补台不拆台，各司其职；三是安全管理常抓不懈。健全管理机构，完善管理制度，落实安全“一岗双责”清单责任制；认真做好安全排查，特别是新冠疫情的排查和疫苗的接种，及时消除安全隐患，及时更新完善安全预案，认真组织应急演练。四是做好后勤管理。建立培训收费公示制度，严格按相关规定范围和标准收费；严格执行“收支两条线”，所有收入及时、足额缴入财政专户，按规定使用，不坐支，不截留，无“账外账”、“小金库”、公款私存，经费支出票据规范；做好资助政策的宣传和资助申报、审核、公示工作；五是做好教育宣传。积极做好宣传工作，利用学生发展中心微信公众号及时发布各类教育信息，全年共发布通讯稿63篇，进一步促进了家校的有效衔接。六是提升中心场地建设。1、积极开展绿化、美化、净化工作。努力创建整洁、文明、美观、舒适的育人环境。狠抓清洁卫生管理的同时，加强全体师生的文明习惯养成教育，将文明习惯养成教育制度化、经常化。2、加大投入，努力改善场馆设施条件、添置投入，用于活动中心的建设和发展。坚持一室多用，一地多用的原则对场馆设施进行合理有效的改造整合。梦想剧场LED更换，以及剧场外阳光棚的搭建，三楼平台防水修缮、添置花箱及人工草坪等美化工程，使中心场地的使用更加合理化、人性化。3、对中心的活动场地、设施、器材等进行了全面的安全检查和维修，制定了安全应急预案。专人负责每月的定期消防栓巡查，及时做好登记及设备更换，保证了学习和工作期间的安全。七是配合区审计局对我单位进行审计。2021年10月，区审计局苏局长、周雪梅等一行到我单位进行财务档案审计。针对财务收支、资产管理、内控制度执行、内控流程操作等状况进行了贴合性检查，经过两个月的全面核查，共取证42份。中心在被审计期间，积极配合，针对审计报告存在的问题逐一进行情况说明，及时整改。此次审计，使中心全体教职工在工作思想上发生了极大的转变，今后将更加严格工作流程、规范管理制度，履行岗位职责，为中心今后的工作打下坚实的基础。</w:t>
      </w:r>
    </w:p>
    <w:p>
      <w:pPr>
        <w:widowControl/>
        <w:jc w:val="left"/>
        <w:rPr>
          <w:rFonts w:ascii="仿宋" w:hAnsi="仿宋" w:eastAsia="仿宋"/>
          <w:kern w:val="0"/>
          <w:sz w:val="32"/>
          <w:szCs w:val="32"/>
        </w:rPr>
      </w:pPr>
    </w:p>
    <w:p>
      <w:pPr>
        <w:pStyle w:val="2"/>
        <w:rPr>
          <w:rFonts w:ascii="仿宋" w:hAnsi="仿宋" w:eastAsia="仿宋"/>
          <w:kern w:val="0"/>
          <w:sz w:val="32"/>
          <w:szCs w:val="32"/>
        </w:rPr>
      </w:pPr>
    </w:p>
    <w:p>
      <w:pPr>
        <w:pStyle w:val="2"/>
        <w:rPr>
          <w:rFonts w:ascii="仿宋" w:hAnsi="仿宋" w:eastAsia="仿宋"/>
          <w:kern w:val="0"/>
          <w:sz w:val="32"/>
          <w:szCs w:val="32"/>
        </w:rPr>
      </w:pPr>
    </w:p>
    <w:p>
      <w:pPr>
        <w:pStyle w:val="2"/>
        <w:rPr>
          <w:rFonts w:ascii="仿宋" w:hAnsi="仿宋" w:eastAsia="仿宋"/>
          <w:kern w:val="0"/>
          <w:sz w:val="32"/>
          <w:szCs w:val="32"/>
        </w:rPr>
      </w:pPr>
    </w:p>
    <w:p>
      <w:pPr>
        <w:pStyle w:val="2"/>
        <w:rPr>
          <w:rFonts w:ascii="仿宋" w:hAnsi="仿宋" w:eastAsia="仿宋"/>
          <w:kern w:val="0"/>
          <w:sz w:val="32"/>
          <w:szCs w:val="32"/>
        </w:rPr>
      </w:pPr>
    </w:p>
    <w:p>
      <w:pPr>
        <w:pStyle w:val="2"/>
        <w:rPr>
          <w:rFonts w:ascii="仿宋" w:hAnsi="仿宋" w:eastAsia="仿宋"/>
          <w:kern w:val="0"/>
          <w:sz w:val="32"/>
          <w:szCs w:val="32"/>
        </w:rPr>
      </w:pPr>
    </w:p>
    <w:p>
      <w:pPr>
        <w:pStyle w:val="2"/>
        <w:rPr>
          <w:rFonts w:ascii="仿宋" w:hAnsi="仿宋" w:eastAsia="仿宋"/>
          <w:kern w:val="0"/>
          <w:sz w:val="32"/>
          <w:szCs w:val="32"/>
        </w:rPr>
      </w:pPr>
    </w:p>
    <w:p>
      <w:pPr>
        <w:pStyle w:val="2"/>
        <w:rPr>
          <w:rFonts w:ascii="仿宋" w:hAnsi="仿宋" w:eastAsia="仿宋"/>
          <w:kern w:val="0"/>
          <w:sz w:val="32"/>
          <w:szCs w:val="32"/>
        </w:rPr>
      </w:pPr>
    </w:p>
    <w:p>
      <w:pPr>
        <w:pStyle w:val="2"/>
        <w:rPr>
          <w:rFonts w:ascii="仿宋" w:hAnsi="仿宋" w:eastAsia="仿宋"/>
          <w:kern w:val="0"/>
          <w:sz w:val="32"/>
          <w:szCs w:val="32"/>
        </w:rPr>
      </w:pPr>
    </w:p>
    <w:p>
      <w:pPr>
        <w:pStyle w:val="2"/>
        <w:rPr>
          <w:rFonts w:ascii="仿宋" w:hAnsi="仿宋" w:eastAsia="仿宋"/>
          <w:kern w:val="0"/>
          <w:sz w:val="32"/>
          <w:szCs w:val="32"/>
        </w:rPr>
      </w:pPr>
    </w:p>
    <w:p>
      <w:pPr>
        <w:pStyle w:val="2"/>
        <w:rPr>
          <w:rFonts w:ascii="仿宋" w:hAnsi="仿宋" w:eastAsia="仿宋"/>
          <w:kern w:val="0"/>
          <w:sz w:val="32"/>
          <w:szCs w:val="32"/>
        </w:rPr>
      </w:pPr>
    </w:p>
    <w:p>
      <w:pPr>
        <w:pStyle w:val="3"/>
        <w:ind w:right="440"/>
        <w:jc w:val="center"/>
        <w:rPr>
          <w:rStyle w:val="24"/>
          <w:rFonts w:ascii="黑体" w:hAnsi="黑体" w:eastAsia="黑体"/>
          <w:b w:val="0"/>
          <w:bCs/>
        </w:rPr>
      </w:pPr>
      <w:bookmarkStart w:id="16" w:name="_Toc15396602"/>
      <w:bookmarkStart w:id="17" w:name="_Toc15377204"/>
      <w:r>
        <w:rPr>
          <w:rFonts w:hint="eastAsia" w:ascii="黑体" w:hAnsi="黑体" w:eastAsia="黑体"/>
          <w:b w:val="0"/>
        </w:rPr>
        <w:t>第二部分 2021年度</w:t>
      </w:r>
      <w:r>
        <w:rPr>
          <w:rStyle w:val="24"/>
          <w:rFonts w:hint="eastAsia" w:ascii="黑体" w:hAnsi="黑体" w:eastAsia="黑体"/>
          <w:b w:val="0"/>
          <w:bCs/>
        </w:rPr>
        <w:t>单位决算情况说明</w:t>
      </w:r>
      <w:bookmarkEnd w:id="16"/>
      <w:bookmarkEnd w:id="17"/>
    </w:p>
    <w:p/>
    <w:p>
      <w:pPr>
        <w:pStyle w:val="23"/>
        <w:numPr>
          <w:ilvl w:val="0"/>
          <w:numId w:val="2"/>
        </w:numPr>
        <w:spacing w:line="600" w:lineRule="exact"/>
        <w:ind w:firstLineChars="0"/>
        <w:outlineLvl w:val="1"/>
        <w:rPr>
          <w:rStyle w:val="25"/>
          <w:rFonts w:ascii="黑体" w:hAnsi="黑体" w:eastAsia="黑体"/>
          <w:b w:val="0"/>
        </w:rPr>
      </w:pPr>
      <w:bookmarkStart w:id="18" w:name="_Toc15396603"/>
      <w:bookmarkStart w:id="19" w:name="_Toc15377205"/>
      <w:r>
        <w:rPr>
          <w:rFonts w:hint="eastAsia" w:ascii="黑体" w:hAnsi="黑体" w:eastAsia="黑体"/>
          <w:sz w:val="32"/>
          <w:szCs w:val="32"/>
        </w:rPr>
        <w:t>收</w:t>
      </w:r>
      <w:r>
        <w:rPr>
          <w:rStyle w:val="25"/>
          <w:rFonts w:hint="eastAsia" w:ascii="黑体" w:hAnsi="黑体" w:eastAsia="黑体"/>
          <w:b w:val="0"/>
        </w:rPr>
        <w:t>入支出决算总体情况说明</w:t>
      </w:r>
      <w:bookmarkEnd w:id="18"/>
      <w:bookmarkEnd w:id="19"/>
    </w:p>
    <w:p>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2021年度收、支总计</w:t>
      </w:r>
      <w:r>
        <w:rPr>
          <w:rFonts w:hint="eastAsia" w:ascii="仿宋" w:hAnsi="仿宋" w:eastAsia="仿宋"/>
          <w:sz w:val="32"/>
          <w:szCs w:val="32"/>
          <w:lang w:val="en-US" w:eastAsia="zh-CN"/>
        </w:rPr>
        <w:t>207.75</w:t>
      </w:r>
      <w:r>
        <w:rPr>
          <w:rFonts w:hint="eastAsia" w:ascii="仿宋" w:hAnsi="仿宋" w:eastAsia="仿宋"/>
          <w:sz w:val="32"/>
          <w:szCs w:val="32"/>
        </w:rPr>
        <w:t>万元。与2020年</w:t>
      </w:r>
      <w:r>
        <w:rPr>
          <w:rFonts w:hint="eastAsia" w:ascii="仿宋" w:hAnsi="仿宋" w:eastAsia="仿宋"/>
          <w:sz w:val="32"/>
          <w:szCs w:val="32"/>
          <w:lang w:val="en-US" w:eastAsia="zh-CN"/>
        </w:rPr>
        <w:t>248.14万元</w:t>
      </w:r>
      <w:r>
        <w:rPr>
          <w:rFonts w:hint="eastAsia" w:ascii="仿宋" w:hAnsi="仿宋" w:eastAsia="仿宋"/>
          <w:sz w:val="32"/>
          <w:szCs w:val="32"/>
        </w:rPr>
        <w:t>相比，收、支总计各减少</w:t>
      </w:r>
      <w:r>
        <w:rPr>
          <w:rFonts w:hint="eastAsia" w:ascii="仿宋" w:hAnsi="仿宋" w:eastAsia="仿宋"/>
          <w:sz w:val="32"/>
          <w:szCs w:val="32"/>
          <w:lang w:val="en-US" w:eastAsia="zh-CN"/>
        </w:rPr>
        <w:t>40.39</w:t>
      </w:r>
      <w:r>
        <w:rPr>
          <w:rFonts w:hint="eastAsia" w:ascii="仿宋" w:hAnsi="仿宋" w:eastAsia="仿宋"/>
          <w:sz w:val="32"/>
          <w:szCs w:val="32"/>
        </w:rPr>
        <w:t>万元，下降</w:t>
      </w:r>
      <w:r>
        <w:rPr>
          <w:rFonts w:hint="eastAsia" w:ascii="仿宋" w:hAnsi="仿宋" w:eastAsia="仿宋"/>
          <w:sz w:val="32"/>
          <w:szCs w:val="32"/>
          <w:lang w:val="en-US" w:eastAsia="zh-CN"/>
        </w:rPr>
        <w:t>16.28</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eastAsia="zh-CN"/>
        </w:rPr>
        <w:t>受新冠肺炎疫情影响，学生人数减少；在职人数减少1人；公用经费减少；减少了3个项目（“肖坝校区受灾清淤项目”、“围墙排危工程质保金”、“校园足球项目”）</w:t>
      </w:r>
    </w:p>
    <w:p>
      <w:pPr>
        <w:pStyle w:val="2"/>
        <w:rPr>
          <w:rFonts w:hint="eastAsia" w:ascii="仿宋" w:hAnsi="仿宋" w:eastAsia="仿宋"/>
          <w:sz w:val="32"/>
          <w:szCs w:val="32"/>
          <w:lang w:eastAsia="zh-CN"/>
        </w:rPr>
      </w:pPr>
      <w:r>
        <w:drawing>
          <wp:inline distT="0" distB="0" distL="114300" distR="114300">
            <wp:extent cx="4591685" cy="2809875"/>
            <wp:effectExtent l="38735" t="18415" r="48260" b="6731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pPr>
        <w:spacing w:line="600" w:lineRule="exact"/>
        <w:ind w:firstLine="640" w:firstLineChars="200"/>
        <w:jc w:val="left"/>
        <w:rPr>
          <w:rFonts w:ascii="仿宋_GB2312" w:eastAsia="仿宋_GB2312"/>
          <w:sz w:val="32"/>
          <w:szCs w:val="32"/>
        </w:rPr>
      </w:pPr>
    </w:p>
    <w:p>
      <w:pPr>
        <w:pStyle w:val="23"/>
        <w:numPr>
          <w:ilvl w:val="0"/>
          <w:numId w:val="2"/>
        </w:numPr>
        <w:spacing w:line="600" w:lineRule="exact"/>
        <w:ind w:firstLineChars="0"/>
        <w:outlineLvl w:val="1"/>
        <w:rPr>
          <w:rStyle w:val="25"/>
          <w:rFonts w:ascii="黑体" w:hAnsi="黑体" w:eastAsia="黑体"/>
          <w:b w:val="0"/>
        </w:rPr>
      </w:pPr>
      <w:bookmarkStart w:id="20" w:name="_Toc15377206"/>
      <w:bookmarkStart w:id="21" w:name="_Toc15396604"/>
      <w:r>
        <w:rPr>
          <w:rFonts w:hint="eastAsia" w:ascii="黑体" w:hAnsi="黑体" w:eastAsia="黑体"/>
          <w:sz w:val="32"/>
          <w:szCs w:val="32"/>
        </w:rPr>
        <w:t>收</w:t>
      </w:r>
      <w:r>
        <w:rPr>
          <w:rStyle w:val="25"/>
          <w:rFonts w:hint="eastAsia" w:ascii="黑体" w:hAnsi="黑体" w:eastAsia="黑体"/>
          <w:b w:val="0"/>
        </w:rPr>
        <w:t>入决算情况说明</w:t>
      </w:r>
      <w:bookmarkEnd w:id="20"/>
      <w:bookmarkEnd w:id="21"/>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21年本年收入合计</w:t>
      </w:r>
      <w:r>
        <w:rPr>
          <w:rFonts w:hint="eastAsia" w:ascii="仿宋" w:hAnsi="仿宋" w:eastAsia="仿宋"/>
          <w:sz w:val="32"/>
          <w:szCs w:val="32"/>
          <w:lang w:val="en-US" w:eastAsia="zh-CN"/>
        </w:rPr>
        <w:t>207.75</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130.65</w:t>
      </w:r>
      <w:r>
        <w:rPr>
          <w:rFonts w:hint="eastAsia" w:ascii="仿宋" w:hAnsi="仿宋" w:eastAsia="仿宋"/>
          <w:sz w:val="32"/>
          <w:szCs w:val="32"/>
        </w:rPr>
        <w:t>万元，占</w:t>
      </w:r>
      <w:r>
        <w:rPr>
          <w:rFonts w:hint="eastAsia" w:ascii="仿宋" w:hAnsi="仿宋" w:eastAsia="仿宋"/>
          <w:sz w:val="32"/>
          <w:szCs w:val="32"/>
          <w:lang w:val="en-US" w:eastAsia="zh-CN"/>
        </w:rPr>
        <w:t>62.89</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；国有资本经营预算财政拨款收入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；上级补助收入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；事业收入</w:t>
      </w:r>
      <w:r>
        <w:rPr>
          <w:rFonts w:hint="eastAsia" w:ascii="仿宋" w:hAnsi="仿宋" w:eastAsia="仿宋"/>
          <w:sz w:val="32"/>
          <w:szCs w:val="32"/>
          <w:lang w:val="en-US" w:eastAsia="zh-CN"/>
        </w:rPr>
        <w:t>77.10</w:t>
      </w:r>
      <w:r>
        <w:rPr>
          <w:rFonts w:hint="eastAsia" w:ascii="仿宋" w:hAnsi="仿宋" w:eastAsia="仿宋"/>
          <w:sz w:val="32"/>
          <w:szCs w:val="32"/>
        </w:rPr>
        <w:t>万元，占</w:t>
      </w:r>
      <w:r>
        <w:rPr>
          <w:rFonts w:hint="eastAsia" w:ascii="仿宋" w:hAnsi="仿宋" w:eastAsia="仿宋"/>
          <w:sz w:val="32"/>
          <w:szCs w:val="32"/>
          <w:lang w:val="en-US" w:eastAsia="zh-CN"/>
        </w:rPr>
        <w:t>37.11</w:t>
      </w:r>
      <w:r>
        <w:rPr>
          <w:rFonts w:ascii="仿宋" w:hAnsi="仿宋" w:eastAsia="仿宋"/>
          <w:sz w:val="32"/>
          <w:szCs w:val="32"/>
        </w:rPr>
        <w:t>%</w:t>
      </w:r>
      <w:r>
        <w:rPr>
          <w:rFonts w:hint="eastAsia" w:ascii="仿宋" w:hAnsi="仿宋" w:eastAsia="仿宋"/>
          <w:sz w:val="32"/>
          <w:szCs w:val="32"/>
        </w:rPr>
        <w:t>；经营收入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；附属单位上缴收入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；其他收入</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w:t>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，仅罗列本单位涉及的收入。</w:t>
      </w:r>
      <w:r>
        <w:rPr>
          <w:rFonts w:ascii="仿宋" w:hAnsi="仿宋" w:eastAsia="仿宋"/>
          <w:b/>
          <w:sz w:val="32"/>
          <w:szCs w:val="32"/>
        </w:rPr>
        <w:t>）</w:t>
      </w:r>
    </w:p>
    <w:p>
      <w:pPr>
        <w:pStyle w:val="2"/>
        <w:rPr>
          <w:rFonts w:ascii="仿宋" w:hAnsi="仿宋" w:eastAsia="仿宋"/>
          <w:sz w:val="32"/>
          <w:szCs w:val="32"/>
        </w:rPr>
      </w:pPr>
      <w:r>
        <w:drawing>
          <wp:inline distT="0" distB="0" distL="114300" distR="114300">
            <wp:extent cx="4699635" cy="2819400"/>
            <wp:effectExtent l="38735" t="18415" r="46990" b="73025"/>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pPr>
        <w:spacing w:line="600" w:lineRule="exact"/>
        <w:ind w:firstLine="640" w:firstLineChars="200"/>
        <w:rPr>
          <w:rFonts w:ascii="仿宋_GB2312" w:eastAsia="仿宋_GB2312"/>
          <w:sz w:val="32"/>
          <w:szCs w:val="32"/>
        </w:rPr>
      </w:pPr>
    </w:p>
    <w:p>
      <w:pPr>
        <w:pStyle w:val="23"/>
        <w:numPr>
          <w:ilvl w:val="0"/>
          <w:numId w:val="2"/>
        </w:numPr>
        <w:spacing w:line="600" w:lineRule="exact"/>
        <w:ind w:firstLineChars="0"/>
        <w:outlineLvl w:val="1"/>
        <w:rPr>
          <w:rStyle w:val="25"/>
          <w:rFonts w:ascii="黑体" w:hAnsi="黑体" w:eastAsia="黑体"/>
          <w:b w:val="0"/>
        </w:rPr>
      </w:pPr>
      <w:bookmarkStart w:id="22" w:name="_Toc15396605"/>
      <w:bookmarkStart w:id="23" w:name="_Toc15377207"/>
      <w:r>
        <w:rPr>
          <w:rFonts w:hint="eastAsia" w:ascii="黑体" w:hAnsi="黑体" w:eastAsia="黑体"/>
          <w:sz w:val="32"/>
          <w:szCs w:val="32"/>
        </w:rPr>
        <w:t>支</w:t>
      </w:r>
      <w:r>
        <w:rPr>
          <w:rStyle w:val="25"/>
          <w:rFonts w:hint="eastAsia" w:ascii="黑体" w:hAnsi="黑体" w:eastAsia="黑体"/>
          <w:b w:val="0"/>
        </w:rPr>
        <w:t>出决算情况说明</w:t>
      </w:r>
      <w:bookmarkEnd w:id="22"/>
      <w:bookmarkEnd w:id="23"/>
    </w:p>
    <w:p>
      <w:pPr>
        <w:spacing w:line="600" w:lineRule="exact"/>
        <w:ind w:firstLine="640" w:firstLineChars="200"/>
        <w:outlineLvl w:val="1"/>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21年本年支出合计</w:t>
      </w:r>
      <w:r>
        <w:rPr>
          <w:rFonts w:hint="eastAsia" w:ascii="仿宋" w:hAnsi="仿宋" w:eastAsia="仿宋"/>
          <w:sz w:val="32"/>
          <w:szCs w:val="32"/>
          <w:lang w:val="en-US" w:eastAsia="zh-CN"/>
        </w:rPr>
        <w:t>230.2</w:t>
      </w:r>
      <w:r>
        <w:rPr>
          <w:rFonts w:hint="eastAsia" w:ascii="仿宋" w:hAnsi="仿宋" w:eastAsia="仿宋"/>
          <w:sz w:val="32"/>
          <w:szCs w:val="32"/>
        </w:rPr>
        <w:t>万元，其中：基本支出</w:t>
      </w:r>
      <w:r>
        <w:rPr>
          <w:rFonts w:hint="eastAsia" w:ascii="仿宋" w:hAnsi="仿宋" w:eastAsia="仿宋"/>
          <w:sz w:val="32"/>
          <w:szCs w:val="32"/>
          <w:lang w:val="en-US" w:eastAsia="zh-CN"/>
        </w:rPr>
        <w:t>219.39</w:t>
      </w:r>
      <w:r>
        <w:rPr>
          <w:rFonts w:hint="eastAsia" w:ascii="仿宋" w:hAnsi="仿宋" w:eastAsia="仿宋"/>
          <w:sz w:val="32"/>
          <w:szCs w:val="32"/>
        </w:rPr>
        <w:t>万元，占</w:t>
      </w:r>
      <w:r>
        <w:rPr>
          <w:rFonts w:hint="eastAsia" w:ascii="仿宋" w:hAnsi="仿宋" w:eastAsia="仿宋"/>
          <w:sz w:val="32"/>
          <w:szCs w:val="32"/>
          <w:lang w:val="en-US" w:eastAsia="zh-CN"/>
        </w:rPr>
        <w:t>95.3</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10.81</w:t>
      </w:r>
      <w:r>
        <w:rPr>
          <w:rFonts w:hint="eastAsia" w:ascii="仿宋" w:hAnsi="仿宋" w:eastAsia="仿宋"/>
          <w:sz w:val="32"/>
          <w:szCs w:val="32"/>
        </w:rPr>
        <w:t>万元，占</w:t>
      </w:r>
      <w:r>
        <w:rPr>
          <w:rFonts w:hint="eastAsia" w:ascii="仿宋" w:hAnsi="仿宋" w:eastAsia="仿宋"/>
          <w:sz w:val="32"/>
          <w:szCs w:val="32"/>
          <w:lang w:val="en-US" w:eastAsia="zh-CN"/>
        </w:rPr>
        <w:t>4.70</w:t>
      </w:r>
      <w:r>
        <w:rPr>
          <w:rFonts w:ascii="仿宋" w:hAnsi="仿宋" w:eastAsia="仿宋"/>
          <w:sz w:val="32"/>
          <w:szCs w:val="32"/>
        </w:rPr>
        <w:t>%</w:t>
      </w:r>
      <w:r>
        <w:rPr>
          <w:rFonts w:hint="eastAsia" w:ascii="仿宋" w:hAnsi="仿宋" w:eastAsia="仿宋"/>
          <w:sz w:val="32"/>
          <w:szCs w:val="32"/>
        </w:rPr>
        <w:t>；上缴上级支出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；经营支出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；对附属单位补助支出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w:t>
      </w:r>
    </w:p>
    <w:p>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表，仅罗列本单位涉及的支出。）</w:t>
      </w:r>
    </w:p>
    <w:p>
      <w:pPr>
        <w:pStyle w:val="2"/>
        <w:rPr>
          <w:rFonts w:hint="eastAsia" w:ascii="仿宋" w:hAnsi="仿宋" w:eastAsia="仿宋"/>
          <w:sz w:val="32"/>
          <w:szCs w:val="32"/>
        </w:rPr>
      </w:pPr>
      <w:r>
        <w:drawing>
          <wp:inline distT="0" distB="0" distL="114300" distR="114300">
            <wp:extent cx="4563110" cy="2748915"/>
            <wp:effectExtent l="38735" t="18415" r="46355" b="67310"/>
            <wp:docPr id="8"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pPr>
        <w:spacing w:line="600" w:lineRule="exact"/>
        <w:ind w:firstLine="640" w:firstLineChars="200"/>
        <w:rPr>
          <w:rFonts w:ascii="仿宋_GB2312" w:eastAsia="仿宋_GB2312"/>
          <w:sz w:val="32"/>
          <w:szCs w:val="32"/>
        </w:rPr>
      </w:pPr>
    </w:p>
    <w:p>
      <w:pPr>
        <w:spacing w:line="600" w:lineRule="exact"/>
        <w:ind w:firstLine="640" w:firstLineChars="200"/>
        <w:outlineLvl w:val="1"/>
        <w:rPr>
          <w:rStyle w:val="25"/>
          <w:rFonts w:ascii="黑体" w:hAnsi="黑体" w:eastAsia="黑体"/>
          <w:b w:val="0"/>
        </w:rPr>
      </w:pPr>
      <w:bookmarkStart w:id="24" w:name="_Toc15377208"/>
      <w:bookmarkStart w:id="25" w:name="_Toc15396606"/>
      <w:r>
        <w:rPr>
          <w:rFonts w:hint="eastAsia" w:ascii="黑体" w:hAnsi="黑体" w:eastAsia="黑体"/>
          <w:sz w:val="32"/>
          <w:szCs w:val="32"/>
        </w:rPr>
        <w:t>四、财</w:t>
      </w:r>
      <w:r>
        <w:rPr>
          <w:rStyle w:val="25"/>
          <w:rFonts w:hint="eastAsia" w:ascii="黑体" w:hAnsi="黑体" w:eastAsia="黑体"/>
          <w:b w:val="0"/>
        </w:rPr>
        <w:t>政拨款收入支出决算总体情况说明</w:t>
      </w:r>
      <w:bookmarkEnd w:id="24"/>
      <w:bookmarkEnd w:id="25"/>
    </w:p>
    <w:p>
      <w:pPr>
        <w:spacing w:line="600" w:lineRule="exact"/>
        <w:ind w:firstLine="640"/>
        <w:rPr>
          <w:rFonts w:hint="eastAsia" w:ascii="仿宋" w:hAnsi="仿宋" w:eastAsia="仿宋"/>
          <w:sz w:val="32"/>
          <w:szCs w:val="32"/>
          <w:lang w:val="en-US" w:eastAsia="zh-CN"/>
        </w:rPr>
      </w:pPr>
      <w:r>
        <w:rPr>
          <w:rFonts w:ascii="仿宋" w:hAnsi="仿宋" w:eastAsia="仿宋"/>
          <w:sz w:val="32"/>
          <w:szCs w:val="32"/>
        </w:rPr>
        <w:t>20</w:t>
      </w:r>
      <w:r>
        <w:rPr>
          <w:rFonts w:hint="eastAsia" w:ascii="仿宋" w:hAnsi="仿宋" w:eastAsia="仿宋"/>
          <w:sz w:val="32"/>
          <w:szCs w:val="32"/>
        </w:rPr>
        <w:t>21年财政拨款收、支总计</w:t>
      </w:r>
      <w:r>
        <w:rPr>
          <w:rFonts w:hint="eastAsia" w:ascii="仿宋" w:hAnsi="仿宋" w:eastAsia="仿宋"/>
          <w:sz w:val="32"/>
          <w:szCs w:val="32"/>
          <w:lang w:val="en-US" w:eastAsia="zh-CN"/>
        </w:rPr>
        <w:t>130.65</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20年</w:t>
      </w:r>
      <w:r>
        <w:rPr>
          <w:rFonts w:hint="eastAsia" w:ascii="仿宋" w:hAnsi="仿宋" w:eastAsia="仿宋"/>
          <w:sz w:val="32"/>
          <w:szCs w:val="32"/>
          <w:lang w:val="en-US" w:eastAsia="zh-CN"/>
        </w:rPr>
        <w:t>129.21万元</w:t>
      </w:r>
      <w:r>
        <w:rPr>
          <w:rFonts w:hint="eastAsia" w:ascii="仿宋" w:hAnsi="仿宋" w:eastAsia="仿宋"/>
          <w:sz w:val="32"/>
          <w:szCs w:val="32"/>
        </w:rPr>
        <w:t>相比，财政拨款收、支总计各增加</w:t>
      </w:r>
      <w:r>
        <w:rPr>
          <w:rFonts w:hint="eastAsia" w:ascii="仿宋" w:hAnsi="仿宋" w:eastAsia="仿宋"/>
          <w:sz w:val="32"/>
          <w:szCs w:val="32"/>
          <w:lang w:val="en-US" w:eastAsia="zh-CN"/>
        </w:rPr>
        <w:t>1.44</w:t>
      </w:r>
      <w:r>
        <w:rPr>
          <w:rFonts w:hint="eastAsia" w:ascii="仿宋" w:hAnsi="仿宋" w:eastAsia="仿宋"/>
          <w:sz w:val="32"/>
          <w:szCs w:val="32"/>
        </w:rPr>
        <w:t>万元，增长</w:t>
      </w:r>
      <w:r>
        <w:rPr>
          <w:rFonts w:hint="eastAsia" w:ascii="仿宋" w:hAnsi="仿宋" w:eastAsia="仿宋"/>
          <w:sz w:val="32"/>
          <w:szCs w:val="32"/>
          <w:lang w:val="en-US" w:eastAsia="zh-CN"/>
        </w:rPr>
        <w:t>1.11</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教师年终慰问费增加。</w:t>
      </w:r>
    </w:p>
    <w:p>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pPr>
        <w:pStyle w:val="2"/>
        <w:rPr>
          <w:rFonts w:ascii="仿宋" w:hAnsi="仿宋" w:eastAsia="仿宋"/>
          <w:b/>
          <w:sz w:val="32"/>
          <w:szCs w:val="32"/>
        </w:rPr>
      </w:pPr>
      <w:r>
        <w:drawing>
          <wp:inline distT="0" distB="0" distL="114300" distR="114300">
            <wp:extent cx="4662805" cy="2861945"/>
            <wp:effectExtent l="38735" t="18415" r="38100" b="60960"/>
            <wp:docPr id="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pPr>
        <w:spacing w:line="600" w:lineRule="exact"/>
        <w:ind w:firstLine="640"/>
        <w:rPr>
          <w:rFonts w:ascii="仿宋" w:hAnsi="仿宋" w:eastAsia="仿宋"/>
          <w:b/>
          <w:sz w:val="32"/>
          <w:szCs w:val="32"/>
        </w:rPr>
      </w:pPr>
    </w:p>
    <w:p>
      <w:pPr>
        <w:spacing w:line="600" w:lineRule="exact"/>
        <w:ind w:firstLine="640" w:firstLineChars="200"/>
        <w:outlineLvl w:val="1"/>
        <w:rPr>
          <w:rStyle w:val="25"/>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25"/>
          <w:rFonts w:hint="eastAsia" w:ascii="黑体" w:hAnsi="黑体" w:eastAsia="黑体"/>
          <w:b w:val="0"/>
        </w:rPr>
        <w:t>般公共预算财政拨款支出决算情况说明</w:t>
      </w:r>
      <w:bookmarkEnd w:id="26"/>
      <w:bookmarkEnd w:id="27"/>
    </w:p>
    <w:p>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pPr>
        <w:spacing w:line="600" w:lineRule="exact"/>
        <w:ind w:firstLine="640" w:firstLineChars="20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130.65</w:t>
      </w:r>
      <w:r>
        <w:rPr>
          <w:rFonts w:hint="eastAsia" w:ascii="仿宋" w:hAnsi="仿宋" w:eastAsia="仿宋"/>
          <w:sz w:val="32"/>
          <w:szCs w:val="32"/>
        </w:rPr>
        <w:t>万元，占本年支出合计的</w:t>
      </w:r>
      <w:r>
        <w:rPr>
          <w:rFonts w:hint="eastAsia" w:ascii="仿宋" w:hAnsi="仿宋" w:eastAsia="仿宋"/>
          <w:sz w:val="32"/>
          <w:szCs w:val="32"/>
          <w:lang w:val="en-US" w:eastAsia="zh-CN"/>
        </w:rPr>
        <w:t>62.89</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20年</w:t>
      </w:r>
      <w:r>
        <w:rPr>
          <w:rFonts w:hint="eastAsia" w:ascii="仿宋" w:hAnsi="仿宋" w:eastAsia="仿宋"/>
          <w:sz w:val="32"/>
          <w:szCs w:val="32"/>
          <w:lang w:val="en-US" w:eastAsia="zh-CN"/>
        </w:rPr>
        <w:t>136.75万元</w:t>
      </w:r>
      <w:r>
        <w:rPr>
          <w:rFonts w:hint="eastAsia" w:ascii="仿宋" w:hAnsi="仿宋" w:eastAsia="仿宋"/>
          <w:sz w:val="32"/>
          <w:szCs w:val="32"/>
        </w:rPr>
        <w:t>相比，一般公共预算财政拨款支出减少</w:t>
      </w:r>
      <w:r>
        <w:rPr>
          <w:rFonts w:hint="eastAsia" w:ascii="仿宋" w:hAnsi="仿宋" w:eastAsia="仿宋"/>
          <w:sz w:val="32"/>
          <w:szCs w:val="32"/>
          <w:lang w:val="en-US" w:eastAsia="zh-CN"/>
        </w:rPr>
        <w:t>6.1</w:t>
      </w:r>
      <w:r>
        <w:rPr>
          <w:rFonts w:hint="eastAsia" w:ascii="仿宋" w:hAnsi="仿宋" w:eastAsia="仿宋"/>
          <w:sz w:val="32"/>
          <w:szCs w:val="32"/>
        </w:rPr>
        <w:t>万元，下降</w:t>
      </w:r>
      <w:r>
        <w:rPr>
          <w:rFonts w:hint="eastAsia" w:ascii="仿宋" w:hAnsi="仿宋" w:eastAsia="仿宋"/>
          <w:sz w:val="32"/>
          <w:szCs w:val="32"/>
          <w:lang w:val="en-US" w:eastAsia="zh-CN"/>
        </w:rPr>
        <w:t>4.46</w:t>
      </w:r>
      <w:r>
        <w:rPr>
          <w:rFonts w:ascii="仿宋" w:hAnsi="仿宋" w:eastAsia="仿宋"/>
          <w:sz w:val="32"/>
          <w:szCs w:val="32"/>
        </w:rPr>
        <w:t>%</w:t>
      </w:r>
      <w:r>
        <w:rPr>
          <w:rFonts w:hint="eastAsia" w:ascii="仿宋" w:hAnsi="仿宋" w:eastAsia="仿宋"/>
          <w:sz w:val="32"/>
          <w:szCs w:val="32"/>
        </w:rPr>
        <w:t>。主要变动原因是1、减少办公费；2、在职人数减少1人；3、减少了3个项目（“肖坝校区受灾清淤项目”、“围墙排危工程质保金”、“校园足球项目”）</w:t>
      </w:r>
    </w:p>
    <w:p>
      <w:pPr>
        <w:pStyle w:val="2"/>
        <w:rPr>
          <w:rFonts w:ascii="仿宋" w:hAnsi="仿宋" w:eastAsia="仿宋"/>
          <w:sz w:val="32"/>
          <w:szCs w:val="32"/>
        </w:rPr>
      </w:pPr>
      <w:r>
        <w:drawing>
          <wp:inline distT="0" distB="0" distL="114300" distR="114300">
            <wp:extent cx="4708525" cy="3053080"/>
            <wp:effectExtent l="38735" t="18415" r="38100" b="67945"/>
            <wp:docPr id="1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pPr>
        <w:spacing w:line="600" w:lineRule="exact"/>
        <w:ind w:firstLine="64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21年一般公共预算财政拨款支出</w:t>
      </w:r>
      <w:r>
        <w:rPr>
          <w:rFonts w:hint="eastAsia" w:ascii="仿宋" w:hAnsi="仿宋" w:eastAsia="仿宋"/>
          <w:sz w:val="32"/>
          <w:szCs w:val="32"/>
          <w:lang w:val="en-US" w:eastAsia="zh-CN"/>
        </w:rPr>
        <w:t>130.65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一般公共服务（类）</w:t>
      </w:r>
      <w:r>
        <w:rPr>
          <w:rFonts w:hint="eastAsia" w:ascii="仿宋" w:hAnsi="仿宋" w:eastAsia="仿宋"/>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教育支出（类）</w:t>
      </w:r>
      <w:r>
        <w:rPr>
          <w:rFonts w:hint="eastAsia" w:ascii="仿宋" w:hAnsi="仿宋" w:eastAsia="仿宋"/>
          <w:sz w:val="32"/>
          <w:szCs w:val="32"/>
          <w:lang w:val="en-US" w:eastAsia="zh-CN"/>
        </w:rPr>
        <w:t>102.74</w:t>
      </w:r>
      <w:r>
        <w:rPr>
          <w:rFonts w:hint="eastAsia" w:ascii="仿宋" w:hAnsi="仿宋" w:eastAsia="仿宋"/>
          <w:sz w:val="32"/>
          <w:szCs w:val="32"/>
        </w:rPr>
        <w:t>万元，占</w:t>
      </w:r>
      <w:r>
        <w:rPr>
          <w:rFonts w:hint="eastAsia" w:ascii="仿宋" w:hAnsi="仿宋" w:eastAsia="仿宋"/>
          <w:sz w:val="32"/>
          <w:szCs w:val="32"/>
          <w:lang w:val="en-US" w:eastAsia="zh-CN"/>
        </w:rPr>
        <w:t>78.64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sz w:val="32"/>
          <w:szCs w:val="32"/>
        </w:rPr>
        <w:t>科学技术（类）</w:t>
      </w:r>
      <w:r>
        <w:rPr>
          <w:rFonts w:hint="eastAsia" w:ascii="仿宋" w:hAnsi="仿宋" w:eastAsia="仿宋"/>
          <w:sz w:val="32"/>
          <w:szCs w:val="32"/>
        </w:rPr>
        <w:t>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0.00</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文化旅游体育与传媒（类）支出</w:t>
      </w:r>
      <w:r>
        <w:rPr>
          <w:rFonts w:hint="eastAsia" w:ascii="仿宋" w:hAnsi="仿宋" w:eastAsia="仿宋"/>
          <w:b/>
          <w:bCs/>
          <w:sz w:val="32"/>
          <w:szCs w:val="32"/>
          <w:lang w:val="en-US" w:eastAsia="zh-CN"/>
        </w:rPr>
        <w:t>0</w:t>
      </w:r>
      <w:r>
        <w:rPr>
          <w:rFonts w:hint="eastAsia" w:ascii="仿宋" w:hAnsi="仿宋" w:eastAsia="仿宋"/>
          <w:b/>
          <w:bCs/>
          <w:sz w:val="32"/>
          <w:szCs w:val="32"/>
        </w:rPr>
        <w:t>万元，占</w:t>
      </w:r>
      <w:r>
        <w:rPr>
          <w:rFonts w:hint="eastAsia" w:ascii="仿宋" w:hAnsi="仿宋" w:eastAsia="仿宋"/>
          <w:b/>
          <w:bCs/>
          <w:sz w:val="32"/>
          <w:szCs w:val="32"/>
          <w:lang w:val="en-US" w:eastAsia="zh-CN"/>
        </w:rPr>
        <w:t>0.00</w:t>
      </w:r>
      <w:r>
        <w:rPr>
          <w:rFonts w:ascii="仿宋" w:hAnsi="仿宋" w:eastAsia="仿宋"/>
          <w:b/>
          <w:bCs/>
          <w:sz w:val="32"/>
          <w:szCs w:val="32"/>
        </w:rPr>
        <w:t>%</w:t>
      </w:r>
      <w:r>
        <w:rPr>
          <w:rFonts w:hint="eastAsia" w:ascii="仿宋" w:hAnsi="仿宋" w:eastAsia="仿宋"/>
          <w:sz w:val="32"/>
          <w:szCs w:val="32"/>
        </w:rPr>
        <w:t>；</w:t>
      </w:r>
      <w:r>
        <w:rPr>
          <w:rFonts w:hint="eastAsia" w:ascii="仿宋" w:hAnsi="仿宋" w:eastAsia="仿宋"/>
          <w:b/>
          <w:sz w:val="32"/>
          <w:szCs w:val="32"/>
        </w:rPr>
        <w:t>社会保障和就业（类）</w:t>
      </w:r>
      <w:r>
        <w:rPr>
          <w:rFonts w:hint="eastAsia" w:ascii="仿宋" w:hAnsi="仿宋" w:eastAsia="仿宋"/>
          <w:sz w:val="32"/>
          <w:szCs w:val="32"/>
        </w:rPr>
        <w:t>支出</w:t>
      </w:r>
      <w:r>
        <w:rPr>
          <w:rFonts w:hint="eastAsia" w:ascii="仿宋" w:hAnsi="仿宋" w:eastAsia="仿宋"/>
          <w:sz w:val="32"/>
          <w:szCs w:val="32"/>
          <w:lang w:val="en-US" w:eastAsia="zh-CN"/>
        </w:rPr>
        <w:t>15.06</w:t>
      </w:r>
      <w:r>
        <w:rPr>
          <w:rFonts w:hint="eastAsia" w:ascii="仿宋" w:hAnsi="仿宋" w:eastAsia="仿宋"/>
          <w:sz w:val="32"/>
          <w:szCs w:val="32"/>
        </w:rPr>
        <w:t>万元，占</w:t>
      </w:r>
      <w:r>
        <w:rPr>
          <w:rFonts w:hint="eastAsia" w:ascii="仿宋" w:hAnsi="仿宋" w:eastAsia="仿宋"/>
          <w:sz w:val="32"/>
          <w:szCs w:val="32"/>
          <w:lang w:val="en-US" w:eastAsia="zh-CN"/>
        </w:rPr>
        <w:t>11.53</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3.65</w:t>
      </w:r>
      <w:r>
        <w:rPr>
          <w:rFonts w:hint="eastAsia" w:ascii="仿宋" w:hAnsi="仿宋" w:eastAsia="仿宋"/>
          <w:sz w:val="32"/>
          <w:szCs w:val="32"/>
        </w:rPr>
        <w:t>万元，占</w:t>
      </w:r>
      <w:r>
        <w:rPr>
          <w:rFonts w:hint="eastAsia" w:ascii="仿宋" w:hAnsi="仿宋" w:eastAsia="仿宋"/>
          <w:sz w:val="32"/>
          <w:szCs w:val="32"/>
          <w:lang w:val="en-US" w:eastAsia="zh-CN"/>
        </w:rPr>
        <w:t>2.79</w:t>
      </w:r>
      <w:r>
        <w:rPr>
          <w:rFonts w:ascii="仿宋" w:hAnsi="仿宋" w:eastAsia="仿宋"/>
          <w:sz w:val="32"/>
          <w:szCs w:val="32"/>
        </w:rPr>
        <w:t>%</w:t>
      </w:r>
      <w:r>
        <w:rPr>
          <w:rFonts w:hint="eastAsia" w:ascii="仿宋" w:hAnsi="仿宋" w:eastAsia="仿宋"/>
          <w:sz w:val="32"/>
          <w:szCs w:val="32"/>
        </w:rPr>
        <w:t>；住房保障支出</w:t>
      </w:r>
      <w:r>
        <w:rPr>
          <w:rFonts w:hint="eastAsia" w:ascii="仿宋" w:hAnsi="仿宋" w:eastAsia="仿宋"/>
          <w:sz w:val="32"/>
          <w:szCs w:val="32"/>
          <w:lang w:val="en-US" w:eastAsia="zh-CN"/>
        </w:rPr>
        <w:t>9.2</w:t>
      </w:r>
      <w:r>
        <w:rPr>
          <w:rFonts w:hint="eastAsia" w:ascii="仿宋" w:hAnsi="仿宋" w:eastAsia="仿宋"/>
          <w:sz w:val="32"/>
          <w:szCs w:val="32"/>
        </w:rPr>
        <w:t>万元，占</w:t>
      </w:r>
      <w:r>
        <w:rPr>
          <w:rFonts w:hint="eastAsia" w:ascii="仿宋" w:hAnsi="仿宋" w:eastAsia="仿宋"/>
          <w:sz w:val="32"/>
          <w:szCs w:val="32"/>
          <w:lang w:val="en-US" w:eastAsia="zh-CN"/>
        </w:rPr>
        <w:t>7.04</w:t>
      </w:r>
      <w:r>
        <w:rPr>
          <w:rFonts w:hint="eastAsia" w:ascii="仿宋" w:hAnsi="仿宋" w:eastAsia="仿宋"/>
          <w:sz w:val="32"/>
          <w:szCs w:val="32"/>
        </w:rPr>
        <w:t>。</w:t>
      </w:r>
    </w:p>
    <w:p>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pPr>
        <w:pStyle w:val="2"/>
        <w:rPr>
          <w:rFonts w:ascii="仿宋" w:hAnsi="仿宋" w:eastAsia="仿宋"/>
          <w:sz w:val="32"/>
          <w:szCs w:val="32"/>
        </w:rPr>
      </w:pPr>
      <w:r>
        <w:drawing>
          <wp:inline distT="0" distB="0" distL="114300" distR="114300">
            <wp:extent cx="4999355" cy="3234690"/>
            <wp:effectExtent l="38735" t="18415" r="52070" b="69215"/>
            <wp:docPr id="1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pPr>
        <w:spacing w:line="600" w:lineRule="exact"/>
        <w:ind w:firstLine="640" w:firstLineChars="200"/>
        <w:rPr>
          <w:rFonts w:ascii="仿宋" w:hAnsi="仿宋" w:eastAsia="仿宋"/>
          <w:sz w:val="32"/>
          <w:szCs w:val="32"/>
        </w:rPr>
      </w:pPr>
    </w:p>
    <w:p>
      <w:pPr>
        <w:spacing w:line="600" w:lineRule="exact"/>
        <w:ind w:firstLine="643" w:firstLineChars="200"/>
        <w:outlineLvl w:val="2"/>
        <w:rPr>
          <w:rFonts w:ascii="仿宋" w:hAnsi="仿宋" w:eastAsia="仿宋"/>
          <w:b/>
          <w:sz w:val="32"/>
          <w:szCs w:val="32"/>
        </w:rPr>
      </w:pPr>
      <w:bookmarkStart w:id="30" w:name="_Toc15377212"/>
      <w:r>
        <w:rPr>
          <w:rFonts w:hint="eastAsia" w:ascii="仿宋" w:hAnsi="仿宋" w:eastAsia="仿宋"/>
          <w:b/>
          <w:sz w:val="32"/>
          <w:szCs w:val="32"/>
        </w:rPr>
        <w:t>（三）一般公共预算财政拨款支出决算具体情况</w:t>
      </w:r>
      <w:bookmarkEnd w:id="30"/>
    </w:p>
    <w:p>
      <w:pPr>
        <w:spacing w:line="600" w:lineRule="exact"/>
        <w:ind w:firstLine="643" w:firstLineChars="200"/>
        <w:outlineLvl w:val="2"/>
        <w:rPr>
          <w:rFonts w:ascii="仿宋" w:hAnsi="仿宋" w:eastAsia="仿宋"/>
          <w:sz w:val="32"/>
          <w:szCs w:val="32"/>
        </w:rPr>
      </w:pPr>
      <w:bookmarkStart w:id="31" w:name="_Toc15378460"/>
      <w:bookmarkStart w:id="32" w:name="_Toc15377213"/>
      <w:bookmarkStart w:id="33" w:name="_Toc15377444"/>
      <w:r>
        <w:rPr>
          <w:rFonts w:hint="eastAsia" w:ascii="仿宋" w:hAnsi="仿宋" w:eastAsia="仿宋"/>
          <w:b/>
          <w:sz w:val="32"/>
          <w:szCs w:val="32"/>
        </w:rPr>
        <w:t>2021年一般公共预算支出决算数为</w:t>
      </w:r>
      <w:r>
        <w:rPr>
          <w:rFonts w:hint="eastAsia" w:ascii="仿宋" w:hAnsi="仿宋" w:eastAsia="仿宋"/>
          <w:b/>
          <w:sz w:val="32"/>
          <w:szCs w:val="32"/>
          <w:lang w:val="en-US" w:eastAsia="zh-CN"/>
        </w:rPr>
        <w:t>130.65万元</w:t>
      </w:r>
      <w:r>
        <w:rPr>
          <w:rFonts w:hint="eastAsia" w:ascii="仿宋" w:hAnsi="仿宋" w:eastAsia="仿宋"/>
          <w:sz w:val="32"/>
          <w:szCs w:val="32"/>
        </w:rPr>
        <w:t>，</w:t>
      </w:r>
      <w:r>
        <w:rPr>
          <w:rStyle w:val="14"/>
          <w:rFonts w:hint="eastAsia" w:ascii="仿宋" w:hAnsi="仿宋" w:eastAsia="仿宋"/>
          <w:bCs/>
          <w:sz w:val="32"/>
          <w:szCs w:val="32"/>
        </w:rPr>
        <w:t>完成预算</w:t>
      </w:r>
      <w:r>
        <w:rPr>
          <w:rStyle w:val="14"/>
          <w:rFonts w:hint="eastAsia" w:ascii="仿宋" w:hAnsi="仿宋" w:eastAsia="仿宋"/>
          <w:bCs/>
          <w:sz w:val="32"/>
          <w:szCs w:val="32"/>
          <w:lang w:val="en-US" w:eastAsia="zh-CN"/>
        </w:rPr>
        <w:t>100</w:t>
      </w:r>
      <w:r>
        <w:rPr>
          <w:rStyle w:val="14"/>
          <w:rFonts w:ascii="仿宋" w:hAnsi="仿宋" w:eastAsia="仿宋"/>
          <w:bCs/>
          <w:sz w:val="32"/>
          <w:szCs w:val="32"/>
        </w:rPr>
        <w:t>%</w:t>
      </w:r>
      <w:r>
        <w:rPr>
          <w:rStyle w:val="14"/>
          <w:rFonts w:hint="eastAsia" w:ascii="仿宋" w:hAnsi="仿宋" w:eastAsia="仿宋"/>
          <w:bCs/>
          <w:sz w:val="32"/>
          <w:szCs w:val="32"/>
        </w:rPr>
        <w:t>。其中：</w:t>
      </w:r>
      <w:bookmarkEnd w:id="31"/>
      <w:bookmarkEnd w:id="32"/>
      <w:bookmarkEnd w:id="33"/>
    </w:p>
    <w:p>
      <w:pPr>
        <w:spacing w:line="600" w:lineRule="exact"/>
        <w:ind w:firstLine="643" w:firstLineChars="200"/>
        <w:rPr>
          <w:rStyle w:val="14"/>
          <w:rFonts w:hint="eastAsia" w:ascii="仿宋" w:hAnsi="仿宋" w:eastAsia="仿宋"/>
          <w:b w:val="0"/>
          <w:bCs/>
          <w:sz w:val="32"/>
          <w:szCs w:val="32"/>
          <w:lang w:eastAsia="zh-CN"/>
        </w:rPr>
      </w:pPr>
      <w:r>
        <w:rPr>
          <w:rStyle w:val="14"/>
          <w:rFonts w:ascii="仿宋" w:hAnsi="仿宋" w:eastAsia="仿宋"/>
          <w:bCs/>
          <w:sz w:val="32"/>
          <w:szCs w:val="32"/>
        </w:rPr>
        <w:t>1.</w:t>
      </w:r>
      <w:r>
        <w:rPr>
          <w:rStyle w:val="14"/>
          <w:rFonts w:hint="eastAsia" w:ascii="仿宋" w:hAnsi="仿宋" w:eastAsia="仿宋"/>
          <w:bCs/>
          <w:sz w:val="32"/>
          <w:szCs w:val="32"/>
        </w:rPr>
        <w:t>教育（类）</w:t>
      </w:r>
      <w:r>
        <w:rPr>
          <w:rStyle w:val="14"/>
          <w:rFonts w:hint="eastAsia" w:ascii="仿宋" w:hAnsi="仿宋" w:eastAsia="仿宋"/>
          <w:bCs/>
          <w:sz w:val="32"/>
          <w:szCs w:val="32"/>
          <w:lang w:val="en-US" w:eastAsia="zh-CN"/>
        </w:rPr>
        <w:t>教育管理事务</w:t>
      </w:r>
      <w:r>
        <w:rPr>
          <w:rStyle w:val="14"/>
          <w:rFonts w:hint="eastAsia" w:ascii="仿宋" w:hAnsi="仿宋" w:eastAsia="仿宋"/>
          <w:bCs/>
          <w:sz w:val="32"/>
          <w:szCs w:val="32"/>
        </w:rPr>
        <w:t>（款）</w:t>
      </w:r>
      <w:r>
        <w:rPr>
          <w:rStyle w:val="14"/>
          <w:rFonts w:hint="eastAsia" w:ascii="仿宋" w:hAnsi="仿宋" w:eastAsia="仿宋"/>
          <w:bCs/>
          <w:sz w:val="32"/>
          <w:szCs w:val="32"/>
          <w:lang w:val="en-US" w:eastAsia="zh-CN"/>
        </w:rPr>
        <w:t>其它教育管理事务支出</w:t>
      </w:r>
      <w:r>
        <w:rPr>
          <w:rStyle w:val="14"/>
          <w:rFonts w:hint="eastAsia" w:ascii="仿宋" w:hAnsi="仿宋" w:eastAsia="仿宋"/>
          <w:bCs/>
          <w:sz w:val="32"/>
          <w:szCs w:val="32"/>
        </w:rPr>
        <w:t>（项）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99.93</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Fonts w:hint="eastAsia" w:ascii="仿宋" w:hAnsi="仿宋" w:eastAsia="仿宋" w:cs="仿宋"/>
          <w:color w:val="000000"/>
          <w:kern w:val="0"/>
          <w:sz w:val="32"/>
          <w:szCs w:val="32"/>
          <w:lang w:val="en-US" w:eastAsia="zh-CN" w:bidi="ar"/>
        </w:rPr>
        <w:t>，决算数等于预算数。</w:t>
      </w:r>
    </w:p>
    <w:p>
      <w:pPr>
        <w:pStyle w:val="2"/>
        <w:rPr>
          <w:rFonts w:hint="default"/>
          <w:lang w:val="en-US" w:eastAsia="zh-CN"/>
        </w:rPr>
      </w:pPr>
      <w:r>
        <w:rPr>
          <w:rStyle w:val="14"/>
          <w:rFonts w:hint="eastAsia" w:ascii="仿宋" w:hAnsi="仿宋" w:eastAsia="仿宋"/>
          <w:b w:val="0"/>
          <w:bCs/>
          <w:sz w:val="32"/>
          <w:szCs w:val="32"/>
          <w:lang w:val="en-US" w:eastAsia="zh-CN"/>
        </w:rPr>
        <w:t xml:space="preserve">       </w:t>
      </w:r>
      <w:r>
        <w:rPr>
          <w:rStyle w:val="14"/>
          <w:rFonts w:hint="eastAsia" w:ascii="仿宋" w:hAnsi="仿宋" w:eastAsia="仿宋"/>
          <w:bCs/>
          <w:sz w:val="32"/>
          <w:szCs w:val="32"/>
          <w:lang w:val="en-US" w:eastAsia="zh-CN"/>
        </w:rPr>
        <w:t>进修及培训</w:t>
      </w:r>
      <w:r>
        <w:rPr>
          <w:rStyle w:val="14"/>
          <w:rFonts w:hint="eastAsia" w:ascii="仿宋" w:hAnsi="仿宋" w:eastAsia="仿宋"/>
          <w:bCs/>
          <w:sz w:val="32"/>
          <w:szCs w:val="32"/>
        </w:rPr>
        <w:t>（款）</w:t>
      </w:r>
      <w:r>
        <w:rPr>
          <w:rStyle w:val="14"/>
          <w:rFonts w:hint="eastAsia" w:ascii="仿宋" w:hAnsi="仿宋" w:eastAsia="仿宋"/>
          <w:bCs/>
          <w:sz w:val="32"/>
          <w:szCs w:val="32"/>
          <w:lang w:val="en-US" w:eastAsia="zh-CN"/>
        </w:rPr>
        <w:t>教师进修</w:t>
      </w:r>
      <w:r>
        <w:rPr>
          <w:rStyle w:val="14"/>
          <w:rFonts w:hint="eastAsia" w:ascii="仿宋" w:hAnsi="仿宋" w:eastAsia="仿宋"/>
          <w:bCs/>
          <w:sz w:val="32"/>
          <w:szCs w:val="32"/>
        </w:rPr>
        <w:t>（项）</w:t>
      </w:r>
      <w:r>
        <w:rPr>
          <w:rStyle w:val="14"/>
          <w:rFonts w:ascii="仿宋" w:hAnsi="仿宋" w:eastAsia="仿宋"/>
          <w:bCs/>
          <w:sz w:val="32"/>
          <w:szCs w:val="32"/>
        </w:rPr>
        <w:t>:</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2.81</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Fonts w:hint="eastAsia" w:ascii="仿宋" w:hAnsi="仿宋" w:eastAsia="仿宋" w:cs="仿宋"/>
          <w:color w:val="000000"/>
          <w:kern w:val="0"/>
          <w:sz w:val="32"/>
          <w:szCs w:val="32"/>
          <w:lang w:val="en-US" w:eastAsia="zh-CN" w:bidi="ar"/>
        </w:rPr>
        <w:t>，决算数等于预算数。</w:t>
      </w:r>
    </w:p>
    <w:p>
      <w:pPr>
        <w:spacing w:line="600" w:lineRule="exact"/>
        <w:ind w:firstLine="643" w:firstLineChars="200"/>
        <w:rPr>
          <w:rStyle w:val="14"/>
          <w:rFonts w:hint="eastAsia" w:ascii="仿宋" w:hAnsi="仿宋" w:eastAsia="仿宋"/>
          <w:b w:val="0"/>
          <w:bCs/>
          <w:sz w:val="32"/>
          <w:szCs w:val="32"/>
          <w:lang w:eastAsia="zh-CN"/>
        </w:rPr>
      </w:pPr>
      <w:r>
        <w:rPr>
          <w:rStyle w:val="14"/>
          <w:rFonts w:hint="eastAsia" w:ascii="仿宋" w:hAnsi="仿宋" w:eastAsia="仿宋"/>
          <w:bCs/>
          <w:sz w:val="32"/>
          <w:szCs w:val="32"/>
          <w:lang w:val="en-US" w:eastAsia="zh-CN"/>
        </w:rPr>
        <w:t>2</w:t>
      </w:r>
      <w:r>
        <w:rPr>
          <w:rStyle w:val="14"/>
          <w:rFonts w:ascii="仿宋" w:hAnsi="仿宋" w:eastAsia="仿宋"/>
          <w:bCs/>
          <w:sz w:val="32"/>
          <w:szCs w:val="32"/>
        </w:rPr>
        <w:t>.</w:t>
      </w:r>
      <w:r>
        <w:rPr>
          <w:rStyle w:val="14"/>
          <w:rFonts w:hint="eastAsia" w:ascii="仿宋" w:hAnsi="仿宋" w:eastAsia="仿宋"/>
          <w:bCs/>
          <w:sz w:val="32"/>
          <w:szCs w:val="32"/>
        </w:rPr>
        <w:t>社会保障和就业（类）</w:t>
      </w:r>
      <w:r>
        <w:rPr>
          <w:rStyle w:val="14"/>
          <w:rFonts w:hint="eastAsia" w:ascii="仿宋" w:hAnsi="仿宋" w:eastAsia="仿宋"/>
          <w:bCs/>
          <w:sz w:val="32"/>
          <w:szCs w:val="32"/>
          <w:lang w:val="en-US" w:eastAsia="zh-CN"/>
        </w:rPr>
        <w:t>行政事业单位养老支出</w:t>
      </w:r>
      <w:r>
        <w:rPr>
          <w:rStyle w:val="14"/>
          <w:rFonts w:hint="eastAsia" w:ascii="仿宋" w:hAnsi="仿宋" w:eastAsia="仿宋"/>
          <w:bCs/>
          <w:sz w:val="32"/>
          <w:szCs w:val="32"/>
        </w:rPr>
        <w:t>（款）</w:t>
      </w:r>
      <w:r>
        <w:rPr>
          <w:rStyle w:val="14"/>
          <w:rFonts w:hint="eastAsia" w:ascii="仿宋" w:hAnsi="仿宋" w:eastAsia="仿宋"/>
          <w:bCs/>
          <w:sz w:val="32"/>
          <w:szCs w:val="32"/>
          <w:lang w:val="en-US" w:eastAsia="zh-CN"/>
        </w:rPr>
        <w:t>机关事业单位基本养老保险缴费支出</w:t>
      </w:r>
      <w:r>
        <w:rPr>
          <w:rStyle w:val="14"/>
          <w:rFonts w:hint="eastAsia" w:ascii="仿宋" w:hAnsi="仿宋" w:eastAsia="仿宋"/>
          <w:bCs/>
          <w:sz w:val="32"/>
          <w:szCs w:val="32"/>
        </w:rPr>
        <w:t>（项）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9.47</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Fonts w:hint="eastAsia" w:ascii="仿宋" w:hAnsi="仿宋" w:eastAsia="仿宋" w:cs="仿宋"/>
          <w:color w:val="000000"/>
          <w:kern w:val="0"/>
          <w:sz w:val="32"/>
          <w:szCs w:val="32"/>
          <w:lang w:val="en-US" w:eastAsia="zh-CN" w:bidi="ar"/>
        </w:rPr>
        <w:t>，决算数等于预算数。</w:t>
      </w:r>
    </w:p>
    <w:p>
      <w:pPr>
        <w:spacing w:line="600" w:lineRule="exact"/>
        <w:ind w:firstLine="420" w:firstLineChars="200"/>
        <w:rPr>
          <w:rStyle w:val="14"/>
          <w:rFonts w:hint="eastAsia" w:ascii="仿宋" w:hAnsi="仿宋" w:eastAsia="仿宋"/>
          <w:b w:val="0"/>
          <w:bCs/>
          <w:sz w:val="32"/>
          <w:szCs w:val="32"/>
          <w:lang w:eastAsia="zh-CN"/>
        </w:rPr>
      </w:pPr>
      <w:r>
        <w:rPr>
          <w:rFonts w:hint="eastAsia"/>
          <w:lang w:val="en-US" w:eastAsia="zh-CN"/>
        </w:rPr>
        <w:t xml:space="preserve">      </w:t>
      </w:r>
      <w:r>
        <w:rPr>
          <w:rStyle w:val="14"/>
          <w:rFonts w:hint="eastAsia" w:ascii="仿宋" w:hAnsi="仿宋" w:eastAsia="仿宋"/>
          <w:bCs/>
          <w:sz w:val="32"/>
          <w:szCs w:val="32"/>
          <w:lang w:val="en-US" w:eastAsia="zh-CN"/>
        </w:rPr>
        <w:t>行政事业单位养老支出</w:t>
      </w:r>
      <w:r>
        <w:rPr>
          <w:rStyle w:val="14"/>
          <w:rFonts w:hint="eastAsia" w:ascii="仿宋" w:hAnsi="仿宋" w:eastAsia="仿宋"/>
          <w:bCs/>
          <w:sz w:val="32"/>
          <w:szCs w:val="32"/>
        </w:rPr>
        <w:t>（款）</w:t>
      </w:r>
      <w:r>
        <w:rPr>
          <w:rStyle w:val="14"/>
          <w:rFonts w:hint="eastAsia" w:ascii="仿宋" w:hAnsi="仿宋" w:eastAsia="仿宋"/>
          <w:bCs/>
          <w:sz w:val="32"/>
          <w:szCs w:val="32"/>
          <w:lang w:val="en-US" w:eastAsia="zh-CN"/>
        </w:rPr>
        <w:t>机关事业单位职业年金缴费支出</w:t>
      </w:r>
      <w:r>
        <w:rPr>
          <w:rStyle w:val="14"/>
          <w:rFonts w:hint="eastAsia" w:ascii="仿宋" w:hAnsi="仿宋" w:eastAsia="仿宋"/>
          <w:bCs/>
          <w:sz w:val="32"/>
          <w:szCs w:val="32"/>
        </w:rPr>
        <w:t>（项）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4.73</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Fonts w:hint="eastAsia" w:ascii="仿宋" w:hAnsi="仿宋" w:eastAsia="仿宋" w:cs="仿宋"/>
          <w:color w:val="000000"/>
          <w:kern w:val="0"/>
          <w:sz w:val="32"/>
          <w:szCs w:val="32"/>
          <w:lang w:val="en-US" w:eastAsia="zh-CN" w:bidi="ar"/>
        </w:rPr>
        <w:t>，决算数等于预算数。</w:t>
      </w:r>
    </w:p>
    <w:p>
      <w:pPr>
        <w:spacing w:line="600" w:lineRule="exact"/>
        <w:ind w:firstLine="420" w:firstLineChars="200"/>
        <w:rPr>
          <w:rStyle w:val="14"/>
          <w:rFonts w:hint="eastAsia" w:ascii="仿宋" w:hAnsi="仿宋" w:eastAsia="仿宋"/>
          <w:b w:val="0"/>
          <w:bCs/>
          <w:sz w:val="32"/>
          <w:szCs w:val="32"/>
          <w:lang w:eastAsia="zh-CN"/>
        </w:rPr>
      </w:pPr>
      <w:r>
        <w:rPr>
          <w:rFonts w:hint="eastAsia"/>
          <w:lang w:val="en-US" w:eastAsia="zh-CN"/>
        </w:rPr>
        <w:t xml:space="preserve">       </w:t>
      </w:r>
      <w:r>
        <w:rPr>
          <w:rStyle w:val="14"/>
          <w:rFonts w:hint="eastAsia" w:ascii="仿宋" w:hAnsi="仿宋" w:eastAsia="仿宋"/>
          <w:bCs/>
          <w:sz w:val="32"/>
          <w:szCs w:val="32"/>
          <w:lang w:val="en-US" w:eastAsia="zh-CN"/>
        </w:rPr>
        <w:t>残疾人事业</w:t>
      </w:r>
      <w:r>
        <w:rPr>
          <w:rStyle w:val="14"/>
          <w:rFonts w:hint="eastAsia" w:ascii="仿宋" w:hAnsi="仿宋" w:eastAsia="仿宋"/>
          <w:bCs/>
          <w:sz w:val="32"/>
          <w:szCs w:val="32"/>
        </w:rPr>
        <w:t>（款）</w:t>
      </w:r>
      <w:r>
        <w:rPr>
          <w:rStyle w:val="14"/>
          <w:rFonts w:hint="eastAsia" w:ascii="仿宋" w:hAnsi="仿宋" w:eastAsia="仿宋"/>
          <w:bCs/>
          <w:sz w:val="32"/>
          <w:szCs w:val="32"/>
          <w:lang w:val="en-US" w:eastAsia="zh-CN"/>
        </w:rPr>
        <w:t>其它残疾人事业支出</w:t>
      </w:r>
      <w:r>
        <w:rPr>
          <w:rStyle w:val="14"/>
          <w:rFonts w:hint="eastAsia" w:ascii="仿宋" w:hAnsi="仿宋" w:eastAsia="仿宋"/>
          <w:bCs/>
          <w:sz w:val="32"/>
          <w:szCs w:val="32"/>
        </w:rPr>
        <w:t>（项）</w:t>
      </w:r>
      <w:r>
        <w:rPr>
          <w:rStyle w:val="14"/>
          <w:rFonts w:ascii="仿宋" w:hAnsi="仿宋" w:eastAsia="仿宋"/>
          <w:bCs/>
          <w:sz w:val="32"/>
          <w:szCs w:val="32"/>
        </w:rPr>
        <w:t>:</w:t>
      </w:r>
      <w:r>
        <w:rPr>
          <w:rStyle w:val="14"/>
          <w:rFonts w:ascii="仿宋" w:hAnsi="仿宋" w:eastAsia="仿宋"/>
          <w:b w:val="0"/>
          <w:bCs/>
          <w:sz w:val="32"/>
          <w:szCs w:val="32"/>
        </w:rPr>
        <w:t xml:space="preserve"> </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0.85</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Style w:val="14"/>
          <w:rFonts w:hint="eastAsia" w:ascii="仿宋" w:hAnsi="仿宋" w:eastAsia="仿宋"/>
          <w:b w:val="0"/>
          <w:bCs/>
          <w:sz w:val="32"/>
          <w:szCs w:val="32"/>
          <w:lang w:eastAsia="zh-CN"/>
        </w:rPr>
        <w:t>，</w:t>
      </w:r>
      <w:r>
        <w:rPr>
          <w:rFonts w:hint="eastAsia" w:ascii="仿宋" w:hAnsi="仿宋" w:eastAsia="仿宋" w:cs="仿宋"/>
          <w:color w:val="000000"/>
          <w:kern w:val="0"/>
          <w:sz w:val="32"/>
          <w:szCs w:val="32"/>
          <w:lang w:val="en-US" w:eastAsia="zh-CN" w:bidi="ar"/>
        </w:rPr>
        <w:t>决算数等于预算数。</w:t>
      </w:r>
    </w:p>
    <w:p>
      <w:pPr>
        <w:spacing w:line="600" w:lineRule="exact"/>
        <w:ind w:firstLine="643" w:firstLineChars="200"/>
        <w:rPr>
          <w:rFonts w:ascii="仿宋" w:hAnsi="仿宋" w:eastAsia="仿宋"/>
          <w:b/>
          <w:sz w:val="32"/>
          <w:szCs w:val="32"/>
        </w:rPr>
      </w:pPr>
      <w:r>
        <w:rPr>
          <w:rStyle w:val="14"/>
          <w:rFonts w:hint="eastAsia" w:ascii="仿宋" w:hAnsi="仿宋" w:eastAsia="仿宋"/>
          <w:bCs/>
          <w:sz w:val="32"/>
          <w:szCs w:val="32"/>
          <w:lang w:val="en-US" w:eastAsia="zh-CN"/>
        </w:rPr>
        <w:t>3</w:t>
      </w:r>
      <w:r>
        <w:rPr>
          <w:rStyle w:val="14"/>
          <w:rFonts w:ascii="仿宋" w:hAnsi="仿宋" w:eastAsia="仿宋"/>
          <w:bCs/>
          <w:sz w:val="32"/>
          <w:szCs w:val="32"/>
        </w:rPr>
        <w:t>.</w:t>
      </w:r>
      <w:r>
        <w:rPr>
          <w:rFonts w:hint="eastAsia" w:ascii="仿宋" w:hAnsi="仿宋" w:eastAsia="仿宋"/>
          <w:b/>
          <w:bCs/>
          <w:sz w:val="32"/>
          <w:szCs w:val="32"/>
        </w:rPr>
        <w:t>卫生健康</w:t>
      </w:r>
      <w:r>
        <w:rPr>
          <w:rStyle w:val="14"/>
          <w:rFonts w:hint="eastAsia" w:ascii="仿宋" w:hAnsi="仿宋" w:eastAsia="仿宋"/>
          <w:bCs/>
          <w:sz w:val="32"/>
          <w:szCs w:val="32"/>
        </w:rPr>
        <w:t>（类）</w:t>
      </w:r>
      <w:r>
        <w:rPr>
          <w:rStyle w:val="14"/>
          <w:rFonts w:hint="eastAsia" w:ascii="仿宋" w:hAnsi="仿宋" w:eastAsia="仿宋"/>
          <w:bCs/>
          <w:sz w:val="32"/>
          <w:szCs w:val="32"/>
          <w:lang w:val="en-US" w:eastAsia="zh-CN"/>
        </w:rPr>
        <w:t>行政事业单位医疗</w:t>
      </w:r>
      <w:r>
        <w:rPr>
          <w:rStyle w:val="14"/>
          <w:rFonts w:hint="eastAsia" w:ascii="仿宋" w:hAnsi="仿宋" w:eastAsia="仿宋"/>
          <w:bCs/>
          <w:sz w:val="32"/>
          <w:szCs w:val="32"/>
        </w:rPr>
        <w:t>（款）</w:t>
      </w:r>
      <w:r>
        <w:rPr>
          <w:rStyle w:val="14"/>
          <w:rFonts w:hint="eastAsia" w:ascii="仿宋" w:hAnsi="仿宋" w:eastAsia="仿宋"/>
          <w:bCs/>
          <w:sz w:val="32"/>
          <w:szCs w:val="32"/>
          <w:lang w:val="en-US" w:eastAsia="zh-CN"/>
        </w:rPr>
        <w:t>事业单位医疗</w:t>
      </w:r>
      <w:r>
        <w:rPr>
          <w:rStyle w:val="14"/>
          <w:rFonts w:hint="eastAsia" w:ascii="仿宋" w:hAnsi="仿宋" w:eastAsia="仿宋"/>
          <w:bCs/>
          <w:sz w:val="32"/>
          <w:szCs w:val="32"/>
        </w:rPr>
        <w:t>（项）</w:t>
      </w:r>
      <w:r>
        <w:rPr>
          <w:rStyle w:val="14"/>
          <w:rFonts w:ascii="仿宋" w:hAnsi="仿宋" w:eastAsia="仿宋"/>
          <w:bCs/>
          <w:sz w:val="32"/>
          <w:szCs w:val="32"/>
        </w:rPr>
        <w:t>:</w:t>
      </w:r>
      <w:r>
        <w:rPr>
          <w:rStyle w:val="14"/>
          <w:rFonts w:hint="eastAsia" w:ascii="仿宋" w:hAnsi="仿宋" w:eastAsia="仿宋"/>
          <w:b w:val="0"/>
          <w:bCs/>
          <w:sz w:val="32"/>
          <w:szCs w:val="32"/>
        </w:rPr>
        <w:t>支出决算为</w:t>
      </w:r>
      <w:r>
        <w:rPr>
          <w:rStyle w:val="14"/>
          <w:rFonts w:hint="eastAsia" w:ascii="仿宋" w:hAnsi="仿宋" w:eastAsia="仿宋"/>
          <w:b w:val="0"/>
          <w:bCs/>
          <w:sz w:val="32"/>
          <w:szCs w:val="32"/>
          <w:lang w:val="en-US" w:eastAsia="zh-CN"/>
        </w:rPr>
        <w:t>3.65</w:t>
      </w:r>
      <w:r>
        <w:rPr>
          <w:rStyle w:val="14"/>
          <w:rFonts w:hint="eastAsia" w:ascii="仿宋" w:hAnsi="仿宋" w:eastAsia="仿宋"/>
          <w:b w:val="0"/>
          <w:bCs/>
          <w:sz w:val="32"/>
          <w:szCs w:val="32"/>
        </w:rPr>
        <w:t>万元，完成预算</w:t>
      </w:r>
      <w:r>
        <w:rPr>
          <w:rStyle w:val="14"/>
          <w:rFonts w:hint="eastAsia" w:ascii="仿宋" w:hAnsi="仿宋" w:eastAsia="仿宋"/>
          <w:b w:val="0"/>
          <w:bCs/>
          <w:sz w:val="32"/>
          <w:szCs w:val="32"/>
          <w:lang w:val="en-US" w:eastAsia="zh-CN"/>
        </w:rPr>
        <w:t>100</w:t>
      </w:r>
      <w:r>
        <w:rPr>
          <w:rStyle w:val="14"/>
          <w:rFonts w:ascii="仿宋" w:hAnsi="仿宋" w:eastAsia="仿宋"/>
          <w:b w:val="0"/>
          <w:bCs/>
          <w:sz w:val="32"/>
          <w:szCs w:val="32"/>
        </w:rPr>
        <w:t>%</w:t>
      </w:r>
      <w:r>
        <w:rPr>
          <w:rFonts w:hint="eastAsia" w:ascii="仿宋" w:hAnsi="仿宋" w:eastAsia="仿宋" w:cs="仿宋"/>
          <w:color w:val="000000"/>
          <w:kern w:val="0"/>
          <w:sz w:val="32"/>
          <w:szCs w:val="32"/>
          <w:lang w:val="en-US" w:eastAsia="zh-CN" w:bidi="ar"/>
        </w:rPr>
        <w:t>，决算数等于预算数</w:t>
      </w:r>
      <w:r>
        <w:rPr>
          <w:rStyle w:val="14"/>
          <w:rFonts w:hint="eastAsia" w:ascii="仿宋" w:hAnsi="仿宋" w:eastAsia="仿宋"/>
          <w:b w:val="0"/>
          <w:bCs/>
          <w:sz w:val="32"/>
          <w:szCs w:val="32"/>
        </w:rPr>
        <w:t>。</w:t>
      </w:r>
    </w:p>
    <w:p>
      <w:pPr>
        <w:keepNext w:val="0"/>
        <w:keepLines w:val="0"/>
        <w:pageBreakBefore w:val="0"/>
        <w:widowControl/>
        <w:suppressLineNumbers w:val="0"/>
        <w:kinsoku/>
        <w:wordWrap/>
        <w:overflowPunct/>
        <w:topLinePunct w:val="0"/>
        <w:autoSpaceDE/>
        <w:autoSpaceDN/>
        <w:bidi w:val="0"/>
        <w:adjustRightInd/>
        <w:snapToGrid/>
        <w:spacing w:line="520" w:lineRule="exact"/>
        <w:ind w:firstLine="643" w:firstLineChars="200"/>
        <w:jc w:val="left"/>
        <w:textAlignment w:val="auto"/>
        <w:rPr>
          <w:sz w:val="32"/>
          <w:szCs w:val="32"/>
        </w:rPr>
      </w:pPr>
      <w:r>
        <w:rPr>
          <w:rFonts w:hint="eastAsia" w:ascii="仿宋" w:hAnsi="仿宋" w:eastAsia="仿宋" w:cs="仿宋"/>
          <w:b/>
          <w:bCs/>
          <w:color w:val="000000"/>
          <w:kern w:val="0"/>
          <w:sz w:val="32"/>
          <w:szCs w:val="32"/>
          <w:lang w:val="en-US" w:eastAsia="zh-CN" w:bidi="ar"/>
        </w:rPr>
        <w:t>4. 住房保障支出（类）住房改革支出（款）住房公积金（项）:</w:t>
      </w:r>
      <w:r>
        <w:rPr>
          <w:rFonts w:hint="eastAsia" w:ascii="仿宋" w:hAnsi="仿宋" w:eastAsia="仿宋" w:cs="仿宋"/>
          <w:color w:val="000000"/>
          <w:kern w:val="0"/>
          <w:sz w:val="32"/>
          <w:szCs w:val="32"/>
          <w:lang w:val="en-US" w:eastAsia="zh-CN" w:bidi="ar"/>
        </w:rPr>
        <w:t xml:space="preserve">支出决算为9.2万元，完成预算 100%，决算数等于预算数。 </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1-1表和财决08表，仅罗列本单位涉及的全部功能分类科目，至项级。上述“预算”口径为调整预算数。增减变动原因为决算数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和调整预算数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pPr>
        <w:spacing w:line="600" w:lineRule="exact"/>
        <w:ind w:firstLine="640"/>
        <w:rPr>
          <w:rFonts w:ascii="仿宋" w:hAnsi="仿宋" w:eastAsia="仿宋"/>
          <w:b/>
          <w:sz w:val="32"/>
          <w:szCs w:val="32"/>
        </w:rPr>
      </w:pPr>
    </w:p>
    <w:p>
      <w:pPr>
        <w:tabs>
          <w:tab w:val="right" w:pos="8306"/>
        </w:tabs>
        <w:spacing w:line="600" w:lineRule="exact"/>
        <w:ind w:firstLine="640"/>
        <w:outlineLvl w:val="1"/>
        <w:rPr>
          <w:rStyle w:val="25"/>
        </w:rPr>
      </w:pPr>
      <w:bookmarkStart w:id="34" w:name="_Toc15377214"/>
      <w:bookmarkStart w:id="35"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25"/>
          <w:rFonts w:hint="eastAsia" w:ascii="黑体" w:hAnsi="黑体" w:eastAsia="黑体"/>
          <w:b w:val="0"/>
        </w:rPr>
        <w:t>般公共预算财政拨款基本支出决算情况说明</w:t>
      </w:r>
      <w:bookmarkEnd w:id="34"/>
      <w:bookmarkEnd w:id="35"/>
      <w:r>
        <w:rPr>
          <w:rStyle w:val="25"/>
          <w:rFonts w:ascii="黑体" w:hAnsi="黑体" w:eastAsia="黑体"/>
          <w:b w:val="0"/>
        </w:rPr>
        <w:tab/>
      </w:r>
    </w:p>
    <w:p>
      <w:pPr>
        <w:spacing w:line="600" w:lineRule="exact"/>
        <w:ind w:firstLine="645"/>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21年一般公共预算财政拨款基本支出</w:t>
      </w:r>
      <w:r>
        <w:rPr>
          <w:rFonts w:hint="eastAsia" w:ascii="仿宋" w:hAnsi="仿宋" w:eastAsia="仿宋"/>
          <w:sz w:val="32"/>
          <w:szCs w:val="32"/>
          <w:lang w:val="en-US" w:eastAsia="zh-CN"/>
        </w:rPr>
        <w:t>119.84</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111.49</w:t>
      </w:r>
      <w:r>
        <w:rPr>
          <w:rFonts w:hint="eastAsia" w:ascii="仿宋" w:hAnsi="仿宋" w:eastAsia="仿宋"/>
          <w:sz w:val="32"/>
          <w:szCs w:val="32"/>
        </w:rPr>
        <w:t>万元，主要包括：基本工资、津贴补贴、伙食补助费、绩效工资、机关事业单位基本养老保险缴费、职业年金缴费、</w:t>
      </w:r>
      <w:r>
        <w:rPr>
          <w:rFonts w:hint="eastAsia" w:ascii="仿宋" w:hAnsi="仿宋" w:eastAsia="仿宋"/>
          <w:sz w:val="32"/>
          <w:szCs w:val="32"/>
          <w:lang w:val="en-US" w:eastAsia="zh-CN"/>
        </w:rPr>
        <w:t>职工基本医疗缴费、</w:t>
      </w:r>
      <w:r>
        <w:rPr>
          <w:rFonts w:hint="eastAsia" w:ascii="仿宋" w:hAnsi="仿宋" w:eastAsia="仿宋"/>
          <w:sz w:val="32"/>
          <w:szCs w:val="32"/>
        </w:rPr>
        <w:t>其他社会保障缴费、奖励金、住房公积金、其他对个人和家庭的补助支出等。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8.35</w:t>
      </w:r>
      <w:r>
        <w:rPr>
          <w:rFonts w:hint="eastAsia" w:ascii="仿宋" w:hAnsi="仿宋" w:eastAsia="仿宋"/>
          <w:sz w:val="32"/>
          <w:szCs w:val="32"/>
        </w:rPr>
        <w:t>万元，主要包括：办公费、水费、电费、邮电费、物业管理费、差旅费、维修（护）费、工会经费、福利费、其他商品和服务支出。</w:t>
      </w:r>
    </w:p>
    <w:p>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7表和财决08-1表，仅罗列本单位实际支出涉及的经济分类科目。）</w:t>
      </w:r>
    </w:p>
    <w:p>
      <w:pPr>
        <w:spacing w:line="600" w:lineRule="exact"/>
        <w:ind w:firstLine="640"/>
        <w:rPr>
          <w:rFonts w:ascii="仿宋" w:hAnsi="仿宋" w:eastAsia="仿宋"/>
          <w:b/>
          <w:sz w:val="32"/>
          <w:szCs w:val="32"/>
        </w:rPr>
      </w:pPr>
    </w:p>
    <w:p>
      <w:pPr>
        <w:spacing w:line="600" w:lineRule="exact"/>
        <w:ind w:firstLine="640"/>
        <w:outlineLvl w:val="1"/>
        <w:rPr>
          <w:rStyle w:val="25"/>
          <w:rFonts w:ascii="黑体" w:hAnsi="黑体" w:eastAsia="黑体"/>
          <w:b w:val="0"/>
        </w:rPr>
      </w:pPr>
      <w:bookmarkStart w:id="36" w:name="_Toc15377215"/>
      <w:bookmarkStart w:id="37" w:name="_Toc15396609"/>
      <w:r>
        <w:rPr>
          <w:rFonts w:hint="eastAsia" w:ascii="黑体" w:eastAsia="黑体"/>
          <w:sz w:val="32"/>
          <w:szCs w:val="32"/>
        </w:rPr>
        <w:t>七、</w:t>
      </w:r>
      <w:r>
        <w:rPr>
          <w:rStyle w:val="25"/>
          <w:rFonts w:hint="eastAsia" w:ascii="黑体" w:hAnsi="黑体" w:eastAsia="黑体"/>
        </w:rPr>
        <w:t>“</w:t>
      </w:r>
      <w:r>
        <w:rPr>
          <w:rStyle w:val="25"/>
          <w:rFonts w:hint="eastAsia" w:ascii="黑体" w:hAnsi="黑体" w:eastAsia="黑体"/>
          <w:b w:val="0"/>
        </w:rPr>
        <w:t>三公”经费财政拨款支出决算情况说明</w:t>
      </w:r>
      <w:bookmarkEnd w:id="36"/>
      <w:bookmarkEnd w:id="37"/>
    </w:p>
    <w:p>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21年“三公”经费财政拨款支出决算为</w:t>
      </w:r>
      <w:r>
        <w:rPr>
          <w:rFonts w:hint="eastAsia" w:ascii="仿宋" w:hAnsi="仿宋" w:eastAsia="仿宋"/>
          <w:sz w:val="32"/>
          <w:szCs w:val="32"/>
          <w:lang w:val="en-US" w:eastAsia="zh-CN"/>
        </w:rPr>
        <w:t>0</w:t>
      </w:r>
      <w:r>
        <w:rPr>
          <w:rFonts w:hint="eastAsia" w:ascii="仿宋" w:hAnsi="仿宋" w:eastAsia="仿宋"/>
          <w:sz w:val="32"/>
          <w:szCs w:val="32"/>
        </w:rPr>
        <w:t>万元，完成预算</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，与预算数持平。</w:t>
      </w:r>
    </w:p>
    <w:p>
      <w:pPr>
        <w:spacing w:line="600" w:lineRule="exact"/>
        <w:ind w:firstLine="640"/>
        <w:rPr>
          <w:rFonts w:ascii="仿宋" w:hAnsi="仿宋" w:eastAsia="仿宋"/>
          <w:b/>
          <w:sz w:val="32"/>
          <w:szCs w:val="32"/>
        </w:rPr>
      </w:pPr>
      <w:r>
        <w:rPr>
          <w:rFonts w:hint="eastAsia" w:ascii="仿宋" w:hAnsi="仿宋" w:eastAsia="仿宋"/>
          <w:b/>
          <w:sz w:val="32"/>
          <w:szCs w:val="32"/>
        </w:rPr>
        <w:t>（注：上述“预算”口径为调整预算数，包括一般公共预算和政府性基金预算财政拨款支出决算情况。）</w:t>
      </w:r>
    </w:p>
    <w:p>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pPr>
        <w:spacing w:line="600" w:lineRule="exact"/>
        <w:ind w:firstLine="640"/>
        <w:rPr>
          <w:rFonts w:ascii="仿宋" w:hAnsi="仿宋" w:eastAsia="仿宋"/>
          <w:sz w:val="32"/>
          <w:szCs w:val="32"/>
        </w:rPr>
      </w:pPr>
      <w:r>
        <w:rPr>
          <w:rFonts w:ascii="仿宋" w:hAnsi="仿宋" w:eastAsia="仿宋"/>
          <w:sz w:val="32"/>
          <w:szCs w:val="32"/>
        </w:rPr>
        <w:t>20</w:t>
      </w:r>
      <w:r>
        <w:rPr>
          <w:rFonts w:hint="eastAsia" w:ascii="仿宋" w:hAnsi="仿宋" w:eastAsia="仿宋"/>
          <w:sz w:val="32"/>
          <w:szCs w:val="32"/>
        </w:rPr>
        <w:t>21年“三公”经费财政拨款支出决算中，因公出国（境）费支出决算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万元；公务用车购置及运行维护费支出决算</w:t>
      </w:r>
      <w:r>
        <w:rPr>
          <w:rFonts w:hint="eastAsia" w:ascii="仿宋" w:hAnsi="仿宋" w:eastAsia="仿宋"/>
          <w:sz w:val="32"/>
          <w:szCs w:val="32"/>
          <w:lang w:val="en-US" w:eastAsia="zh-CN"/>
        </w:rPr>
        <w:t>0</w:t>
      </w:r>
      <w:r>
        <w:rPr>
          <w:rFonts w:hint="eastAsia" w:ascii="仿宋" w:hAnsi="仿宋" w:eastAsia="仿宋"/>
          <w:sz w:val="32"/>
          <w:szCs w:val="32"/>
        </w:rPr>
        <w:t>万元；公务接待费支出决算</w:t>
      </w:r>
      <w:r>
        <w:rPr>
          <w:rFonts w:hint="eastAsia" w:ascii="仿宋" w:hAnsi="仿宋" w:eastAsia="仿宋"/>
          <w:sz w:val="32"/>
          <w:szCs w:val="32"/>
          <w:lang w:val="en-US" w:eastAsia="zh-CN"/>
        </w:rPr>
        <w:t>0</w:t>
      </w:r>
      <w:r>
        <w:rPr>
          <w:rFonts w:hint="eastAsia" w:ascii="仿宋" w:hAnsi="仿宋" w:eastAsia="仿宋"/>
          <w:sz w:val="32"/>
          <w:szCs w:val="32"/>
        </w:rPr>
        <w:t>万元。具体情况如下：</w:t>
      </w:r>
    </w:p>
    <w:p>
      <w:pPr>
        <w:pStyle w:val="2"/>
        <w:rPr>
          <w:rFonts w:hint="eastAsia"/>
        </w:rPr>
      </w:pPr>
      <w:r>
        <w:drawing>
          <wp:inline distT="0" distB="0" distL="114300" distR="114300">
            <wp:extent cx="4700270" cy="2606675"/>
            <wp:effectExtent l="38735" t="18415" r="46355" b="72390"/>
            <wp:docPr id="1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14"/>
          <w:rFonts w:hint="eastAsia" w:ascii="仿宋" w:hAnsi="仿宋" w:eastAsia="仿宋"/>
          <w:b w:val="0"/>
          <w:bCs/>
          <w:sz w:val="32"/>
          <w:szCs w:val="32"/>
          <w:lang w:val="en-US" w:eastAsia="zh-CN"/>
        </w:rPr>
        <w:t>与</w:t>
      </w:r>
      <w:r>
        <w:rPr>
          <w:rFonts w:ascii="仿宋_GB2312" w:eastAsia="仿宋_GB2312"/>
          <w:sz w:val="32"/>
          <w:szCs w:val="32"/>
        </w:rPr>
        <w:t>20</w:t>
      </w:r>
      <w:r>
        <w:rPr>
          <w:rFonts w:hint="eastAsia" w:ascii="仿宋_GB2312" w:eastAsia="仿宋_GB2312"/>
          <w:sz w:val="32"/>
          <w:szCs w:val="32"/>
        </w:rPr>
        <w:t>20年</w:t>
      </w:r>
      <w:r>
        <w:rPr>
          <w:rFonts w:hint="eastAsia" w:ascii="仿宋_GB2312" w:eastAsia="仿宋_GB2312"/>
          <w:sz w:val="32"/>
          <w:szCs w:val="32"/>
          <w:lang w:val="en-US" w:eastAsia="zh-CN"/>
        </w:rPr>
        <w:t>相比无变化</w:t>
      </w:r>
      <w:r>
        <w:rPr>
          <w:rFonts w:hint="eastAsia" w:ascii="仿宋_GB2312" w:eastAsia="仿宋_GB2312"/>
          <w:sz w:val="32"/>
          <w:szCs w:val="32"/>
        </w:rPr>
        <w:t>。</w:t>
      </w:r>
    </w:p>
    <w:p>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与</w:t>
      </w:r>
      <w:r>
        <w:rPr>
          <w:rFonts w:ascii="仿宋_GB2312" w:eastAsia="仿宋_GB2312"/>
          <w:sz w:val="32"/>
          <w:szCs w:val="32"/>
        </w:rPr>
        <w:t>20</w:t>
      </w:r>
      <w:r>
        <w:rPr>
          <w:rFonts w:hint="eastAsia" w:ascii="仿宋_GB2312" w:eastAsia="仿宋_GB2312"/>
          <w:sz w:val="32"/>
          <w:szCs w:val="32"/>
        </w:rPr>
        <w:t>20年</w:t>
      </w:r>
      <w:r>
        <w:rPr>
          <w:rFonts w:hint="eastAsia" w:ascii="仿宋_GB2312" w:eastAsia="仿宋_GB2312"/>
          <w:sz w:val="32"/>
          <w:szCs w:val="32"/>
          <w:lang w:val="en-US" w:eastAsia="zh-CN"/>
        </w:rPr>
        <w:t>相比无变化</w:t>
      </w:r>
      <w:r>
        <w:rPr>
          <w:rFonts w:hint="eastAsia" w:ascii="仿宋_GB2312" w:eastAsia="仿宋_GB2312"/>
          <w:sz w:val="32"/>
          <w:szCs w:val="32"/>
        </w:rPr>
        <w:t>。</w:t>
      </w:r>
    </w:p>
    <w:p>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与</w:t>
      </w:r>
      <w:r>
        <w:rPr>
          <w:rFonts w:ascii="仿宋_GB2312" w:eastAsia="仿宋_GB2312"/>
          <w:sz w:val="32"/>
          <w:szCs w:val="32"/>
        </w:rPr>
        <w:t>20</w:t>
      </w:r>
      <w:r>
        <w:rPr>
          <w:rFonts w:hint="eastAsia" w:ascii="仿宋_GB2312" w:eastAsia="仿宋_GB2312"/>
          <w:sz w:val="32"/>
          <w:szCs w:val="32"/>
        </w:rPr>
        <w:t>20年</w:t>
      </w:r>
      <w:r>
        <w:rPr>
          <w:rFonts w:hint="eastAsia" w:ascii="仿宋_GB2312" w:eastAsia="仿宋_GB2312"/>
          <w:sz w:val="32"/>
          <w:szCs w:val="32"/>
          <w:lang w:val="en-US" w:eastAsia="zh-CN"/>
        </w:rPr>
        <w:t>相比无变化</w:t>
      </w:r>
      <w:r>
        <w:rPr>
          <w:rFonts w:hint="eastAsia" w:ascii="仿宋_GB2312" w:eastAsia="仿宋_GB2312"/>
          <w:sz w:val="32"/>
          <w:szCs w:val="32"/>
        </w:rPr>
        <w:t>。其中：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lang w:val="en-US" w:eastAsia="zh-CN"/>
        </w:rPr>
        <w:t>0</w:t>
      </w:r>
      <w:r>
        <w:rPr>
          <w:rFonts w:hint="eastAsia" w:ascii="仿宋_GB2312" w:eastAsia="仿宋_GB2312"/>
          <w:sz w:val="32"/>
          <w:szCs w:val="32"/>
        </w:rPr>
        <w:t>万元。</w:t>
      </w:r>
    </w:p>
    <w:p>
      <w:pPr>
        <w:spacing w:line="600" w:lineRule="exact"/>
        <w:ind w:firstLine="643" w:firstLineChars="200"/>
        <w:rPr>
          <w:rFonts w:hint="eastAsia" w:ascii="仿宋_GB2312" w:eastAsia="仿宋_GB2312"/>
          <w:sz w:val="32"/>
          <w:szCs w:val="32"/>
          <w:lang w:val="en-US" w:eastAsia="zh-CN"/>
        </w:rPr>
      </w:pPr>
      <w:r>
        <w:rPr>
          <w:rFonts w:hint="eastAsia" w:ascii="仿宋" w:hAnsi="仿宋" w:eastAsia="仿宋"/>
          <w:b/>
          <w:sz w:val="32"/>
          <w:szCs w:val="32"/>
        </w:rPr>
        <w:t>外事接待支出</w:t>
      </w:r>
      <w:r>
        <w:rPr>
          <w:rFonts w:hint="eastAsia" w:ascii="仿宋" w:hAnsi="仿宋" w:eastAsia="仿宋"/>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eastAsia="zh-CN"/>
        </w:rPr>
        <w:t>。</w:t>
      </w:r>
    </w:p>
    <w:p>
      <w:pPr>
        <w:spacing w:line="600" w:lineRule="exact"/>
        <w:ind w:firstLine="640"/>
        <w:outlineLvl w:val="1"/>
        <w:rPr>
          <w:rFonts w:ascii="黑体" w:eastAsia="黑体"/>
          <w:sz w:val="32"/>
          <w:szCs w:val="32"/>
        </w:rPr>
      </w:pPr>
      <w:bookmarkStart w:id="40" w:name="_Toc15377218"/>
      <w:bookmarkStart w:id="41" w:name="_Toc15396610"/>
    </w:p>
    <w:p>
      <w:pPr>
        <w:spacing w:line="600" w:lineRule="exact"/>
        <w:ind w:firstLine="640"/>
        <w:outlineLvl w:val="1"/>
        <w:rPr>
          <w:rStyle w:val="25"/>
          <w:rFonts w:ascii="黑体" w:hAnsi="黑体" w:eastAsia="黑体"/>
        </w:rPr>
      </w:pPr>
      <w:r>
        <w:rPr>
          <w:rFonts w:hint="eastAsia" w:ascii="黑体" w:eastAsia="黑体"/>
          <w:sz w:val="32"/>
          <w:szCs w:val="32"/>
        </w:rPr>
        <w:t>八、</w:t>
      </w:r>
      <w:r>
        <w:rPr>
          <w:rStyle w:val="25"/>
          <w:rFonts w:hint="eastAsia" w:ascii="黑体" w:hAnsi="黑体" w:eastAsia="黑体"/>
          <w:b w:val="0"/>
        </w:rPr>
        <w:t>政府性基金预算支出决算情况说明</w:t>
      </w:r>
      <w:bookmarkEnd w:id="40"/>
      <w:bookmarkEnd w:id="41"/>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21年政府性基金预算财政拨款支出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600" w:lineRule="exact"/>
        <w:ind w:firstLine="640"/>
        <w:rPr>
          <w:rFonts w:ascii="仿宋_GB2312" w:eastAsia="仿宋_GB2312"/>
          <w:sz w:val="32"/>
          <w:szCs w:val="32"/>
        </w:rPr>
      </w:pPr>
    </w:p>
    <w:p>
      <w:pPr>
        <w:numPr>
          <w:ilvl w:val="0"/>
          <w:numId w:val="3"/>
        </w:numPr>
        <w:spacing w:line="600" w:lineRule="exact"/>
        <w:ind w:firstLine="640"/>
        <w:outlineLvl w:val="1"/>
        <w:rPr>
          <w:rStyle w:val="25"/>
          <w:rFonts w:ascii="黑体" w:hAnsi="黑体" w:eastAsia="黑体"/>
          <w:b w:val="0"/>
        </w:rPr>
      </w:pPr>
      <w:bookmarkStart w:id="42" w:name="_Toc15396611"/>
      <w:bookmarkStart w:id="43" w:name="_Toc15377219"/>
      <w:r>
        <w:rPr>
          <w:rStyle w:val="25"/>
          <w:rFonts w:hint="eastAsia" w:ascii="黑体" w:hAnsi="黑体" w:eastAsia="黑体"/>
          <w:b w:val="0"/>
        </w:rPr>
        <w:t>国有资本经营预算支出决算情况说明</w:t>
      </w:r>
      <w:bookmarkEnd w:id="42"/>
      <w:bookmarkEnd w:id="43"/>
    </w:p>
    <w:p>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pPr>
        <w:spacing w:line="580" w:lineRule="exact"/>
        <w:jc w:val="center"/>
        <w:rPr>
          <w:rFonts w:ascii="方正小标宋简体" w:hAnsi="方正小标宋简体" w:eastAsia="方正小标宋简体" w:cs="方正小标宋简体"/>
          <w:sz w:val="44"/>
          <w:szCs w:val="44"/>
        </w:rPr>
      </w:pPr>
    </w:p>
    <w:p>
      <w:pPr>
        <w:numPr>
          <w:ilvl w:val="0"/>
          <w:numId w:val="3"/>
        </w:numPr>
        <w:spacing w:line="600" w:lineRule="exact"/>
        <w:ind w:firstLine="640"/>
        <w:outlineLvl w:val="1"/>
        <w:rPr>
          <w:rStyle w:val="25"/>
          <w:rFonts w:ascii="黑体" w:hAnsi="黑体" w:eastAsia="黑体"/>
          <w:b w:val="0"/>
        </w:rPr>
      </w:pPr>
      <w:bookmarkStart w:id="44" w:name="_Toc15396612"/>
      <w:bookmarkStart w:id="45" w:name="_Toc15377221"/>
      <w:r>
        <w:rPr>
          <w:rStyle w:val="25"/>
          <w:rFonts w:hint="eastAsia" w:ascii="黑体" w:hAnsi="黑体" w:eastAsia="黑体"/>
          <w:b w:val="0"/>
        </w:rPr>
        <w:t>其他重要事项的情况说明</w:t>
      </w:r>
      <w:bookmarkEnd w:id="44"/>
      <w:bookmarkEnd w:id="45"/>
    </w:p>
    <w:p>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pPr>
        <w:spacing w:line="600" w:lineRule="exact"/>
        <w:ind w:firstLine="640" w:firstLineChars="200"/>
        <w:rPr>
          <w:rFonts w:hint="eastAsia" w:ascii="仿宋" w:hAnsi="仿宋" w:eastAsia="仿宋" w:cs="仿宋"/>
          <w:color w:val="000000"/>
          <w:kern w:val="0"/>
          <w:sz w:val="32"/>
          <w:szCs w:val="32"/>
          <w:lang w:val="en-US" w:eastAsia="zh-CN" w:bidi="ar"/>
        </w:rPr>
      </w:pPr>
      <w:r>
        <w:rPr>
          <w:rFonts w:hint="eastAsia" w:ascii="仿宋" w:hAnsi="仿宋" w:eastAsia="仿宋" w:cs="仿宋"/>
          <w:color w:val="000000"/>
          <w:kern w:val="0"/>
          <w:sz w:val="32"/>
          <w:szCs w:val="32"/>
          <w:lang w:val="en-US" w:eastAsia="zh-CN" w:bidi="ar"/>
        </w:rPr>
        <w:t>2021年，机关运行经费支出0万元，与2020年决算数持平。</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21年，</w:t>
      </w:r>
      <w:r>
        <w:rPr>
          <w:rFonts w:hint="eastAsia" w:ascii="仿宋_GB2312" w:eastAsia="仿宋_GB2312"/>
          <w:sz w:val="32"/>
          <w:szCs w:val="32"/>
          <w:lang w:val="en-US" w:eastAsia="zh-CN"/>
        </w:rPr>
        <w:t>本单位</w:t>
      </w:r>
      <w:r>
        <w:rPr>
          <w:rFonts w:hint="eastAsia" w:ascii="仿宋_GB2312" w:eastAsia="仿宋_GB2312"/>
          <w:sz w:val="32"/>
          <w:szCs w:val="32"/>
        </w:rPr>
        <w:t>政府采购支出总额</w:t>
      </w:r>
      <w:r>
        <w:rPr>
          <w:rFonts w:hint="eastAsia" w:ascii="仿宋_GB2312" w:eastAsia="仿宋_GB2312"/>
          <w:sz w:val="32"/>
          <w:szCs w:val="32"/>
          <w:lang w:val="en-US" w:eastAsia="zh-CN"/>
        </w:rPr>
        <w:t>0.78</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0.78</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万元。主要用于</w:t>
      </w:r>
      <w:r>
        <w:rPr>
          <w:rFonts w:hint="eastAsia" w:ascii="仿宋_GB2312" w:eastAsia="仿宋_GB2312"/>
          <w:sz w:val="32"/>
          <w:szCs w:val="32"/>
          <w:lang w:val="en-US" w:eastAsia="zh-CN"/>
        </w:rPr>
        <w:t>消毒机和立式测温仪</w:t>
      </w:r>
      <w:r>
        <w:rPr>
          <w:rFonts w:hint="eastAsia" w:ascii="仿宋_GB2312" w:eastAsia="仿宋_GB2312"/>
          <w:sz w:val="32"/>
          <w:szCs w:val="32"/>
        </w:rPr>
        <w:t>。授予中小企业合同金额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21年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val="en-US" w:eastAsia="zh-CN"/>
        </w:rPr>
        <w:t>乐山市市中区学生发展中心</w:t>
      </w:r>
      <w:r>
        <w:rPr>
          <w:rFonts w:hint="eastAsia" w:ascii="仿宋_GB2312" w:eastAsia="仿宋_GB2312"/>
          <w:sz w:val="32"/>
          <w:szCs w:val="32"/>
        </w:rPr>
        <w:t>共有车辆</w:t>
      </w:r>
      <w:r>
        <w:rPr>
          <w:rFonts w:hint="eastAsia" w:ascii="仿宋_GB2312" w:eastAsia="仿宋_GB2312"/>
          <w:sz w:val="32"/>
          <w:szCs w:val="32"/>
          <w:lang w:val="en-US" w:eastAsia="zh-CN"/>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w:t>
      </w:r>
      <w:r>
        <w:rPr>
          <w:rFonts w:hint="eastAsia" w:ascii="仿宋_GB2312" w:eastAsia="仿宋_GB2312"/>
          <w:sz w:val="32"/>
          <w:szCs w:val="32"/>
          <w:lang w:eastAsia="zh-CN"/>
        </w:rPr>
        <w:t>、</w:t>
      </w:r>
      <w:r>
        <w:rPr>
          <w:rFonts w:hint="eastAsia" w:ascii="仿宋_GB2312" w:eastAsia="仿宋_GB2312"/>
          <w:sz w:val="32"/>
          <w:szCs w:val="32"/>
        </w:rPr>
        <w:t>单价</w:t>
      </w:r>
      <w:r>
        <w:rPr>
          <w:rFonts w:ascii="仿宋_GB2312" w:eastAsia="仿宋_GB2312"/>
          <w:sz w:val="32"/>
          <w:szCs w:val="32"/>
        </w:rPr>
        <w:t>50</w:t>
      </w:r>
      <w:r>
        <w:rPr>
          <w:rFonts w:hint="eastAsia" w:ascii="仿宋_GB2312" w:eastAsia="仿宋_GB2312"/>
          <w:sz w:val="32"/>
          <w:szCs w:val="32"/>
        </w:rPr>
        <w:t>万元以上通用设备</w:t>
      </w:r>
      <w:r>
        <w:rPr>
          <w:rFonts w:hint="eastAsia" w:ascii="仿宋_GB2312" w:eastAsia="仿宋_GB2312"/>
          <w:sz w:val="32"/>
          <w:szCs w:val="32"/>
          <w:lang w:val="en-US" w:eastAsia="zh-CN"/>
        </w:rPr>
        <w:t>0</w:t>
      </w:r>
      <w:r>
        <w:rPr>
          <w:rFonts w:hint="eastAsia" w:ascii="仿宋_GB2312" w:eastAsia="仿宋_GB2312"/>
          <w:sz w:val="32"/>
          <w:szCs w:val="32"/>
        </w:rPr>
        <w:t>台（套），单价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根据预算绩效管理要求，本单位在2021年度预算编制阶段，组织对</w:t>
      </w:r>
      <w:r>
        <w:rPr>
          <w:rFonts w:hint="eastAsia" w:ascii="仿宋_GB2312" w:hAnsi="仿宋_GB2312" w:eastAsia="仿宋_GB2312" w:cs="仿宋_GB2312"/>
          <w:sz w:val="32"/>
          <w:szCs w:val="32"/>
          <w:lang w:val="en-US" w:eastAsia="zh-CN"/>
        </w:rPr>
        <w:t>公益活动业务费、名师工作室等2</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个项目开展绩效监控，年终执行完毕后，对</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个项目开展了绩效自评，2021年特定目标类部门预算项目绩效目标自评表见附件（第四部分）。</w:t>
      </w:r>
    </w:p>
    <w:p>
      <w:pPr>
        <w:autoSpaceDE w:val="0"/>
        <w:autoSpaceDN w:val="0"/>
        <w:adjustRightInd w:val="0"/>
        <w:spacing w:line="600" w:lineRule="exact"/>
        <w:ind w:firstLine="643" w:firstLineChars="200"/>
        <w:rPr>
          <w:rFonts w:ascii="仿宋" w:hAnsi="仿宋" w:eastAsia="仿宋"/>
          <w:b/>
          <w:sz w:val="32"/>
          <w:szCs w:val="32"/>
        </w:rPr>
      </w:pPr>
      <w:r>
        <w:rPr>
          <w:rFonts w:hint="eastAsia" w:ascii="仿宋" w:hAnsi="仿宋" w:eastAsia="仿宋"/>
          <w:b/>
          <w:sz w:val="32"/>
          <w:szCs w:val="32"/>
        </w:rPr>
        <w:t>（注：单位</w:t>
      </w:r>
      <w:r>
        <w:rPr>
          <w:rFonts w:hint="eastAsia" w:ascii="仿宋_GB2312" w:hAnsi="仿宋_GB2312" w:eastAsia="仿宋_GB2312" w:cs="仿宋_GB2312"/>
          <w:b/>
          <w:sz w:val="32"/>
          <w:szCs w:val="32"/>
        </w:rPr>
        <w:t>2021年特定目标类部门预算项目绩效目标自评表为本部门2021年部门整体支出绩效评价报告中涉及本单位的附表</w:t>
      </w:r>
      <w:r>
        <w:rPr>
          <w:rFonts w:hint="eastAsia" w:ascii="仿宋" w:hAnsi="仿宋" w:eastAsia="仿宋"/>
          <w:b/>
          <w:sz w:val="32"/>
          <w:szCs w:val="32"/>
        </w:rPr>
        <w:t>）</w:t>
      </w:r>
    </w:p>
    <w:p>
      <w:pPr>
        <w:pStyle w:val="2"/>
        <w:spacing w:before="93"/>
        <w:rPr>
          <w:highlight w:val="yellow"/>
        </w:rPr>
      </w:pP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4"/>
        </w:numPr>
        <w:spacing w:line="600" w:lineRule="exact"/>
        <w:ind w:firstLine="660" w:firstLineChars="150"/>
        <w:jc w:val="center"/>
        <w:outlineLvl w:val="0"/>
        <w:rPr>
          <w:rStyle w:val="24"/>
          <w:rFonts w:ascii="黑体" w:hAnsi="黑体" w:eastAsia="黑体"/>
          <w:b w:val="0"/>
        </w:rPr>
      </w:pPr>
      <w:bookmarkStart w:id="49" w:name="_Toc15377225"/>
      <w:bookmarkStart w:id="50" w:name="_Toc15396613"/>
      <w:r>
        <w:rPr>
          <w:rFonts w:hint="eastAsia" w:ascii="黑体" w:hAnsi="黑体" w:eastAsia="黑体"/>
          <w:sz w:val="44"/>
          <w:szCs w:val="44"/>
        </w:rPr>
        <w:t>名</w:t>
      </w:r>
      <w:r>
        <w:rPr>
          <w:rStyle w:val="24"/>
          <w:rFonts w:hint="eastAsia" w:ascii="黑体" w:hAnsi="黑体" w:eastAsia="黑体"/>
          <w:b w:val="0"/>
        </w:rPr>
        <w:t>词解释</w:t>
      </w:r>
      <w:bookmarkEnd w:id="49"/>
      <w:bookmarkEnd w:id="50"/>
    </w:p>
    <w:p>
      <w:pPr>
        <w:spacing w:line="600" w:lineRule="exact"/>
        <w:jc w:val="left"/>
        <w:rPr>
          <w:rFonts w:ascii="宋体"/>
          <w:b/>
          <w:sz w:val="44"/>
          <w:szCs w:val="44"/>
        </w:rPr>
      </w:pP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事业收入：指事业单位开展专业业务活动及辅助活动取得的收入。如</w:t>
      </w:r>
      <w:r>
        <w:rPr>
          <w:rFonts w:hint="eastAsia" w:ascii="仿宋_GB2312" w:eastAsia="仿宋_GB2312"/>
          <w:color w:val="auto"/>
          <w:sz w:val="32"/>
          <w:szCs w:val="32"/>
          <w:lang w:val="en-US" w:eastAsia="zh-CN"/>
        </w:rPr>
        <w:t>根据国家有关文件批准的项和表准收取的培训费</w:t>
      </w:r>
      <w:r>
        <w:rPr>
          <w:rFonts w:hint="eastAsia" w:ascii="仿宋_GB2312" w:eastAsia="仿宋_GB2312"/>
          <w:color w:val="auto"/>
          <w:sz w:val="32"/>
          <w:szCs w:val="32"/>
        </w:rPr>
        <w:t>。</w:t>
      </w:r>
    </w:p>
    <w:p>
      <w:pPr>
        <w:pStyle w:val="22"/>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其他收入：指单位取得的除上述收入</w:t>
      </w:r>
      <w:r>
        <w:rPr>
          <w:rFonts w:ascii="Times New Roman" w:hAnsi="Times New Roman" w:eastAsia="仿宋_GB2312" w:cs="Times New Roman"/>
          <w:color w:val="auto"/>
          <w:sz w:val="32"/>
          <w:szCs w:val="32"/>
        </w:rPr>
        <w:t>“财政拨款收入”、“事业收入”</w:t>
      </w:r>
      <w:r>
        <w:rPr>
          <w:rFonts w:hint="eastAsia" w:ascii="仿宋_GB2312" w:eastAsia="仿宋_GB2312"/>
          <w:color w:val="auto"/>
          <w:sz w:val="32"/>
          <w:szCs w:val="32"/>
        </w:rPr>
        <w:t>以外的各项收入。主要是</w:t>
      </w:r>
      <w:r>
        <w:rPr>
          <w:rFonts w:hint="eastAsia" w:ascii="仿宋_GB2312" w:eastAsia="仿宋_GB2312"/>
          <w:color w:val="auto"/>
          <w:sz w:val="32"/>
          <w:szCs w:val="32"/>
          <w:lang w:val="en-US" w:eastAsia="zh-CN"/>
        </w:rPr>
        <w:t>捐赠收入、利息收入等</w:t>
      </w:r>
      <w:r>
        <w:rPr>
          <w:rFonts w:hint="eastAsia" w:ascii="仿宋_GB2312" w:eastAsia="仿宋_GB2312"/>
          <w:color w:val="auto"/>
          <w:sz w:val="32"/>
          <w:szCs w:val="32"/>
        </w:rPr>
        <w:t>。</w:t>
      </w:r>
      <w:r>
        <w:rPr>
          <w:rFonts w:ascii="仿宋_GB2312" w:eastAsia="仿宋_GB2312"/>
          <w:color w:val="auto"/>
          <w:sz w:val="32"/>
          <w:szCs w:val="32"/>
        </w:rPr>
        <w:t xml:space="preserve"> </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4</w:t>
      </w:r>
      <w:r>
        <w:rPr>
          <w:rFonts w:ascii="仿宋_GB2312" w:eastAsia="仿宋_GB2312"/>
          <w:color w:val="auto"/>
          <w:sz w:val="32"/>
          <w:szCs w:val="32"/>
        </w:rPr>
        <w:t>.</w:t>
      </w:r>
      <w:r>
        <w:rPr>
          <w:rFonts w:hint="eastAsia" w:ascii="仿宋_GB2312" w:eastAsia="仿宋_GB2312"/>
          <w:color w:val="auto"/>
          <w:sz w:val="32"/>
          <w:szCs w:val="32"/>
        </w:rPr>
        <w:t>使用非财政拨款结余：指事业单位使用以前年度积累的非财政拨款结余弥补当年收支差额的金额。</w:t>
      </w:r>
      <w:r>
        <w:rPr>
          <w:rFonts w:ascii="仿宋_GB2312" w:eastAsia="仿宋_GB2312"/>
          <w:color w:val="auto"/>
          <w:sz w:val="32"/>
          <w:szCs w:val="32"/>
        </w:rPr>
        <w:t xml:space="preserve"> </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5</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pPr>
        <w:pStyle w:val="22"/>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6</w:t>
      </w:r>
      <w:r>
        <w:rPr>
          <w:rFonts w:hint="eastAsia" w:ascii="仿宋_GB2312" w:eastAsia="仿宋_GB2312"/>
          <w:color w:val="auto"/>
          <w:sz w:val="32"/>
          <w:szCs w:val="32"/>
        </w:rPr>
        <w:t>、年末结转和结余：指单位按有关规定结转到下年或以后年度继续使用的资金。</w:t>
      </w:r>
    </w:p>
    <w:p>
      <w:pPr>
        <w:spacing w:line="600" w:lineRule="exact"/>
        <w:ind w:firstLine="640" w:firstLineChars="200"/>
        <w:rPr>
          <w:rFonts w:eastAsia="仿宋_GB2312"/>
          <w:color w:val="000000"/>
          <w:sz w:val="32"/>
          <w:szCs w:val="32"/>
        </w:rPr>
      </w:pPr>
      <w:r>
        <w:rPr>
          <w:rFonts w:hint="eastAsia" w:ascii="仿宋_GB2312" w:eastAsia="仿宋_GB2312"/>
          <w:sz w:val="32"/>
          <w:szCs w:val="32"/>
          <w:lang w:val="en-US" w:eastAsia="zh-CN"/>
        </w:rPr>
        <w:t>7</w:t>
      </w:r>
      <w:r>
        <w:rPr>
          <w:rFonts w:ascii="仿宋_GB2312" w:eastAsia="仿宋_GB2312"/>
          <w:sz w:val="32"/>
          <w:szCs w:val="32"/>
        </w:rPr>
        <w:t>.</w:t>
      </w:r>
      <w:r>
        <w:rPr>
          <w:rFonts w:eastAsia="仿宋_GB2312"/>
          <w:color w:val="000000"/>
          <w:sz w:val="32"/>
          <w:szCs w:val="32"/>
        </w:rPr>
        <w:t>教育（类）教育管理事务（款）其他教育管理事务支出（项）:指反映除上述项目以外其他用于教育管理事务方面的支出。</w:t>
      </w:r>
    </w:p>
    <w:p>
      <w:pPr>
        <w:ind w:firstLine="640" w:firstLineChars="200"/>
        <w:rPr>
          <w:rFonts w:ascii="仿宋_GB2312" w:eastAsia="仿宋_GB2312"/>
          <w:sz w:val="32"/>
          <w:szCs w:val="32"/>
        </w:rPr>
      </w:pPr>
      <w:r>
        <w:rPr>
          <w:rFonts w:hint="eastAsia" w:ascii="仿宋_GB2312" w:eastAsia="仿宋_GB2312"/>
          <w:sz w:val="32"/>
          <w:szCs w:val="32"/>
          <w:lang w:val="en-US" w:eastAsia="zh-CN"/>
        </w:rPr>
        <w:t>8</w:t>
      </w:r>
      <w:r>
        <w:rPr>
          <w:rFonts w:ascii="仿宋_GB2312" w:eastAsia="仿宋_GB2312"/>
          <w:sz w:val="32"/>
          <w:szCs w:val="32"/>
        </w:rPr>
        <w:t>.</w:t>
      </w:r>
      <w:r>
        <w:rPr>
          <w:rFonts w:eastAsia="仿宋_GB2312"/>
          <w:color w:val="000000"/>
          <w:sz w:val="32"/>
          <w:szCs w:val="32"/>
        </w:rPr>
        <w:t>教育（类）进修及培训（款）教师进修（项）:指反映教师进修、师资培训支出</w:t>
      </w:r>
    </w:p>
    <w:p>
      <w:pPr>
        <w:spacing w:line="600" w:lineRule="exact"/>
        <w:ind w:firstLine="640" w:firstLineChars="200"/>
        <w:rPr>
          <w:rFonts w:eastAsia="仿宋_GB2312"/>
          <w:color w:val="000000"/>
          <w:sz w:val="32"/>
          <w:szCs w:val="32"/>
        </w:rPr>
      </w:pPr>
      <w:r>
        <w:rPr>
          <w:rFonts w:eastAsia="仿宋_GB2312"/>
          <w:color w:val="000000"/>
          <w:sz w:val="32"/>
          <w:szCs w:val="32"/>
        </w:rPr>
        <w:t>9.教育（类）教育费附加安排的支出（款）农村中小学校舍建设（项）:指反映教育附加安排用于农村中小学校舍新建、改建、修缮和维护的支出。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0.教育（类）教育费附加安排的支出（款）农村中小学教学设施（项）:指教育费附加安排用于改善农村中小学教学设施和办学条件的支出。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1.教育（类）教育费附加安排的支出（款）城市中小学校舍建设（项）: 指反映教育附加安排用于城市中小学校舍新建、改建、修缮和维护的支出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2.教育（类）教育费附加安排的支出（款）城市中小学教学设施（项）:指教育费附加安排用于改善城市中小学教学设施和办学条件的支出。 </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13</w:t>
      </w:r>
      <w:r>
        <w:rPr>
          <w:rFonts w:eastAsia="仿宋_GB2312"/>
          <w:color w:val="000000"/>
          <w:sz w:val="32"/>
          <w:szCs w:val="32"/>
        </w:rPr>
        <w:t>.教育（类）教育费附加安排的支出（款）其他教育费附加安排的支出（项）:指反映除上述项目以外其他用于教育费附加安排方面的支出。 </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4.教育（类）其他教育支出（款）其他教育支出（项）:指其他用于教育方面的支出。 </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5.社会保障和就业（类）人力资源和社会保障管理事（款） 社会保险经办机构（项）:反映社会保险经办机构开展业务工作的支出。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6.社会保障和就业（类）行政事业单位离退休（款）未归口管理的行政单位离退休（项）:。指未实行归口管理的行政单位（包括实行公务员管理的事业单位）开支的离退休支出。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7.社会保障和就业（类）行政事业单位离退休（款）机关事业单位基本养老保险缴费支出（项）:指机关事业单位实施养老保险制度由单位缴纳的基本养老保险费支出。 </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w:t>
      </w:r>
      <w:r>
        <w:rPr>
          <w:rFonts w:eastAsia="仿宋_GB2312"/>
          <w:color w:val="000000"/>
          <w:sz w:val="32"/>
          <w:szCs w:val="32"/>
        </w:rPr>
        <w:t>8.社会保障和就业（类）行政事业单位离退休（款）其他行政事业单位离退休支出（项）:其他用于行政事业单位离退休方面的支出。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19</w:t>
      </w:r>
      <w:r>
        <w:rPr>
          <w:rFonts w:eastAsia="仿宋_GB2312"/>
          <w:color w:val="000000"/>
          <w:sz w:val="32"/>
          <w:szCs w:val="32"/>
        </w:rPr>
        <w:t>.社会保障和就业（类）抚恤（款）死亡抚恤（项）:指按规定用于烈士和牺牲、病故人员家属的一次性和定期抚恤金以及丧葬补助费。</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w:t>
      </w:r>
      <w:r>
        <w:rPr>
          <w:rFonts w:eastAsia="仿宋_GB2312"/>
          <w:color w:val="000000"/>
          <w:sz w:val="32"/>
          <w:szCs w:val="32"/>
        </w:rPr>
        <w:t>0.社会保障和就业（类）残疾人事业（款）其他残疾人事业支出（项）:反映其他用于残疾人事业方面的支出。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w:t>
      </w:r>
      <w:r>
        <w:rPr>
          <w:rFonts w:eastAsia="仿宋_GB2312"/>
          <w:color w:val="000000"/>
          <w:sz w:val="32"/>
          <w:szCs w:val="32"/>
        </w:rPr>
        <w:t>1.社会保障和就业（类）其他社会保障和就业支出（款）其他社会保障和就业支出（项）:指社会保障和就业方面的其他支出。 </w:t>
      </w:r>
    </w:p>
    <w:p>
      <w:pPr>
        <w:ind w:firstLine="640" w:firstLineChars="200"/>
        <w:rPr>
          <w:rFonts w:ascii="仿宋_GB2312" w:eastAsia="仿宋_GB2312"/>
          <w:sz w:val="32"/>
          <w:szCs w:val="32"/>
        </w:rPr>
      </w:pPr>
      <w:r>
        <w:rPr>
          <w:rFonts w:hint="eastAsia" w:eastAsia="仿宋_GB2312"/>
          <w:color w:val="000000"/>
          <w:sz w:val="32"/>
          <w:szCs w:val="32"/>
          <w:lang w:val="en-US" w:eastAsia="zh-CN"/>
        </w:rPr>
        <w:t>22</w:t>
      </w:r>
      <w:r>
        <w:rPr>
          <w:rFonts w:eastAsia="仿宋_GB2312"/>
          <w:color w:val="000000"/>
          <w:sz w:val="32"/>
          <w:szCs w:val="32"/>
        </w:rPr>
        <w:t>.医疗卫生与计划生育（类）医疗保障（款）事业单位医疗（项）:指财政部门集中安排的事业单位基本医疗保险缴费经费，未参加医疗保险的事业单位的公费医疗经费，按国家规定享受离休人员待遇人员的医疗经费。</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23</w:t>
      </w:r>
      <w:r>
        <w:rPr>
          <w:rFonts w:eastAsia="仿宋_GB2312"/>
          <w:color w:val="000000"/>
          <w:sz w:val="32"/>
          <w:szCs w:val="32"/>
        </w:rPr>
        <w:t>.住房保障（类）住房改革支出（款）住房公积金（项）:各单位按人力资源和社会保障部、财政部规定的基本工资和津贴补贴以及规定比例为职工缴纳的住房公积金。 </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24</w:t>
      </w:r>
      <w:r>
        <w:rPr>
          <w:rFonts w:eastAsia="仿宋_GB2312"/>
          <w:color w:val="000000"/>
          <w:sz w:val="32"/>
          <w:szCs w:val="32"/>
        </w:rPr>
        <w:t>.结余分配：指事业单位按规定提取的职工福利基金、事业基金和缴纳的所得税，以及建设单位按规定应交回的基本建设竣工项目结余资金。</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25</w:t>
      </w:r>
      <w:r>
        <w:rPr>
          <w:rFonts w:eastAsia="仿宋_GB2312"/>
          <w:color w:val="000000"/>
          <w:sz w:val="32"/>
          <w:szCs w:val="32"/>
        </w:rPr>
        <w:t>.年末结转和结余：指本年度或以前年度预算安排、因客观条件发生变化无法按原计划实施，需延迟到以后年度按有关规定继续使用的资金。</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26</w:t>
      </w:r>
      <w:r>
        <w:rPr>
          <w:rFonts w:eastAsia="仿宋_GB2312"/>
          <w:color w:val="000000"/>
          <w:sz w:val="32"/>
          <w:szCs w:val="32"/>
        </w:rPr>
        <w:t>.基本支出：指为保障机构正常运转、完成日常工作任务而发生的人员支出和公用支出。</w:t>
      </w:r>
    </w:p>
    <w:p>
      <w:pPr>
        <w:spacing w:line="600" w:lineRule="exact"/>
        <w:ind w:firstLine="640" w:firstLineChars="200"/>
        <w:rPr>
          <w:rFonts w:eastAsia="仿宋_GB2312"/>
          <w:color w:val="000000"/>
          <w:sz w:val="32"/>
          <w:szCs w:val="32"/>
        </w:rPr>
      </w:pPr>
      <w:r>
        <w:rPr>
          <w:rFonts w:hint="eastAsia" w:eastAsia="仿宋_GB2312"/>
          <w:color w:val="000000"/>
          <w:sz w:val="32"/>
          <w:szCs w:val="32"/>
          <w:lang w:val="en-US" w:eastAsia="zh-CN"/>
        </w:rPr>
        <w:t>27</w:t>
      </w:r>
      <w:r>
        <w:rPr>
          <w:rFonts w:eastAsia="仿宋_GB2312"/>
          <w:color w:val="000000"/>
          <w:sz w:val="32"/>
          <w:szCs w:val="32"/>
        </w:rPr>
        <w:t xml:space="preserve">.项目支出：指在基本支出之外为完成特定行政任务和事业发展目标所发生的支出。 </w:t>
      </w:r>
    </w:p>
    <w:p>
      <w:pPr>
        <w:pStyle w:val="22"/>
        <w:spacing w:line="600" w:lineRule="exact"/>
        <w:ind w:firstLine="640" w:firstLineChars="200"/>
        <w:rPr>
          <w:rFonts w:ascii="Times New Roman" w:hAnsi="Times New Roman" w:eastAsia="仿宋_GB2312" w:cs="Times New Roman"/>
          <w:sz w:val="32"/>
          <w:szCs w:val="32"/>
        </w:rPr>
      </w:pPr>
      <w:r>
        <w:rPr>
          <w:rFonts w:hint="eastAsia" w:eastAsia="仿宋_GB2312"/>
          <w:color w:val="000000"/>
          <w:sz w:val="32"/>
          <w:szCs w:val="32"/>
          <w:lang w:val="en-US" w:eastAsia="zh-CN"/>
        </w:rPr>
        <w:t>28</w:t>
      </w:r>
      <w:r>
        <w:rPr>
          <w:rFonts w:ascii="Times New Roman" w:hAnsi="Times New Roman" w:eastAsia="仿宋_GB2312" w:cs="Times New Roman"/>
          <w:sz w:val="32"/>
          <w:szCs w:val="32"/>
        </w:rPr>
        <w:t>.“三公”经费：纳入省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spacing w:line="600" w:lineRule="exact"/>
        <w:jc w:val="center"/>
        <w:outlineLvl w:val="0"/>
        <w:rPr>
          <w:rFonts w:hint="eastAsia" w:ascii="黑体" w:hAnsi="黑体" w:eastAsia="黑体"/>
          <w:sz w:val="44"/>
          <w:szCs w:val="44"/>
        </w:rPr>
      </w:pPr>
      <w:bookmarkStart w:id="51" w:name="_Toc15396614"/>
      <w:bookmarkStart w:id="52" w:name="_Toc15377226"/>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Fonts w:hint="eastAsia" w:ascii="黑体" w:hAnsi="黑体" w:eastAsia="黑体"/>
          <w:sz w:val="44"/>
          <w:szCs w:val="44"/>
        </w:rPr>
      </w:pPr>
    </w:p>
    <w:p>
      <w:pPr>
        <w:spacing w:line="600" w:lineRule="exact"/>
        <w:jc w:val="center"/>
        <w:outlineLvl w:val="0"/>
        <w:rPr>
          <w:rStyle w:val="24"/>
          <w:rFonts w:ascii="黑体" w:hAnsi="黑体" w:eastAsia="黑体"/>
          <w:b w:val="0"/>
        </w:rPr>
      </w:pPr>
      <w:r>
        <w:rPr>
          <w:rFonts w:hint="eastAsia" w:ascii="黑体" w:hAnsi="黑体" w:eastAsia="黑体"/>
          <w:sz w:val="44"/>
          <w:szCs w:val="44"/>
        </w:rPr>
        <w:t>第</w:t>
      </w:r>
      <w:r>
        <w:rPr>
          <w:rStyle w:val="24"/>
          <w:rFonts w:hint="eastAsia" w:ascii="黑体" w:hAnsi="黑体" w:eastAsia="黑体"/>
          <w:b w:val="0"/>
        </w:rPr>
        <w:t>四部分 附件</w:t>
      </w:r>
      <w:bookmarkEnd w:id="51"/>
    </w:p>
    <w:tbl>
      <w:tblPr>
        <w:tblStyle w:val="12"/>
        <w:tblpPr w:leftFromText="180" w:rightFromText="180" w:vertAnchor="text" w:horzAnchor="page" w:tblpX="1852" w:tblpY="578"/>
        <w:tblOverlap w:val="never"/>
        <w:tblW w:w="8810" w:type="dxa"/>
        <w:tblInd w:w="0" w:type="dxa"/>
        <w:tblLayout w:type="fixed"/>
        <w:tblCellMar>
          <w:top w:w="0" w:type="dxa"/>
          <w:left w:w="108" w:type="dxa"/>
          <w:bottom w:w="0" w:type="dxa"/>
          <w:right w:w="108" w:type="dxa"/>
        </w:tblCellMar>
      </w:tblPr>
      <w:tblGrid>
        <w:gridCol w:w="1126"/>
        <w:gridCol w:w="1004"/>
        <w:gridCol w:w="1670"/>
        <w:gridCol w:w="1752"/>
        <w:gridCol w:w="1224"/>
        <w:gridCol w:w="2034"/>
      </w:tblGrid>
      <w:tr>
        <w:tblPrEx>
          <w:tblCellMar>
            <w:top w:w="0" w:type="dxa"/>
            <w:left w:w="108" w:type="dxa"/>
            <w:bottom w:w="0" w:type="dxa"/>
            <w:right w:w="108" w:type="dxa"/>
          </w:tblCellMar>
        </w:tblPrEx>
        <w:trPr>
          <w:trHeight w:val="675" w:hRule="atLeast"/>
        </w:trPr>
        <w:tc>
          <w:tcPr>
            <w:tcW w:w="8810" w:type="dxa"/>
            <w:gridSpan w:val="6"/>
            <w:tcBorders>
              <w:top w:val="nil"/>
              <w:left w:val="nil"/>
              <w:bottom w:val="nil"/>
              <w:right w:val="nil"/>
            </w:tcBorders>
            <w:shd w:val="clear" w:color="auto" w:fill="auto"/>
            <w:vAlign w:val="center"/>
          </w:tcPr>
          <w:p>
            <w:pPr>
              <w:widowControl/>
              <w:jc w:val="center"/>
              <w:textAlignment w:val="center"/>
              <w:rPr>
                <w:rFonts w:hint="eastAsia" w:ascii="宋体" w:hAnsi="宋体" w:cs="宋体"/>
                <w:b/>
                <w:sz w:val="32"/>
                <w:szCs w:val="32"/>
              </w:rPr>
            </w:pPr>
            <w:r>
              <w:rPr>
                <w:rFonts w:hint="eastAsia" w:ascii="宋体" w:hAnsi="宋体" w:cs="宋体"/>
                <w:b/>
                <w:sz w:val="32"/>
                <w:szCs w:val="32"/>
              </w:rPr>
              <w:t>2021年特定目标类部门预算项目绩效目标自评</w:t>
            </w:r>
          </w:p>
          <w:p>
            <w:pPr>
              <w:keepNext w:val="0"/>
              <w:keepLines w:val="0"/>
              <w:widowControl/>
              <w:suppressLineNumbers w:val="0"/>
              <w:jc w:val="center"/>
              <w:rPr>
                <w:rFonts w:hint="eastAsia" w:ascii="宋体" w:hAnsi="宋体" w:cs="宋体"/>
                <w:b/>
                <w:sz w:val="32"/>
                <w:szCs w:val="32"/>
              </w:rPr>
            </w:pPr>
            <w:r>
              <w:rPr>
                <w:rFonts w:hint="eastAsia" w:ascii="宋体" w:hAnsi="宋体" w:eastAsia="宋体" w:cs="宋体"/>
                <w:b/>
                <w:bCs/>
                <w:color w:val="000000"/>
                <w:kern w:val="0"/>
                <w:sz w:val="31"/>
                <w:szCs w:val="31"/>
                <w:lang w:val="en-US" w:eastAsia="zh-CN" w:bidi="ar"/>
              </w:rPr>
              <w:t>（</w:t>
            </w:r>
            <w:r>
              <w:rPr>
                <w:rFonts w:hint="eastAsia" w:ascii="宋体" w:hAnsi="宋体" w:cs="宋体"/>
                <w:b/>
                <w:bCs/>
                <w:color w:val="000000"/>
                <w:kern w:val="0"/>
                <w:sz w:val="31"/>
                <w:szCs w:val="31"/>
                <w:lang w:val="en-US" w:eastAsia="zh-CN" w:bidi="ar"/>
              </w:rPr>
              <w:t>公益活动业务费</w:t>
            </w:r>
            <w:r>
              <w:rPr>
                <w:rFonts w:hint="eastAsia" w:ascii="宋体" w:hAnsi="宋体" w:eastAsia="宋体" w:cs="宋体"/>
                <w:b/>
                <w:bCs/>
                <w:color w:val="000000"/>
                <w:kern w:val="0"/>
                <w:sz w:val="31"/>
                <w:szCs w:val="31"/>
                <w:lang w:val="en-US" w:eastAsia="zh-CN" w:bidi="ar"/>
              </w:rPr>
              <w:t>）</w:t>
            </w:r>
          </w:p>
        </w:tc>
      </w:tr>
      <w:tr>
        <w:tblPrEx>
          <w:tblCellMar>
            <w:top w:w="0" w:type="dxa"/>
            <w:left w:w="108" w:type="dxa"/>
            <w:bottom w:w="0" w:type="dxa"/>
            <w:right w:w="108" w:type="dxa"/>
          </w:tblCellMar>
        </w:tblPrEx>
        <w:trPr>
          <w:trHeight w:val="509" w:hRule="atLeast"/>
        </w:trPr>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主管部门及代码</w:t>
            </w:r>
          </w:p>
        </w:tc>
        <w:tc>
          <w:tcPr>
            <w:tcW w:w="34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rPr>
                <w:rFonts w:hint="eastAsia" w:ascii="华文仿宋" w:hAnsi="华文仿宋" w:eastAsia="华文仿宋" w:cs="华文仿宋"/>
                <w:sz w:val="24"/>
                <w:szCs w:val="24"/>
              </w:rPr>
            </w:pPr>
            <w:r>
              <w:rPr>
                <w:rFonts w:hint="eastAsia" w:ascii="华文仿宋" w:hAnsi="华文仿宋" w:eastAsia="华文仿宋" w:cs="华文仿宋"/>
                <w:color w:val="000000"/>
                <w:kern w:val="0"/>
                <w:sz w:val="24"/>
                <w:szCs w:val="24"/>
                <w:lang w:val="en-US" w:eastAsia="zh-CN" w:bidi="ar"/>
              </w:rPr>
              <w:t>乐山市市中区教育局</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实施单位</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eastAsia="zh-CN"/>
              </w:rPr>
              <w:t>乐山市</w:t>
            </w:r>
            <w:r>
              <w:rPr>
                <w:rFonts w:hint="eastAsia" w:ascii="华文仿宋" w:hAnsi="华文仿宋" w:eastAsia="华文仿宋" w:cs="华文仿宋"/>
                <w:sz w:val="24"/>
                <w:szCs w:val="24"/>
                <w:lang w:val="en-US" w:eastAsia="zh-CN"/>
              </w:rPr>
              <w:t>市中区学生发展中心</w:t>
            </w:r>
          </w:p>
        </w:tc>
      </w:tr>
      <w:tr>
        <w:tblPrEx>
          <w:tblCellMar>
            <w:top w:w="0" w:type="dxa"/>
            <w:left w:w="108" w:type="dxa"/>
            <w:bottom w:w="0" w:type="dxa"/>
            <w:right w:w="108" w:type="dxa"/>
          </w:tblCellMar>
        </w:tblPrEx>
        <w:trPr>
          <w:trHeight w:val="436" w:hRule="atLeast"/>
        </w:trPr>
        <w:tc>
          <w:tcPr>
            <w:tcW w:w="21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rPr>
              <w:t>项目预算</w:t>
            </w:r>
          </w:p>
          <w:p>
            <w:pPr>
              <w:widowControl/>
              <w:spacing w:line="320" w:lineRule="exact"/>
              <w:jc w:val="center"/>
              <w:textAlignment w:val="center"/>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rPr>
              <w:t>执行情况</w:t>
            </w:r>
          </w:p>
          <w:p>
            <w:pPr>
              <w:widowControl/>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（万元）</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 xml:space="preserve"> 预算数：</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8.00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 xml:space="preserve"> 执行数：</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8.00</w:t>
            </w:r>
          </w:p>
        </w:tc>
      </w:tr>
      <w:tr>
        <w:tblPrEx>
          <w:tblCellMar>
            <w:top w:w="0" w:type="dxa"/>
            <w:left w:w="108" w:type="dxa"/>
            <w:bottom w:w="0" w:type="dxa"/>
            <w:right w:w="108" w:type="dxa"/>
          </w:tblCellMar>
        </w:tblPrEx>
        <w:trPr>
          <w:trHeight w:val="555" w:hRule="atLeast"/>
        </w:trPr>
        <w:tc>
          <w:tcPr>
            <w:tcW w:w="21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其中：</w:t>
            </w:r>
          </w:p>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财政拨款</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华文仿宋" w:hAnsi="华文仿宋" w:eastAsia="华文仿宋" w:cs="华文仿宋"/>
                <w:sz w:val="24"/>
                <w:szCs w:val="24"/>
                <w:lang w:val="en-US"/>
              </w:rPr>
            </w:pPr>
            <w:r>
              <w:rPr>
                <w:rFonts w:hint="eastAsia" w:ascii="华文仿宋" w:hAnsi="华文仿宋" w:eastAsia="华文仿宋" w:cs="华文仿宋"/>
                <w:sz w:val="24"/>
                <w:szCs w:val="24"/>
                <w:lang w:val="en-US" w:eastAsia="zh-CN"/>
              </w:rPr>
              <w:t>8.00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其中：</w:t>
            </w:r>
          </w:p>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财政拨款</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华文仿宋" w:hAnsi="华文仿宋" w:eastAsia="华文仿宋" w:cs="华文仿宋"/>
                <w:sz w:val="24"/>
                <w:szCs w:val="24"/>
                <w:lang w:val="en-US"/>
              </w:rPr>
            </w:pPr>
            <w:r>
              <w:rPr>
                <w:rFonts w:hint="eastAsia" w:ascii="华文仿宋" w:hAnsi="华文仿宋" w:eastAsia="华文仿宋" w:cs="华文仿宋"/>
                <w:sz w:val="24"/>
                <w:szCs w:val="24"/>
                <w:lang w:val="en-US" w:eastAsia="zh-CN"/>
              </w:rPr>
              <w:t>8.00</w:t>
            </w:r>
          </w:p>
        </w:tc>
      </w:tr>
      <w:tr>
        <w:tblPrEx>
          <w:tblCellMar>
            <w:top w:w="0" w:type="dxa"/>
            <w:left w:w="108" w:type="dxa"/>
            <w:bottom w:w="0" w:type="dxa"/>
            <w:right w:w="108" w:type="dxa"/>
          </w:tblCellMar>
        </w:tblPrEx>
        <w:trPr>
          <w:trHeight w:val="451" w:hRule="atLeast"/>
        </w:trPr>
        <w:tc>
          <w:tcPr>
            <w:tcW w:w="21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其他资金</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华文仿宋" w:hAnsi="华文仿宋" w:eastAsia="华文仿宋" w:cs="华文仿宋"/>
                <w:sz w:val="24"/>
                <w:szCs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其他资金</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华文仿宋" w:hAnsi="华文仿宋" w:eastAsia="华文仿宋" w:cs="华文仿宋"/>
                <w:sz w:val="24"/>
                <w:szCs w:val="24"/>
              </w:rPr>
            </w:pPr>
          </w:p>
        </w:tc>
      </w:tr>
      <w:tr>
        <w:tblPrEx>
          <w:tblCellMar>
            <w:top w:w="0" w:type="dxa"/>
            <w:left w:w="108" w:type="dxa"/>
            <w:bottom w:w="0" w:type="dxa"/>
            <w:right w:w="108" w:type="dxa"/>
          </w:tblCellMar>
        </w:tblPrEx>
        <w:trPr>
          <w:trHeight w:val="510" w:hRule="atLeast"/>
        </w:trPr>
        <w:tc>
          <w:tcPr>
            <w:tcW w:w="11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年度总体目标</w:t>
            </w:r>
          </w:p>
          <w:p>
            <w:pPr>
              <w:widowControl/>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完成情况</w:t>
            </w:r>
          </w:p>
        </w:tc>
        <w:tc>
          <w:tcPr>
            <w:tcW w:w="44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预期目标</w:t>
            </w:r>
          </w:p>
        </w:tc>
        <w:tc>
          <w:tcPr>
            <w:tcW w:w="3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目标实际完成情况</w:t>
            </w:r>
          </w:p>
        </w:tc>
      </w:tr>
      <w:tr>
        <w:tblPrEx>
          <w:tblCellMar>
            <w:top w:w="0" w:type="dxa"/>
            <w:left w:w="108" w:type="dxa"/>
            <w:bottom w:w="0" w:type="dxa"/>
            <w:right w:w="108" w:type="dxa"/>
          </w:tblCellMar>
        </w:tblPrEx>
        <w:trPr>
          <w:trHeight w:val="1317" w:hRule="atLeast"/>
        </w:trPr>
        <w:tc>
          <w:tcPr>
            <w:tcW w:w="11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华文仿宋" w:hAnsi="华文仿宋" w:eastAsia="华文仿宋" w:cs="华文仿宋"/>
                <w:sz w:val="24"/>
                <w:szCs w:val="24"/>
              </w:rPr>
            </w:pPr>
          </w:p>
        </w:tc>
        <w:tc>
          <w:tcPr>
            <w:tcW w:w="4426"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both"/>
              <w:textAlignment w:val="auto"/>
              <w:rPr>
                <w:rFonts w:hint="default" w:ascii="华文仿宋" w:hAnsi="华文仿宋" w:eastAsia="华文仿宋" w:cs="华文仿宋"/>
                <w:sz w:val="24"/>
                <w:szCs w:val="24"/>
                <w:lang w:val="en-US"/>
              </w:rPr>
            </w:pPr>
            <w:r>
              <w:rPr>
                <w:rFonts w:hint="eastAsia" w:ascii="仿宋_GB2312" w:hAnsi="仿宋_GB2312" w:eastAsia="仿宋_GB2312" w:cs="仿宋_GB2312"/>
                <w:color w:val="000000"/>
                <w:sz w:val="24"/>
                <w:lang w:val="en-US" w:eastAsia="zh-CN"/>
              </w:rPr>
              <w:t>全年完成《三江少年季刊》3期，每期5000册，共计1.5万册，开展了市中区中小学生贫困留守儿童送温暖活动，关爱了市中区中小学贫困留守儿童100名，支付2.4万元。</w:t>
            </w:r>
          </w:p>
        </w:tc>
        <w:tc>
          <w:tcPr>
            <w:tcW w:w="325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top"/>
              <w:rPr>
                <w:rFonts w:hint="default" w:ascii="华文仿宋" w:hAnsi="华文仿宋" w:eastAsia="华文仿宋" w:cs="华文仿宋"/>
                <w:sz w:val="24"/>
                <w:szCs w:val="24"/>
                <w:lang w:val="en-US" w:eastAsia="zh-CN"/>
              </w:rPr>
            </w:pPr>
            <w:r>
              <w:rPr>
                <w:rFonts w:hint="eastAsia" w:ascii="仿宋_GB2312" w:hAnsi="仿宋_GB2312" w:eastAsia="仿宋_GB2312" w:cs="仿宋_GB2312"/>
                <w:color w:val="000000"/>
                <w:sz w:val="24"/>
                <w:lang w:val="en-US" w:eastAsia="zh-CN"/>
              </w:rPr>
              <w:t>为市中区中小学生、教师提供文学创作的平台</w:t>
            </w:r>
          </w:p>
        </w:tc>
      </w:tr>
      <w:tr>
        <w:tblPrEx>
          <w:tblCellMar>
            <w:top w:w="0" w:type="dxa"/>
            <w:left w:w="108" w:type="dxa"/>
            <w:bottom w:w="0" w:type="dxa"/>
            <w:right w:w="108" w:type="dxa"/>
          </w:tblCellMar>
        </w:tblPrEx>
        <w:trPr>
          <w:trHeight w:val="693" w:hRule="atLeast"/>
        </w:trPr>
        <w:tc>
          <w:tcPr>
            <w:tcW w:w="112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年度绩效指标完成情况</w:t>
            </w:r>
          </w:p>
        </w:tc>
        <w:tc>
          <w:tcPr>
            <w:tcW w:w="10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一级</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二级</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三级</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预期</w:t>
            </w:r>
          </w:p>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指标值</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实际完成指标值</w:t>
            </w:r>
          </w:p>
        </w:tc>
      </w:tr>
      <w:tr>
        <w:tblPrEx>
          <w:tblCellMar>
            <w:top w:w="0" w:type="dxa"/>
            <w:left w:w="108" w:type="dxa"/>
            <w:bottom w:w="0" w:type="dxa"/>
            <w:right w:w="108" w:type="dxa"/>
          </w:tblCellMar>
        </w:tblPrEx>
        <w:trPr>
          <w:trHeight w:val="759" w:hRule="atLeast"/>
        </w:trPr>
        <w:tc>
          <w:tcPr>
            <w:tcW w:w="11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完成</w:t>
            </w:r>
          </w:p>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数量指标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21" w:leftChars="-10" w:right="-21" w:rightChars="-10"/>
              <w:jc w:val="center"/>
              <w:textAlignment w:val="auto"/>
              <w:rPr>
                <w:rFonts w:hint="default" w:ascii="华文仿宋" w:hAnsi="华文仿宋" w:eastAsia="华文仿宋" w:cs="华文仿宋"/>
                <w:sz w:val="24"/>
                <w:szCs w:val="24"/>
                <w:lang w:val="en-US"/>
              </w:rPr>
            </w:pPr>
            <w:r>
              <w:rPr>
                <w:rFonts w:hint="eastAsia" w:ascii="仿宋" w:hAnsi="仿宋" w:eastAsia="仿宋" w:cs="仿宋"/>
                <w:color w:val="000000"/>
                <w:kern w:val="0"/>
                <w:sz w:val="24"/>
                <w:szCs w:val="24"/>
                <w:lang w:val="en-US" w:eastAsia="zh-CN" w:bidi="ar"/>
              </w:rPr>
              <w:t>全年印刷</w:t>
            </w:r>
            <w:r>
              <w:rPr>
                <w:rFonts w:hint="eastAsia" w:ascii="仿宋_GB2312" w:hAnsi="仿宋_GB2312" w:eastAsia="仿宋_GB2312" w:cs="仿宋_GB2312"/>
                <w:color w:val="000000"/>
                <w:sz w:val="24"/>
                <w:szCs w:val="24"/>
                <w:lang w:val="en-US" w:eastAsia="zh-CN"/>
              </w:rPr>
              <w:t>《三江少年》季刊册数</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15000</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15000</w:t>
            </w:r>
          </w:p>
        </w:tc>
      </w:tr>
      <w:tr>
        <w:tblPrEx>
          <w:tblCellMar>
            <w:top w:w="0" w:type="dxa"/>
            <w:left w:w="108" w:type="dxa"/>
            <w:bottom w:w="0" w:type="dxa"/>
            <w:right w:w="108" w:type="dxa"/>
          </w:tblCellMar>
        </w:tblPrEx>
        <w:trPr>
          <w:trHeight w:val="415" w:hRule="atLeast"/>
        </w:trPr>
        <w:tc>
          <w:tcPr>
            <w:tcW w:w="11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质量指标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华文仿宋" w:hAnsi="华文仿宋" w:eastAsia="华文仿宋" w:cs="华文仿宋"/>
                <w:sz w:val="24"/>
                <w:szCs w:val="24"/>
              </w:rPr>
            </w:pPr>
            <w:r>
              <w:rPr>
                <w:rFonts w:hint="eastAsia" w:ascii="仿宋" w:hAnsi="仿宋" w:eastAsia="仿宋" w:cs="仿宋"/>
                <w:color w:val="000000"/>
                <w:kern w:val="0"/>
                <w:sz w:val="24"/>
                <w:szCs w:val="24"/>
                <w:lang w:val="en-US" w:eastAsia="zh-CN" w:bidi="ar"/>
              </w:rPr>
              <w:t>公益活动业务费支付准确率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100%</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100%</w:t>
            </w:r>
          </w:p>
        </w:tc>
      </w:tr>
      <w:tr>
        <w:tblPrEx>
          <w:tblCellMar>
            <w:top w:w="0" w:type="dxa"/>
            <w:left w:w="108" w:type="dxa"/>
            <w:bottom w:w="0" w:type="dxa"/>
            <w:right w:w="108" w:type="dxa"/>
          </w:tblCellMar>
        </w:tblPrEx>
        <w:trPr>
          <w:trHeight w:val="415" w:hRule="atLeast"/>
        </w:trPr>
        <w:tc>
          <w:tcPr>
            <w:tcW w:w="11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时效指标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jc w:val="center"/>
              <w:textAlignment w:val="auto"/>
              <w:rPr>
                <w:rFonts w:hint="default" w:ascii="华文仿宋" w:hAnsi="华文仿宋" w:eastAsia="华文仿宋" w:cs="华文仿宋"/>
                <w:sz w:val="24"/>
                <w:szCs w:val="24"/>
                <w:lang w:val="en-US"/>
              </w:rPr>
            </w:pPr>
            <w:r>
              <w:rPr>
                <w:rFonts w:hint="eastAsia" w:ascii="仿宋" w:hAnsi="仿宋" w:eastAsia="仿宋" w:cs="仿宋"/>
                <w:color w:val="000000"/>
                <w:kern w:val="0"/>
                <w:sz w:val="24"/>
                <w:szCs w:val="24"/>
                <w:lang w:val="en-US" w:eastAsia="zh-CN" w:bidi="ar"/>
              </w:rPr>
              <w:t>公益活动业务费支付及时率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100%</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100%</w:t>
            </w:r>
          </w:p>
        </w:tc>
      </w:tr>
      <w:tr>
        <w:tblPrEx>
          <w:tblCellMar>
            <w:top w:w="0" w:type="dxa"/>
            <w:left w:w="108" w:type="dxa"/>
            <w:bottom w:w="0" w:type="dxa"/>
            <w:right w:w="108" w:type="dxa"/>
          </w:tblCellMar>
        </w:tblPrEx>
        <w:trPr>
          <w:trHeight w:val="480" w:hRule="atLeast"/>
        </w:trPr>
        <w:tc>
          <w:tcPr>
            <w:tcW w:w="11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成本指标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42" w:leftChars="-20" w:right="-42" w:rightChars="-20"/>
              <w:jc w:val="center"/>
              <w:textAlignment w:val="auto"/>
              <w:rPr>
                <w:rFonts w:hint="default" w:ascii="华文仿宋" w:hAnsi="华文仿宋" w:eastAsia="华文仿宋" w:cs="华文仿宋"/>
                <w:sz w:val="24"/>
                <w:szCs w:val="24"/>
                <w:lang w:val="en-US"/>
              </w:rPr>
            </w:pPr>
            <w:r>
              <w:rPr>
                <w:rFonts w:hint="eastAsia" w:ascii="仿宋" w:hAnsi="仿宋" w:eastAsia="仿宋" w:cs="仿宋"/>
                <w:color w:val="000000"/>
                <w:kern w:val="0"/>
                <w:sz w:val="24"/>
                <w:szCs w:val="24"/>
                <w:lang w:val="en-US" w:eastAsia="zh-CN" w:bidi="ar"/>
              </w:rPr>
              <w:t>公益活动业务费总支出（万元）</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8</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8</w:t>
            </w:r>
          </w:p>
        </w:tc>
      </w:tr>
      <w:tr>
        <w:tblPrEx>
          <w:tblCellMar>
            <w:top w:w="0" w:type="dxa"/>
            <w:left w:w="108" w:type="dxa"/>
            <w:bottom w:w="0" w:type="dxa"/>
            <w:right w:w="108" w:type="dxa"/>
          </w:tblCellMar>
        </w:tblPrEx>
        <w:trPr>
          <w:trHeight w:val="480" w:hRule="atLeast"/>
        </w:trPr>
        <w:tc>
          <w:tcPr>
            <w:tcW w:w="11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rPr>
              <w:t>效益</w:t>
            </w:r>
          </w:p>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经济效益  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r>
      <w:tr>
        <w:tblPrEx>
          <w:tblCellMar>
            <w:top w:w="0" w:type="dxa"/>
            <w:left w:w="108" w:type="dxa"/>
            <w:bottom w:w="0" w:type="dxa"/>
            <w:right w:w="108" w:type="dxa"/>
          </w:tblCellMar>
        </w:tblPrEx>
        <w:trPr>
          <w:trHeight w:val="480" w:hRule="atLeast"/>
        </w:trPr>
        <w:tc>
          <w:tcPr>
            <w:tcW w:w="11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社会效益  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42" w:leftChars="-20" w:right="-42" w:rightChars="-20"/>
              <w:jc w:val="center"/>
              <w:textAlignment w:val="auto"/>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受益学生覆盖人数（万人）</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3</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3</w:t>
            </w:r>
          </w:p>
        </w:tc>
      </w:tr>
      <w:tr>
        <w:tblPrEx>
          <w:tblCellMar>
            <w:top w:w="0" w:type="dxa"/>
            <w:left w:w="108" w:type="dxa"/>
            <w:bottom w:w="0" w:type="dxa"/>
            <w:right w:w="108" w:type="dxa"/>
          </w:tblCellMar>
        </w:tblPrEx>
        <w:trPr>
          <w:trHeight w:val="577" w:hRule="atLeast"/>
        </w:trPr>
        <w:tc>
          <w:tcPr>
            <w:tcW w:w="11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ind w:left="423" w:leftChars="87" w:hanging="240" w:hangingChars="100"/>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生态效益  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r>
      <w:tr>
        <w:tblPrEx>
          <w:tblCellMar>
            <w:top w:w="0" w:type="dxa"/>
            <w:left w:w="108" w:type="dxa"/>
            <w:bottom w:w="0" w:type="dxa"/>
            <w:right w:w="108" w:type="dxa"/>
          </w:tblCellMar>
        </w:tblPrEx>
        <w:trPr>
          <w:trHeight w:val="480" w:hRule="atLeast"/>
        </w:trPr>
        <w:tc>
          <w:tcPr>
            <w:tcW w:w="11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可持续影响 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r>
      <w:tr>
        <w:tblPrEx>
          <w:tblCellMar>
            <w:top w:w="0" w:type="dxa"/>
            <w:left w:w="108" w:type="dxa"/>
            <w:bottom w:w="0" w:type="dxa"/>
            <w:right w:w="108" w:type="dxa"/>
          </w:tblCellMar>
        </w:tblPrEx>
        <w:trPr>
          <w:trHeight w:val="530" w:hRule="atLeast"/>
        </w:trPr>
        <w:tc>
          <w:tcPr>
            <w:tcW w:w="112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rPr>
              <w:t>满意</w:t>
            </w:r>
          </w:p>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度指标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满意度</w:t>
            </w:r>
          </w:p>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师生</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华文仿宋" w:hAnsi="华文仿宋" w:eastAsia="华文仿宋" w:cs="华文仿宋"/>
                <w:sz w:val="24"/>
                <w:szCs w:val="24"/>
              </w:rPr>
            </w:pPr>
            <w:r>
              <w:rPr>
                <w:rFonts w:hint="eastAsia" w:ascii="仿宋" w:hAnsi="仿宋" w:eastAsia="仿宋" w:cs="仿宋"/>
                <w:color w:val="000000"/>
                <w:kern w:val="0"/>
                <w:sz w:val="24"/>
                <w:szCs w:val="24"/>
                <w:lang w:val="en-US" w:eastAsia="zh-CN" w:bidi="ar"/>
              </w:rPr>
              <w:t>满意度</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eastAsia="zh-CN"/>
              </w:rPr>
              <w:t>≥</w:t>
            </w:r>
            <w:r>
              <w:rPr>
                <w:rFonts w:hint="eastAsia" w:ascii="华文仿宋" w:hAnsi="华文仿宋" w:eastAsia="华文仿宋" w:cs="华文仿宋"/>
                <w:sz w:val="24"/>
                <w:szCs w:val="24"/>
                <w:lang w:val="en-US" w:eastAsia="zh-CN"/>
              </w:rPr>
              <w:t>95%</w:t>
            </w:r>
          </w:p>
        </w:tc>
        <w:tc>
          <w:tcPr>
            <w:tcW w:w="20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sz w:val="24"/>
                <w:szCs w:val="24"/>
                <w:lang w:eastAsia="zh-CN"/>
              </w:rPr>
              <w:t>≥</w:t>
            </w:r>
            <w:r>
              <w:rPr>
                <w:rFonts w:hint="eastAsia" w:ascii="华文仿宋" w:hAnsi="华文仿宋" w:eastAsia="华文仿宋" w:cs="华文仿宋"/>
                <w:sz w:val="24"/>
                <w:szCs w:val="24"/>
                <w:lang w:val="en-US" w:eastAsia="zh-CN"/>
              </w:rPr>
              <w:t>95%</w:t>
            </w:r>
          </w:p>
        </w:tc>
      </w:tr>
    </w:tbl>
    <w:p>
      <w:pPr>
        <w:spacing w:line="572" w:lineRule="exact"/>
        <w:jc w:val="left"/>
        <w:outlineLvl w:val="0"/>
        <w:rPr>
          <w:rFonts w:ascii="仿宋_GB2312" w:hAnsi="仿宋_GB2312" w:eastAsia="仿宋_GB2312" w:cs="仿宋_GB2312"/>
          <w:sz w:val="32"/>
          <w:szCs w:val="32"/>
        </w:rPr>
      </w:pPr>
      <w:r>
        <w:rPr>
          <w:rFonts w:hint="eastAsia" w:ascii="黑体" w:hAnsi="黑体" w:eastAsia="黑体" w:cs="黑体"/>
          <w:sz w:val="32"/>
          <w:szCs w:val="32"/>
        </w:rPr>
        <w:t>附件</w:t>
      </w:r>
    </w:p>
    <w:tbl>
      <w:tblPr>
        <w:tblStyle w:val="12"/>
        <w:tblpPr w:leftFromText="180" w:rightFromText="180" w:vertAnchor="text" w:horzAnchor="page" w:tblpX="1972" w:tblpY="-12223"/>
        <w:tblOverlap w:val="never"/>
        <w:tblW w:w="8500" w:type="dxa"/>
        <w:tblInd w:w="0" w:type="dxa"/>
        <w:tblLayout w:type="fixed"/>
        <w:tblCellMar>
          <w:top w:w="0" w:type="dxa"/>
          <w:left w:w="108" w:type="dxa"/>
          <w:bottom w:w="0" w:type="dxa"/>
          <w:right w:w="108" w:type="dxa"/>
        </w:tblCellMar>
      </w:tblPr>
      <w:tblGrid>
        <w:gridCol w:w="1026"/>
        <w:gridCol w:w="1004"/>
        <w:gridCol w:w="1670"/>
        <w:gridCol w:w="1752"/>
        <w:gridCol w:w="1224"/>
        <w:gridCol w:w="1824"/>
      </w:tblGrid>
      <w:tr>
        <w:tblPrEx>
          <w:tblCellMar>
            <w:top w:w="0" w:type="dxa"/>
            <w:left w:w="108" w:type="dxa"/>
            <w:bottom w:w="0" w:type="dxa"/>
            <w:right w:w="108" w:type="dxa"/>
          </w:tblCellMar>
        </w:tblPrEx>
        <w:trPr>
          <w:trHeight w:val="675" w:hRule="atLeast"/>
        </w:trPr>
        <w:tc>
          <w:tcPr>
            <w:tcW w:w="8500" w:type="dxa"/>
            <w:gridSpan w:val="6"/>
            <w:tcBorders>
              <w:top w:val="nil"/>
              <w:left w:val="nil"/>
              <w:bottom w:val="nil"/>
              <w:right w:val="nil"/>
            </w:tcBorders>
            <w:shd w:val="clear" w:color="auto" w:fill="auto"/>
            <w:vAlign w:val="center"/>
          </w:tcPr>
          <w:p>
            <w:pPr>
              <w:widowControl/>
              <w:jc w:val="center"/>
              <w:textAlignment w:val="center"/>
              <w:rPr>
                <w:rFonts w:hint="eastAsia" w:ascii="宋体" w:hAnsi="宋体" w:cs="宋体"/>
                <w:b/>
                <w:sz w:val="32"/>
                <w:szCs w:val="32"/>
              </w:rPr>
            </w:pPr>
            <w:bookmarkStart w:id="53" w:name="_Toc15396618"/>
            <w:r>
              <w:rPr>
                <w:rFonts w:hint="eastAsia" w:ascii="宋体" w:hAnsi="宋体" w:cs="宋体"/>
                <w:b/>
                <w:sz w:val="32"/>
                <w:szCs w:val="32"/>
              </w:rPr>
              <w:t>2021年特定目标类部门预算项目绩效目标自评</w:t>
            </w:r>
          </w:p>
          <w:p>
            <w:pPr>
              <w:keepNext w:val="0"/>
              <w:keepLines w:val="0"/>
              <w:widowControl/>
              <w:suppressLineNumbers w:val="0"/>
              <w:jc w:val="center"/>
              <w:rPr>
                <w:rFonts w:hint="eastAsia" w:ascii="宋体" w:hAnsi="宋体" w:cs="宋体"/>
                <w:b/>
                <w:sz w:val="32"/>
                <w:szCs w:val="32"/>
              </w:rPr>
            </w:pPr>
            <w:r>
              <w:rPr>
                <w:rFonts w:hint="eastAsia" w:ascii="宋体" w:hAnsi="宋体" w:eastAsia="宋体" w:cs="宋体"/>
                <w:b/>
                <w:bCs/>
                <w:color w:val="000000"/>
                <w:kern w:val="0"/>
                <w:sz w:val="31"/>
                <w:szCs w:val="31"/>
                <w:lang w:val="en-US" w:eastAsia="zh-CN" w:bidi="ar"/>
              </w:rPr>
              <w:t>（</w:t>
            </w:r>
            <w:r>
              <w:rPr>
                <w:rFonts w:hint="eastAsia" w:ascii="宋体" w:hAnsi="宋体" w:cs="宋体"/>
                <w:b/>
                <w:bCs/>
                <w:color w:val="000000"/>
                <w:kern w:val="0"/>
                <w:sz w:val="31"/>
                <w:szCs w:val="31"/>
                <w:lang w:val="en-US" w:eastAsia="zh-CN" w:bidi="ar"/>
              </w:rPr>
              <w:t>名师工作室</w:t>
            </w:r>
            <w:r>
              <w:rPr>
                <w:rFonts w:hint="eastAsia" w:ascii="宋体" w:hAnsi="宋体" w:eastAsia="宋体" w:cs="宋体"/>
                <w:b/>
                <w:bCs/>
                <w:color w:val="000000"/>
                <w:kern w:val="0"/>
                <w:sz w:val="31"/>
                <w:szCs w:val="31"/>
                <w:lang w:val="en-US" w:eastAsia="zh-CN" w:bidi="ar"/>
              </w:rPr>
              <w:t>）</w:t>
            </w:r>
          </w:p>
        </w:tc>
      </w:tr>
      <w:tr>
        <w:tblPrEx>
          <w:tblCellMar>
            <w:top w:w="0" w:type="dxa"/>
            <w:left w:w="108" w:type="dxa"/>
            <w:bottom w:w="0" w:type="dxa"/>
            <w:right w:w="108" w:type="dxa"/>
          </w:tblCellMar>
        </w:tblPrEx>
        <w:trPr>
          <w:trHeight w:val="509" w:hRule="atLeast"/>
        </w:trPr>
        <w:tc>
          <w:tcPr>
            <w:tcW w:w="20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主管部门及代码</w:t>
            </w:r>
          </w:p>
        </w:tc>
        <w:tc>
          <w:tcPr>
            <w:tcW w:w="34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rPr>
                <w:rFonts w:hint="eastAsia" w:ascii="华文仿宋" w:hAnsi="华文仿宋" w:eastAsia="华文仿宋" w:cs="华文仿宋"/>
                <w:sz w:val="24"/>
                <w:szCs w:val="24"/>
              </w:rPr>
            </w:pPr>
            <w:r>
              <w:rPr>
                <w:rFonts w:hint="eastAsia" w:ascii="华文仿宋" w:hAnsi="华文仿宋" w:eastAsia="华文仿宋" w:cs="华文仿宋"/>
                <w:color w:val="000000"/>
                <w:kern w:val="0"/>
                <w:sz w:val="24"/>
                <w:szCs w:val="24"/>
                <w:lang w:val="en-US" w:eastAsia="zh-CN" w:bidi="ar"/>
              </w:rPr>
              <w:t>乐山市市中区教育局</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实施单位</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center"/>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eastAsia="zh-CN"/>
              </w:rPr>
              <w:t>乐山市</w:t>
            </w:r>
            <w:r>
              <w:rPr>
                <w:rFonts w:hint="eastAsia" w:ascii="华文仿宋" w:hAnsi="华文仿宋" w:eastAsia="华文仿宋" w:cs="华文仿宋"/>
                <w:sz w:val="24"/>
                <w:szCs w:val="24"/>
                <w:lang w:val="en-US" w:eastAsia="zh-CN"/>
              </w:rPr>
              <w:t>市中区学生发展中心</w:t>
            </w:r>
          </w:p>
        </w:tc>
      </w:tr>
      <w:tr>
        <w:tblPrEx>
          <w:tblCellMar>
            <w:top w:w="0" w:type="dxa"/>
            <w:left w:w="108" w:type="dxa"/>
            <w:bottom w:w="0" w:type="dxa"/>
            <w:right w:w="108" w:type="dxa"/>
          </w:tblCellMar>
        </w:tblPrEx>
        <w:trPr>
          <w:trHeight w:val="436" w:hRule="atLeast"/>
        </w:trPr>
        <w:tc>
          <w:tcPr>
            <w:tcW w:w="203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rPr>
              <w:t>项目预算</w:t>
            </w:r>
          </w:p>
          <w:p>
            <w:pPr>
              <w:widowControl/>
              <w:spacing w:line="320" w:lineRule="exact"/>
              <w:jc w:val="center"/>
              <w:textAlignment w:val="center"/>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rPr>
              <w:t>执行情况</w:t>
            </w:r>
          </w:p>
          <w:p>
            <w:pPr>
              <w:widowControl/>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（万元）</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 xml:space="preserve"> 预算数：</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2.81</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 xml:space="preserve"> 执行数：</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2.81</w:t>
            </w:r>
          </w:p>
        </w:tc>
      </w:tr>
      <w:tr>
        <w:tblPrEx>
          <w:tblCellMar>
            <w:top w:w="0" w:type="dxa"/>
            <w:left w:w="108" w:type="dxa"/>
            <w:bottom w:w="0" w:type="dxa"/>
            <w:right w:w="108" w:type="dxa"/>
          </w:tblCellMar>
        </w:tblPrEx>
        <w:trPr>
          <w:trHeight w:val="555" w:hRule="atLeast"/>
        </w:trPr>
        <w:tc>
          <w:tcPr>
            <w:tcW w:w="2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其中：</w:t>
            </w:r>
          </w:p>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财政拨款</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华文仿宋" w:hAnsi="华文仿宋" w:eastAsia="华文仿宋" w:cs="华文仿宋"/>
                <w:sz w:val="24"/>
                <w:szCs w:val="24"/>
                <w:lang w:val="en-US"/>
              </w:rPr>
            </w:pPr>
            <w:r>
              <w:rPr>
                <w:rFonts w:hint="eastAsia" w:ascii="华文仿宋" w:hAnsi="华文仿宋" w:eastAsia="华文仿宋" w:cs="华文仿宋"/>
                <w:sz w:val="24"/>
                <w:szCs w:val="24"/>
                <w:lang w:val="en-US" w:eastAsia="zh-CN"/>
              </w:rPr>
              <w:t>2.81</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其中：</w:t>
            </w:r>
          </w:p>
          <w:p>
            <w:pPr>
              <w:keepNext w:val="0"/>
              <w:keepLines w:val="0"/>
              <w:pageBreakBefore w:val="0"/>
              <w:widowControl/>
              <w:kinsoku/>
              <w:wordWrap/>
              <w:overflowPunct/>
              <w:topLinePunct w:val="0"/>
              <w:autoSpaceDE/>
              <w:autoSpaceDN/>
              <w:bidi w:val="0"/>
              <w:adjustRightInd/>
              <w:snapToGrid/>
              <w:spacing w:line="28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财政拨款</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default" w:ascii="华文仿宋" w:hAnsi="华文仿宋" w:eastAsia="华文仿宋" w:cs="华文仿宋"/>
                <w:sz w:val="24"/>
                <w:szCs w:val="24"/>
                <w:lang w:val="en-US"/>
              </w:rPr>
            </w:pPr>
            <w:r>
              <w:rPr>
                <w:rFonts w:hint="eastAsia" w:ascii="华文仿宋" w:hAnsi="华文仿宋" w:eastAsia="华文仿宋" w:cs="华文仿宋"/>
                <w:sz w:val="24"/>
                <w:szCs w:val="24"/>
                <w:lang w:val="en-US" w:eastAsia="zh-CN"/>
              </w:rPr>
              <w:t>2.81</w:t>
            </w:r>
          </w:p>
        </w:tc>
      </w:tr>
      <w:tr>
        <w:tblPrEx>
          <w:tblCellMar>
            <w:top w:w="0" w:type="dxa"/>
            <w:left w:w="108" w:type="dxa"/>
            <w:bottom w:w="0" w:type="dxa"/>
            <w:right w:w="108" w:type="dxa"/>
          </w:tblCellMar>
        </w:tblPrEx>
        <w:trPr>
          <w:trHeight w:val="451" w:hRule="atLeast"/>
        </w:trPr>
        <w:tc>
          <w:tcPr>
            <w:tcW w:w="203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其他资金</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华文仿宋" w:hAnsi="华文仿宋" w:eastAsia="华文仿宋" w:cs="华文仿宋"/>
                <w:sz w:val="24"/>
                <w:szCs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left"/>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其他资金</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华文仿宋" w:hAnsi="华文仿宋" w:eastAsia="华文仿宋" w:cs="华文仿宋"/>
                <w:sz w:val="24"/>
                <w:szCs w:val="24"/>
              </w:rPr>
            </w:pPr>
          </w:p>
        </w:tc>
      </w:tr>
      <w:tr>
        <w:tblPrEx>
          <w:tblCellMar>
            <w:top w:w="0" w:type="dxa"/>
            <w:left w:w="108" w:type="dxa"/>
            <w:bottom w:w="0" w:type="dxa"/>
            <w:right w:w="108" w:type="dxa"/>
          </w:tblCellMar>
        </w:tblPrEx>
        <w:trPr>
          <w:trHeight w:val="510" w:hRule="atLeast"/>
        </w:trPr>
        <w:tc>
          <w:tcPr>
            <w:tcW w:w="10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年度总体目标</w:t>
            </w:r>
          </w:p>
          <w:p>
            <w:pPr>
              <w:widowControl/>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完成情况</w:t>
            </w:r>
          </w:p>
        </w:tc>
        <w:tc>
          <w:tcPr>
            <w:tcW w:w="442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预期目标</w:t>
            </w:r>
          </w:p>
        </w:tc>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目标实际完成情况</w:t>
            </w:r>
          </w:p>
        </w:tc>
      </w:tr>
      <w:tr>
        <w:tblPrEx>
          <w:tblCellMar>
            <w:top w:w="0" w:type="dxa"/>
            <w:left w:w="108" w:type="dxa"/>
            <w:bottom w:w="0" w:type="dxa"/>
            <w:right w:w="108" w:type="dxa"/>
          </w:tblCellMar>
        </w:tblPrEx>
        <w:trPr>
          <w:trHeight w:val="1317" w:hRule="atLeast"/>
        </w:trPr>
        <w:tc>
          <w:tcPr>
            <w:tcW w:w="10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line="320" w:lineRule="exact"/>
              <w:jc w:val="center"/>
              <w:rPr>
                <w:rFonts w:hint="eastAsia" w:ascii="华文仿宋" w:hAnsi="华文仿宋" w:eastAsia="华文仿宋" w:cs="华文仿宋"/>
                <w:sz w:val="24"/>
                <w:szCs w:val="24"/>
              </w:rPr>
            </w:pPr>
          </w:p>
        </w:tc>
        <w:tc>
          <w:tcPr>
            <w:tcW w:w="4426"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pageBreakBefore w:val="0"/>
              <w:widowControl/>
              <w:suppressLineNumbers w:val="0"/>
              <w:kinsoku/>
              <w:wordWrap/>
              <w:overflowPunct/>
              <w:topLinePunct w:val="0"/>
              <w:autoSpaceDE/>
              <w:autoSpaceDN/>
              <w:bidi w:val="0"/>
              <w:adjustRightInd/>
              <w:snapToGrid/>
              <w:spacing w:line="360" w:lineRule="exact"/>
              <w:ind w:firstLine="480" w:firstLineChars="200"/>
              <w:jc w:val="both"/>
              <w:textAlignment w:val="auto"/>
              <w:rPr>
                <w:rFonts w:hint="default" w:ascii="华文仿宋" w:hAnsi="华文仿宋" w:eastAsia="华文仿宋" w:cs="华文仿宋"/>
                <w:sz w:val="24"/>
                <w:szCs w:val="24"/>
                <w:lang w:val="en-US"/>
              </w:rPr>
            </w:pPr>
            <w:r>
              <w:rPr>
                <w:rFonts w:hint="eastAsia" w:ascii="仿宋_GB2312" w:hAnsi="仿宋_GB2312" w:eastAsia="仿宋_GB2312" w:cs="仿宋_GB2312"/>
                <w:color w:val="000000"/>
                <w:sz w:val="24"/>
                <w:lang w:val="en-US" w:eastAsia="zh-CN"/>
              </w:rPr>
              <w:t>全年开展活动12次，为市中区中小学音乐教育奠定音乐基础，储备音乐人才，经费支出2.81万元。</w:t>
            </w:r>
          </w:p>
        </w:tc>
        <w:tc>
          <w:tcPr>
            <w:tcW w:w="304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top"/>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全年开展活动12次，全年参加音乐教育教学比赛共计29人次，论文发表获奖11篇。</w:t>
            </w:r>
          </w:p>
        </w:tc>
      </w:tr>
      <w:tr>
        <w:tblPrEx>
          <w:tblCellMar>
            <w:top w:w="0" w:type="dxa"/>
            <w:left w:w="108" w:type="dxa"/>
            <w:bottom w:w="0" w:type="dxa"/>
            <w:right w:w="108" w:type="dxa"/>
          </w:tblCellMar>
        </w:tblPrEx>
        <w:trPr>
          <w:trHeight w:val="693" w:hRule="atLeast"/>
        </w:trPr>
        <w:tc>
          <w:tcPr>
            <w:tcW w:w="1026"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年度绩效指标完成情况</w:t>
            </w:r>
          </w:p>
        </w:tc>
        <w:tc>
          <w:tcPr>
            <w:tcW w:w="1004"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一级</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二级</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三级</w:t>
            </w:r>
          </w:p>
          <w:p>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预期</w:t>
            </w:r>
          </w:p>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指标值</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center"/>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实际完成指标值</w:t>
            </w:r>
          </w:p>
        </w:tc>
      </w:tr>
      <w:tr>
        <w:tblPrEx>
          <w:tblCellMar>
            <w:top w:w="0" w:type="dxa"/>
            <w:left w:w="108" w:type="dxa"/>
            <w:bottom w:w="0" w:type="dxa"/>
            <w:right w:w="108" w:type="dxa"/>
          </w:tblCellMar>
        </w:tblPrEx>
        <w:trPr>
          <w:trHeight w:val="759" w:hRule="atLeast"/>
        </w:trPr>
        <w:tc>
          <w:tcPr>
            <w:tcW w:w="10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完成</w:t>
            </w:r>
          </w:p>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数量指标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21" w:leftChars="-10" w:right="-21" w:rightChars="-10"/>
              <w:jc w:val="center"/>
              <w:textAlignment w:val="auto"/>
              <w:rPr>
                <w:rFonts w:hint="default" w:ascii="华文仿宋" w:hAnsi="华文仿宋" w:eastAsia="华文仿宋" w:cs="华文仿宋"/>
                <w:sz w:val="24"/>
                <w:szCs w:val="24"/>
                <w:lang w:val="en-US"/>
              </w:rPr>
            </w:pPr>
            <w:r>
              <w:rPr>
                <w:rFonts w:hint="eastAsia" w:ascii="仿宋" w:hAnsi="仿宋" w:eastAsia="仿宋" w:cs="仿宋"/>
                <w:color w:val="000000"/>
                <w:kern w:val="0"/>
                <w:sz w:val="24"/>
                <w:szCs w:val="24"/>
                <w:lang w:val="en-US" w:eastAsia="zh-CN" w:bidi="ar"/>
              </w:rPr>
              <w:t>全年开展活动次数</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ind w:left="-42" w:leftChars="-20" w:right="-42" w:rightChars="-20"/>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12</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12</w:t>
            </w:r>
          </w:p>
        </w:tc>
      </w:tr>
      <w:tr>
        <w:tblPrEx>
          <w:tblCellMar>
            <w:top w:w="0" w:type="dxa"/>
            <w:left w:w="108" w:type="dxa"/>
            <w:bottom w:w="0" w:type="dxa"/>
            <w:right w:w="108" w:type="dxa"/>
          </w:tblCellMar>
        </w:tblPrEx>
        <w:trPr>
          <w:trHeight w:val="415" w:hRule="atLeast"/>
        </w:trPr>
        <w:tc>
          <w:tcPr>
            <w:tcW w:w="10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质量指标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华文仿宋" w:hAnsi="华文仿宋" w:eastAsia="华文仿宋" w:cs="华文仿宋"/>
                <w:sz w:val="24"/>
                <w:szCs w:val="24"/>
              </w:rPr>
            </w:pPr>
            <w:r>
              <w:rPr>
                <w:rFonts w:hint="eastAsia" w:ascii="仿宋" w:hAnsi="仿宋" w:eastAsia="仿宋" w:cs="仿宋"/>
                <w:color w:val="000000"/>
                <w:kern w:val="0"/>
                <w:sz w:val="24"/>
                <w:szCs w:val="24"/>
                <w:lang w:val="en-US" w:eastAsia="zh-CN" w:bidi="ar"/>
              </w:rPr>
              <w:t>工作室经费支付准确率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100%</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100%</w:t>
            </w:r>
          </w:p>
        </w:tc>
      </w:tr>
      <w:tr>
        <w:tblPrEx>
          <w:tblCellMar>
            <w:top w:w="0" w:type="dxa"/>
            <w:left w:w="108" w:type="dxa"/>
            <w:bottom w:w="0" w:type="dxa"/>
            <w:right w:w="108" w:type="dxa"/>
          </w:tblCellMar>
        </w:tblPrEx>
        <w:trPr>
          <w:trHeight w:val="415" w:hRule="atLeast"/>
        </w:trPr>
        <w:tc>
          <w:tcPr>
            <w:tcW w:w="10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时效指标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right="0" w:rightChars="0"/>
              <w:jc w:val="center"/>
              <w:textAlignment w:val="auto"/>
              <w:rPr>
                <w:rFonts w:hint="default" w:ascii="华文仿宋" w:hAnsi="华文仿宋" w:eastAsia="华文仿宋" w:cs="华文仿宋"/>
                <w:sz w:val="24"/>
                <w:szCs w:val="24"/>
                <w:lang w:val="en-US"/>
              </w:rPr>
            </w:pPr>
            <w:r>
              <w:rPr>
                <w:rFonts w:hint="eastAsia" w:ascii="仿宋" w:hAnsi="仿宋" w:eastAsia="仿宋" w:cs="仿宋"/>
                <w:color w:val="000000"/>
                <w:kern w:val="0"/>
                <w:sz w:val="24"/>
                <w:szCs w:val="24"/>
                <w:lang w:val="en-US" w:eastAsia="zh-CN" w:bidi="ar"/>
              </w:rPr>
              <w:t>工作室经费支付及时率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100%</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100%</w:t>
            </w:r>
          </w:p>
        </w:tc>
      </w:tr>
      <w:tr>
        <w:tblPrEx>
          <w:tblCellMar>
            <w:top w:w="0" w:type="dxa"/>
            <w:left w:w="108" w:type="dxa"/>
            <w:bottom w:w="0" w:type="dxa"/>
            <w:right w:w="108" w:type="dxa"/>
          </w:tblCellMar>
        </w:tblPrEx>
        <w:trPr>
          <w:trHeight w:val="480" w:hRule="atLeast"/>
        </w:trPr>
        <w:tc>
          <w:tcPr>
            <w:tcW w:w="10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成本指标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42" w:leftChars="-20" w:right="-42" w:rightChars="-20"/>
              <w:jc w:val="center"/>
              <w:textAlignment w:val="auto"/>
              <w:rPr>
                <w:rFonts w:hint="default" w:ascii="华文仿宋" w:hAnsi="华文仿宋" w:eastAsia="华文仿宋" w:cs="华文仿宋"/>
                <w:sz w:val="24"/>
                <w:szCs w:val="24"/>
                <w:lang w:val="en-US"/>
              </w:rPr>
            </w:pPr>
            <w:r>
              <w:rPr>
                <w:rFonts w:hint="eastAsia" w:ascii="仿宋" w:hAnsi="仿宋" w:eastAsia="仿宋" w:cs="仿宋"/>
                <w:color w:val="000000"/>
                <w:kern w:val="0"/>
                <w:sz w:val="24"/>
                <w:szCs w:val="24"/>
                <w:lang w:val="en-US" w:eastAsia="zh-CN" w:bidi="ar"/>
              </w:rPr>
              <w:t>工作室经费总支出（万元）</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2.81</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2.81</w:t>
            </w:r>
          </w:p>
        </w:tc>
      </w:tr>
      <w:tr>
        <w:tblPrEx>
          <w:tblCellMar>
            <w:top w:w="0" w:type="dxa"/>
            <w:left w:w="108" w:type="dxa"/>
            <w:bottom w:w="0" w:type="dxa"/>
            <w:right w:w="108" w:type="dxa"/>
          </w:tblCellMar>
        </w:tblPrEx>
        <w:trPr>
          <w:trHeight w:val="480" w:hRule="atLeast"/>
        </w:trPr>
        <w:tc>
          <w:tcPr>
            <w:tcW w:w="10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rPr>
              <w:t>效益</w:t>
            </w:r>
          </w:p>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经济效益  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r>
      <w:tr>
        <w:tblPrEx>
          <w:tblCellMar>
            <w:top w:w="0" w:type="dxa"/>
            <w:left w:w="108" w:type="dxa"/>
            <w:bottom w:w="0" w:type="dxa"/>
            <w:right w:w="108" w:type="dxa"/>
          </w:tblCellMar>
        </w:tblPrEx>
        <w:trPr>
          <w:trHeight w:val="480" w:hRule="atLeast"/>
        </w:trPr>
        <w:tc>
          <w:tcPr>
            <w:tcW w:w="10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社会效益  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ind w:left="-42" w:leftChars="-20" w:right="-42" w:rightChars="-20"/>
              <w:jc w:val="center"/>
              <w:textAlignment w:val="auto"/>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名师工作室成员教育教学能力提高率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100</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val="en-US" w:eastAsia="zh-CN"/>
              </w:rPr>
              <w:t>100</w:t>
            </w:r>
          </w:p>
        </w:tc>
      </w:tr>
      <w:tr>
        <w:tblPrEx>
          <w:tblCellMar>
            <w:top w:w="0" w:type="dxa"/>
            <w:left w:w="108" w:type="dxa"/>
            <w:bottom w:w="0" w:type="dxa"/>
            <w:right w:w="108" w:type="dxa"/>
          </w:tblCellMar>
        </w:tblPrEx>
        <w:trPr>
          <w:trHeight w:val="577" w:hRule="atLeast"/>
        </w:trPr>
        <w:tc>
          <w:tcPr>
            <w:tcW w:w="10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ind w:left="423" w:leftChars="87" w:hanging="240" w:hangingChars="100"/>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生态效益  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r>
      <w:tr>
        <w:tblPrEx>
          <w:tblCellMar>
            <w:top w:w="0" w:type="dxa"/>
            <w:left w:w="108" w:type="dxa"/>
            <w:bottom w:w="0" w:type="dxa"/>
            <w:right w:w="108" w:type="dxa"/>
          </w:tblCellMar>
        </w:tblPrEx>
        <w:trPr>
          <w:trHeight w:val="480" w:hRule="atLeast"/>
        </w:trPr>
        <w:tc>
          <w:tcPr>
            <w:tcW w:w="1026" w:type="dxa"/>
            <w:vMerge w:val="continue"/>
            <w:tcBorders>
              <w:left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可持续影响 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p>
        </w:tc>
      </w:tr>
      <w:tr>
        <w:tblPrEx>
          <w:tblCellMar>
            <w:top w:w="0" w:type="dxa"/>
            <w:left w:w="108" w:type="dxa"/>
            <w:bottom w:w="0" w:type="dxa"/>
            <w:right w:w="108" w:type="dxa"/>
          </w:tblCellMar>
        </w:tblPrEx>
        <w:trPr>
          <w:trHeight w:val="530" w:hRule="atLeast"/>
        </w:trPr>
        <w:tc>
          <w:tcPr>
            <w:tcW w:w="1026"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华文仿宋" w:hAnsi="华文仿宋" w:eastAsia="华文仿宋" w:cs="华文仿宋"/>
                <w:sz w:val="24"/>
                <w:szCs w:val="24"/>
              </w:rPr>
            </w:pPr>
          </w:p>
        </w:tc>
        <w:tc>
          <w:tcPr>
            <w:tcW w:w="10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rPr>
              <w:t>满意</w:t>
            </w:r>
          </w:p>
          <w:p>
            <w:pPr>
              <w:keepNext w:val="0"/>
              <w:keepLines w:val="0"/>
              <w:pageBreakBefore w:val="0"/>
              <w:widowControl/>
              <w:kinsoku/>
              <w:wordWrap/>
              <w:overflowPunct/>
              <w:topLinePunct w:val="0"/>
              <w:autoSpaceDE/>
              <w:autoSpaceDN/>
              <w:bidi w:val="0"/>
              <w:adjustRightInd/>
              <w:snapToGrid/>
              <w:spacing w:line="30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度指标</w:t>
            </w:r>
          </w:p>
        </w:tc>
        <w:tc>
          <w:tcPr>
            <w:tcW w:w="16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满意度</w:t>
            </w:r>
          </w:p>
          <w:p>
            <w:pPr>
              <w:keepNext w:val="0"/>
              <w:keepLines w:val="0"/>
              <w:pageBreakBefore w:val="0"/>
              <w:widowControl/>
              <w:kinsoku/>
              <w:wordWrap/>
              <w:overflowPunct/>
              <w:topLinePunct w:val="0"/>
              <w:autoSpaceDE/>
              <w:autoSpaceDN/>
              <w:bidi w:val="0"/>
              <w:adjustRightInd/>
              <w:snapToGrid/>
              <w:spacing w:line="28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kern w:val="0"/>
                <w:sz w:val="24"/>
                <w:szCs w:val="24"/>
              </w:rPr>
              <w:t>指标</w:t>
            </w:r>
          </w:p>
        </w:tc>
        <w:tc>
          <w:tcPr>
            <w:tcW w:w="1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师生</w:t>
            </w:r>
          </w:p>
          <w:p>
            <w:pPr>
              <w:keepNext w:val="0"/>
              <w:keepLines w:val="0"/>
              <w:pageBreakBefore w:val="0"/>
              <w:widowControl/>
              <w:suppressLineNumbers w:val="0"/>
              <w:kinsoku/>
              <w:wordWrap/>
              <w:overflowPunct/>
              <w:topLinePunct w:val="0"/>
              <w:autoSpaceDE/>
              <w:autoSpaceDN/>
              <w:bidi w:val="0"/>
              <w:adjustRightInd/>
              <w:snapToGrid/>
              <w:spacing w:line="280" w:lineRule="exact"/>
              <w:jc w:val="center"/>
              <w:rPr>
                <w:rFonts w:hint="eastAsia" w:ascii="华文仿宋" w:hAnsi="华文仿宋" w:eastAsia="华文仿宋" w:cs="华文仿宋"/>
                <w:sz w:val="24"/>
                <w:szCs w:val="24"/>
              </w:rPr>
            </w:pPr>
            <w:r>
              <w:rPr>
                <w:rFonts w:hint="eastAsia" w:ascii="仿宋" w:hAnsi="仿宋" w:eastAsia="仿宋" w:cs="仿宋"/>
                <w:color w:val="000000"/>
                <w:kern w:val="0"/>
                <w:sz w:val="24"/>
                <w:szCs w:val="24"/>
                <w:lang w:val="en-US" w:eastAsia="zh-CN" w:bidi="ar"/>
              </w:rPr>
              <w:t>满意度</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default" w:ascii="华文仿宋" w:hAnsi="华文仿宋" w:eastAsia="华文仿宋" w:cs="华文仿宋"/>
                <w:sz w:val="24"/>
                <w:szCs w:val="24"/>
                <w:lang w:val="en-US" w:eastAsia="zh-CN"/>
              </w:rPr>
            </w:pPr>
            <w:r>
              <w:rPr>
                <w:rFonts w:hint="eastAsia" w:ascii="华文仿宋" w:hAnsi="华文仿宋" w:eastAsia="华文仿宋" w:cs="华文仿宋"/>
                <w:sz w:val="24"/>
                <w:szCs w:val="24"/>
                <w:lang w:eastAsia="zh-CN"/>
              </w:rPr>
              <w:t>≥</w:t>
            </w:r>
            <w:r>
              <w:rPr>
                <w:rFonts w:hint="eastAsia" w:ascii="华文仿宋" w:hAnsi="华文仿宋" w:eastAsia="华文仿宋" w:cs="华文仿宋"/>
                <w:sz w:val="24"/>
                <w:szCs w:val="24"/>
                <w:lang w:val="en-US" w:eastAsia="zh-CN"/>
              </w:rPr>
              <w:t>95%</w:t>
            </w:r>
          </w:p>
        </w:tc>
        <w:tc>
          <w:tcPr>
            <w:tcW w:w="18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320" w:lineRule="exact"/>
              <w:jc w:val="center"/>
              <w:textAlignment w:val="bottom"/>
              <w:rPr>
                <w:rFonts w:hint="eastAsia" w:ascii="华文仿宋" w:hAnsi="华文仿宋" w:eastAsia="华文仿宋" w:cs="华文仿宋"/>
                <w:sz w:val="24"/>
                <w:szCs w:val="24"/>
              </w:rPr>
            </w:pPr>
            <w:r>
              <w:rPr>
                <w:rFonts w:hint="eastAsia" w:ascii="华文仿宋" w:hAnsi="华文仿宋" w:eastAsia="华文仿宋" w:cs="华文仿宋"/>
                <w:sz w:val="24"/>
                <w:szCs w:val="24"/>
                <w:lang w:eastAsia="zh-CN"/>
              </w:rPr>
              <w:t>≥</w:t>
            </w:r>
            <w:r>
              <w:rPr>
                <w:rFonts w:hint="eastAsia" w:ascii="华文仿宋" w:hAnsi="华文仿宋" w:eastAsia="华文仿宋" w:cs="华文仿宋"/>
                <w:sz w:val="24"/>
                <w:szCs w:val="24"/>
                <w:lang w:val="en-US" w:eastAsia="zh-CN"/>
              </w:rPr>
              <w:t>95%</w:t>
            </w:r>
          </w:p>
        </w:tc>
      </w:tr>
    </w:tbl>
    <w:p>
      <w:pPr>
        <w:pStyle w:val="2"/>
        <w:rPr>
          <w:rFonts w:ascii="黑体" w:hAnsi="黑体" w:eastAsia="黑体"/>
          <w:sz w:val="44"/>
          <w:szCs w:val="44"/>
        </w:rPr>
      </w:pPr>
    </w:p>
    <w:p>
      <w:pPr>
        <w:widowControl/>
        <w:adjustRightInd w:val="0"/>
        <w:snapToGrid w:val="0"/>
        <w:spacing w:line="580" w:lineRule="exact"/>
        <w:contextualSpacing/>
        <w:jc w:val="left"/>
      </w:pPr>
      <w:r>
        <w:rPr>
          <w:rFonts w:hint="eastAsia" w:ascii="仿宋_GB2312" w:hAnsi="宋体" w:eastAsia="仿宋_GB2312" w:cs="宋体"/>
          <w:color w:val="000000"/>
          <w:kern w:val="0"/>
          <w:sz w:val="32"/>
          <w:szCs w:val="32"/>
          <w:shd w:val="clear" w:color="auto" w:fill="FFFFFF"/>
        </w:rPr>
        <w:t>（注：有两个及以上特定目标类部门预算项目的，需分别开展绩效目标自评并填写附表）</w:t>
      </w:r>
    </w:p>
    <w:p>
      <w:pPr>
        <w:spacing w:line="600" w:lineRule="exact"/>
        <w:jc w:val="center"/>
        <w:outlineLvl w:val="0"/>
        <w:rPr>
          <w:rFonts w:ascii="黑体" w:hAnsi="黑体" w:eastAsia="黑体"/>
          <w:sz w:val="44"/>
          <w:szCs w:val="44"/>
        </w:rPr>
      </w:pPr>
    </w:p>
    <w:p>
      <w:pPr>
        <w:spacing w:line="600" w:lineRule="exact"/>
        <w:jc w:val="center"/>
        <w:outlineLvl w:val="0"/>
        <w:rPr>
          <w:rFonts w:ascii="黑体" w:hAnsi="黑体" w:eastAsia="黑体"/>
          <w:sz w:val="44"/>
          <w:szCs w:val="44"/>
        </w:rPr>
      </w:pPr>
    </w:p>
    <w:p>
      <w:pPr>
        <w:spacing w:line="600" w:lineRule="exact"/>
        <w:jc w:val="center"/>
        <w:outlineLvl w:val="0"/>
        <w:rPr>
          <w:rFonts w:ascii="仿宋" w:hAnsi="仿宋" w:eastAsia="仿宋"/>
        </w:rPr>
      </w:pPr>
      <w:r>
        <w:rPr>
          <w:rFonts w:hint="eastAsia" w:ascii="黑体" w:hAnsi="黑体" w:eastAsia="黑体"/>
          <w:sz w:val="44"/>
          <w:szCs w:val="44"/>
        </w:rPr>
        <w:t>第</w:t>
      </w:r>
      <w:r>
        <w:rPr>
          <w:rStyle w:val="24"/>
          <w:rFonts w:hint="eastAsia" w:ascii="黑体" w:hAnsi="黑体" w:eastAsia="黑体"/>
          <w:b w:val="0"/>
        </w:rPr>
        <w:t>五部分 附表</w:t>
      </w:r>
      <w:bookmarkEnd w:id="52"/>
      <w:bookmarkEnd w:id="53"/>
      <w:bookmarkStart w:id="54" w:name="_Toc15396619"/>
    </w:p>
    <w:p>
      <w:pPr>
        <w:pStyle w:val="4"/>
        <w:rPr>
          <w:rStyle w:val="25"/>
          <w:rFonts w:hint="eastAsia" w:ascii="仿宋" w:hAnsi="仿宋" w:eastAsia="仿宋"/>
          <w:b w:val="0"/>
          <w:bCs w:val="0"/>
        </w:rPr>
      </w:pPr>
      <w:r>
        <w:rPr>
          <w:rFonts w:hint="eastAsia" w:ascii="仿宋" w:hAnsi="仿宋" w:eastAsia="仿宋"/>
          <w:b w:val="0"/>
        </w:rPr>
        <w:t>一、收</w:t>
      </w:r>
      <w:r>
        <w:rPr>
          <w:rStyle w:val="25"/>
          <w:rFonts w:hint="eastAsia" w:ascii="仿宋" w:hAnsi="仿宋" w:eastAsia="仿宋"/>
          <w:b w:val="0"/>
          <w:bCs w:val="0"/>
        </w:rPr>
        <w:t>入支出决算总表</w:t>
      </w:r>
      <w:bookmarkEnd w:id="54"/>
    </w:p>
    <w:tbl>
      <w:tblPr>
        <w:tblStyle w:val="12"/>
        <w:tblW w:w="83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15"/>
        <w:gridCol w:w="460"/>
        <w:gridCol w:w="1120"/>
        <w:gridCol w:w="2295"/>
        <w:gridCol w:w="415"/>
        <w:gridCol w:w="15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8360" w:type="dxa"/>
            <w:gridSpan w:val="6"/>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bottom"/>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eastAsia" w:ascii="Arial" w:hAnsi="Arial" w:cs="Arial"/>
                <w:i w:val="0"/>
                <w:color w:val="000000"/>
                <w:sz w:val="15"/>
                <w:szCs w:val="15"/>
                <w:u w:val="none"/>
              </w:rPr>
            </w:pPr>
          </w:p>
        </w:tc>
        <w:tc>
          <w:tcPr>
            <w:tcW w:w="46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5"/>
                <w:szCs w:val="15"/>
                <w:u w:val="none"/>
              </w:rPr>
            </w:pPr>
          </w:p>
        </w:tc>
        <w:tc>
          <w:tcPr>
            <w:tcW w:w="112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5"/>
                <w:szCs w:val="15"/>
                <w:u w:val="none"/>
              </w:rPr>
            </w:pPr>
          </w:p>
        </w:tc>
        <w:tc>
          <w:tcPr>
            <w:tcW w:w="2295"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5"/>
                <w:szCs w:val="15"/>
                <w:u w:val="none"/>
              </w:rPr>
            </w:pPr>
          </w:p>
        </w:tc>
        <w:tc>
          <w:tcPr>
            <w:tcW w:w="415"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5"/>
                <w:szCs w:val="15"/>
                <w:u w:val="none"/>
              </w:rPr>
            </w:pPr>
          </w:p>
        </w:tc>
        <w:tc>
          <w:tcPr>
            <w:tcW w:w="1555"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bottom"/>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财决公开01表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bottom"/>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部门：乐山市市中区学生发展中心</w:t>
            </w:r>
          </w:p>
        </w:tc>
        <w:tc>
          <w:tcPr>
            <w:tcW w:w="46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5"/>
                <w:szCs w:val="15"/>
                <w:u w:val="none"/>
              </w:rPr>
            </w:pPr>
          </w:p>
        </w:tc>
        <w:tc>
          <w:tcPr>
            <w:tcW w:w="112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bottom"/>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2021年度</w:t>
            </w:r>
          </w:p>
        </w:tc>
        <w:tc>
          <w:tcPr>
            <w:tcW w:w="2295"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5"/>
                <w:szCs w:val="15"/>
                <w:u w:val="none"/>
              </w:rPr>
            </w:pPr>
          </w:p>
        </w:tc>
        <w:tc>
          <w:tcPr>
            <w:tcW w:w="415"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5"/>
                <w:szCs w:val="15"/>
                <w:u w:val="none"/>
              </w:rPr>
            </w:pPr>
          </w:p>
        </w:tc>
        <w:tc>
          <w:tcPr>
            <w:tcW w:w="1555"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bottom"/>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4095" w:type="dxa"/>
            <w:gridSpan w:val="3"/>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收入</w:t>
            </w:r>
          </w:p>
        </w:tc>
        <w:tc>
          <w:tcPr>
            <w:tcW w:w="4265" w:type="dxa"/>
            <w:gridSpan w:val="3"/>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项目</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行次</w:t>
            </w:r>
          </w:p>
        </w:tc>
        <w:tc>
          <w:tcPr>
            <w:tcW w:w="112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决算数</w:t>
            </w: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项目</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行次</w:t>
            </w:r>
          </w:p>
        </w:tc>
        <w:tc>
          <w:tcPr>
            <w:tcW w:w="155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栏次</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5"/>
                <w:szCs w:val="15"/>
                <w:u w:val="none"/>
              </w:rPr>
            </w:pPr>
          </w:p>
        </w:tc>
        <w:tc>
          <w:tcPr>
            <w:tcW w:w="112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栏次</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5"/>
                <w:szCs w:val="15"/>
                <w:u w:val="none"/>
              </w:rPr>
            </w:pPr>
          </w:p>
        </w:tc>
        <w:tc>
          <w:tcPr>
            <w:tcW w:w="155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一、一般公共预算财政拨款收入</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130.65</w:t>
            </w: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一、一般公共服务支出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32</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二、政府性基金预算财政拨款</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二、外交支出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33</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三、国有资本经营预算财政拨款收入</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三、国防支出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34</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四、上级补助收入</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四、公共安全支出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35</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五、事业收入</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77.10</w:t>
            </w: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五、教育支出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36</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六、经营收入</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六、科学技术支出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37</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44"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七、附属单位上缴收入</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七、文化旅游体育与传媒支出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38</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八、其他收入</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八、社会保障和就业支出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39</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15.06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九、卫生健康支出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40</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10</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十、节能环保支出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41</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11</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十一、城乡社区支出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42</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12</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十二、农林水支出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43</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13</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十三、交通运输支出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44</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14</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十四、资源勘探工业信息等支出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45</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15</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十五、商业服务业等支出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46</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16</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十六、金融支出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47</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17</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十七、援助其他地区支出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48</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18</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十八、自然资源海洋气象等支出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49</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19</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十九、住房保障支出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50</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二十、粮油物资储备支出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51</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21</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二十一、国有资本经营预算支出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52</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22</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二十二、灾害防治及应急管理支出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53</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23</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二十三、其他支出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54</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24</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二十四、债务还本支出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55</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b/>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25</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二十五、债务付息支出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56</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26</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二十六、抗疫特别国债安排的支出</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57</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本年收入合计</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27</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207.75</w:t>
            </w: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本年支出合计</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58</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230.20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使用非财政拨款结余</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28</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结余分配</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59</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年初结转和结余</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29</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22.46</w:t>
            </w: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    年末结转和结余</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60</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30</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5"/>
                <w:szCs w:val="15"/>
                <w:u w:val="none"/>
              </w:rPr>
            </w:pP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61</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2515"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总计</w:t>
            </w: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31</w:t>
            </w:r>
          </w:p>
        </w:tc>
        <w:tc>
          <w:tcPr>
            <w:tcW w:w="11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230.20</w:t>
            </w:r>
          </w:p>
        </w:tc>
        <w:tc>
          <w:tcPr>
            <w:tcW w:w="229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b/>
                <w:i w:val="0"/>
                <w:color w:val="000000"/>
                <w:sz w:val="15"/>
                <w:szCs w:val="15"/>
                <w:u w:val="none"/>
              </w:rPr>
            </w:pPr>
            <w:r>
              <w:rPr>
                <w:rFonts w:hint="eastAsia" w:ascii="宋体" w:hAnsi="宋体" w:eastAsia="宋体" w:cs="宋体"/>
                <w:b/>
                <w:i w:val="0"/>
                <w:color w:val="000000"/>
                <w:kern w:val="0"/>
                <w:sz w:val="15"/>
                <w:szCs w:val="15"/>
                <w:u w:val="none"/>
                <w:lang w:val="en-US" w:eastAsia="zh-CN" w:bidi="ar"/>
              </w:rPr>
              <w:t>总计</w:t>
            </w:r>
          </w:p>
        </w:tc>
        <w:tc>
          <w:tcPr>
            <w:tcW w:w="415"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62</w:t>
            </w:r>
          </w:p>
        </w:tc>
        <w:tc>
          <w:tcPr>
            <w:tcW w:w="15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230.20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93" w:hRule="atLeast"/>
          <w:jc w:val="center"/>
        </w:trPr>
        <w:tc>
          <w:tcPr>
            <w:tcW w:w="8360" w:type="dxa"/>
            <w:gridSpan w:val="6"/>
            <w:tcBorders>
              <w:top w:val="nil"/>
              <w:left w:val="nil"/>
              <w:bottom w:val="nil"/>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 xml:space="preserve">注：1.本表反映部门本年度的总收支和年末结转结余情况。 </w:t>
            </w:r>
            <w:r>
              <w:rPr>
                <w:rFonts w:hint="eastAsia" w:ascii="宋体" w:hAnsi="宋体" w:eastAsia="宋体" w:cs="宋体"/>
                <w:i w:val="0"/>
                <w:color w:val="000000"/>
                <w:kern w:val="0"/>
                <w:sz w:val="15"/>
                <w:szCs w:val="15"/>
                <w:u w:val="none"/>
                <w:lang w:val="en-US" w:eastAsia="zh-CN" w:bidi="ar"/>
              </w:rPr>
              <w:br w:type="textWrapping"/>
            </w:r>
            <w:r>
              <w:rPr>
                <w:rFonts w:hint="eastAsia" w:ascii="宋体" w:hAnsi="宋体" w:eastAsia="宋体" w:cs="宋体"/>
                <w:i w:val="0"/>
                <w:color w:val="000000"/>
                <w:kern w:val="0"/>
                <w:sz w:val="15"/>
                <w:szCs w:val="15"/>
                <w:u w:val="none"/>
                <w:lang w:val="en-US" w:eastAsia="zh-CN" w:bidi="ar"/>
              </w:rPr>
              <w:t xml:space="preserve">    2.本套报表金额单位转换时可能存在尾数误差。</w:t>
            </w:r>
          </w:p>
        </w:tc>
      </w:tr>
    </w:tbl>
    <w:p>
      <w:pPr>
        <w:pStyle w:val="4"/>
        <w:numPr>
          <w:ilvl w:val="0"/>
          <w:numId w:val="1"/>
        </w:numPr>
        <w:ind w:left="0" w:leftChars="0" w:firstLine="0" w:firstLineChars="0"/>
        <w:rPr>
          <w:rStyle w:val="25"/>
          <w:rFonts w:hint="eastAsia" w:ascii="仿宋" w:hAnsi="仿宋" w:eastAsia="仿宋"/>
          <w:b w:val="0"/>
          <w:bCs w:val="0"/>
        </w:rPr>
      </w:pPr>
      <w:bookmarkStart w:id="55" w:name="_Toc15396620"/>
      <w:r>
        <w:rPr>
          <w:rFonts w:hint="eastAsia" w:ascii="仿宋" w:hAnsi="仿宋" w:eastAsia="仿宋"/>
          <w:b w:val="0"/>
        </w:rPr>
        <w:t>收</w:t>
      </w:r>
      <w:r>
        <w:rPr>
          <w:rStyle w:val="25"/>
          <w:rFonts w:hint="eastAsia" w:ascii="仿宋" w:hAnsi="仿宋" w:eastAsia="仿宋"/>
          <w:b w:val="0"/>
          <w:bCs w:val="0"/>
        </w:rPr>
        <w:t>入决算表</w:t>
      </w:r>
      <w:bookmarkEnd w:id="55"/>
    </w:p>
    <w:tbl>
      <w:tblPr>
        <w:tblStyle w:val="12"/>
        <w:tblpPr w:leftFromText="180" w:rightFromText="180" w:vertAnchor="text" w:horzAnchor="page" w:tblpX="1906" w:tblpY="165"/>
        <w:tblOverlap w:val="never"/>
        <w:tblW w:w="82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85"/>
        <w:gridCol w:w="370"/>
        <w:gridCol w:w="305"/>
        <w:gridCol w:w="2380"/>
        <w:gridCol w:w="720"/>
        <w:gridCol w:w="755"/>
        <w:gridCol w:w="395"/>
        <w:gridCol w:w="610"/>
        <w:gridCol w:w="440"/>
        <w:gridCol w:w="54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8" w:hRule="atLeast"/>
        </w:trPr>
        <w:tc>
          <w:tcPr>
            <w:tcW w:w="8280" w:type="dxa"/>
            <w:gridSpan w:val="11"/>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685"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15"/>
                <w:szCs w:val="15"/>
                <w:u w:val="none"/>
              </w:rPr>
            </w:pPr>
          </w:p>
        </w:tc>
        <w:tc>
          <w:tcPr>
            <w:tcW w:w="37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305"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238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7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755"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6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4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5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108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财决公开02表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685"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left"/>
              <w:textAlignment w:val="bottom"/>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部门：乐山市市中区学生发展中心</w:t>
            </w:r>
          </w:p>
        </w:tc>
        <w:tc>
          <w:tcPr>
            <w:tcW w:w="37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305"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238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7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755"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395"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6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4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5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5"/>
                <w:szCs w:val="15"/>
                <w:u w:val="none"/>
              </w:rPr>
            </w:pPr>
          </w:p>
        </w:tc>
        <w:tc>
          <w:tcPr>
            <w:tcW w:w="108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360"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科目编码</w:t>
            </w:r>
          </w:p>
        </w:tc>
        <w:tc>
          <w:tcPr>
            <w:tcW w:w="2380"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科目名称</w:t>
            </w:r>
          </w:p>
        </w:tc>
        <w:tc>
          <w:tcPr>
            <w:tcW w:w="72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本年收入合计</w:t>
            </w:r>
          </w:p>
        </w:tc>
        <w:tc>
          <w:tcPr>
            <w:tcW w:w="755"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财政拨款收入</w:t>
            </w:r>
          </w:p>
        </w:tc>
        <w:tc>
          <w:tcPr>
            <w:tcW w:w="395"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上级补助收入</w:t>
            </w:r>
          </w:p>
        </w:tc>
        <w:tc>
          <w:tcPr>
            <w:tcW w:w="61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事业收入</w:t>
            </w:r>
          </w:p>
        </w:tc>
        <w:tc>
          <w:tcPr>
            <w:tcW w:w="44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经营收入</w:t>
            </w:r>
          </w:p>
        </w:tc>
        <w:tc>
          <w:tcPr>
            <w:tcW w:w="54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附属单位上缴收入</w:t>
            </w:r>
          </w:p>
        </w:tc>
        <w:tc>
          <w:tcPr>
            <w:tcW w:w="108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238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755"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395"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61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44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54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238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755"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395"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61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44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54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360"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238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7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755"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395"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61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44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54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685" w:type="dxa"/>
            <w:vMerge w:val="restart"/>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类</w:t>
            </w:r>
          </w:p>
        </w:tc>
        <w:tc>
          <w:tcPr>
            <w:tcW w:w="37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款</w:t>
            </w:r>
          </w:p>
        </w:tc>
        <w:tc>
          <w:tcPr>
            <w:tcW w:w="305"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w:t>
            </w:r>
          </w:p>
        </w:tc>
        <w:tc>
          <w:tcPr>
            <w:tcW w:w="2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栏次</w:t>
            </w:r>
          </w:p>
        </w:tc>
        <w:tc>
          <w:tcPr>
            <w:tcW w:w="7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w:t>
            </w:r>
          </w:p>
        </w:tc>
        <w:tc>
          <w:tcPr>
            <w:tcW w:w="755"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2</w:t>
            </w:r>
          </w:p>
        </w:tc>
        <w:tc>
          <w:tcPr>
            <w:tcW w:w="395"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w:t>
            </w:r>
          </w:p>
        </w:tc>
        <w:tc>
          <w:tcPr>
            <w:tcW w:w="6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w:t>
            </w:r>
          </w:p>
        </w:tc>
        <w:tc>
          <w:tcPr>
            <w:tcW w:w="4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5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w:t>
            </w:r>
          </w:p>
        </w:tc>
        <w:tc>
          <w:tcPr>
            <w:tcW w:w="108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685" w:type="dxa"/>
            <w:vMerge w:val="continue"/>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37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305"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8"/>
                <w:szCs w:val="18"/>
                <w:u w:val="none"/>
              </w:rPr>
            </w:pPr>
          </w:p>
        </w:tc>
        <w:tc>
          <w:tcPr>
            <w:tcW w:w="2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合计</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207.75</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130.65</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77.10</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205</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教育支出</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179.84</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102.74</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77.10</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20501</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教育管理事务</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177.03</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99.93</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77.10</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2050199</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其他教育管理事务支出</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177.03</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99.93</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77.10</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20508</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进修及培训</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2.81</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2.81</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2050801</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教师进修</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2.81</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2.81</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社会保障和就业支出</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15.05</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15.05</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行政事业单位养老支出</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14.20</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14.20</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2080505</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机关事业单位基本养老保险缴费支出</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9.47</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9.47</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2080506</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机关事业单位职业年金缴费支出</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4.73</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4.73</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20811</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残疾人事业</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0.85</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0.85</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2081199</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其他残疾人事业支出</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0.85</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0.85</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卫生健康支出</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3.65</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3.65</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行政事业单位医疗</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3.65</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3.65</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2101102</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事业单位医疗</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3.65</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3.65</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住房保障支出</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9.20</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9.20</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22102</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住房改革支出</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9.20</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9.20</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360"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2210201</w:t>
            </w:r>
          </w:p>
        </w:tc>
        <w:tc>
          <w:tcPr>
            <w:tcW w:w="2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住房公积金</w:t>
            </w:r>
          </w:p>
        </w:tc>
        <w:tc>
          <w:tcPr>
            <w:tcW w:w="7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9.20</w:t>
            </w:r>
          </w:p>
        </w:tc>
        <w:tc>
          <w:tcPr>
            <w:tcW w:w="7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9.20</w:t>
            </w:r>
          </w:p>
        </w:tc>
        <w:tc>
          <w:tcPr>
            <w:tcW w:w="39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c>
          <w:tcPr>
            <w:tcW w:w="10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62" w:hRule="atLeast"/>
        </w:trPr>
        <w:tc>
          <w:tcPr>
            <w:tcW w:w="8280" w:type="dxa"/>
            <w:gridSpan w:val="11"/>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注：本表以“万元”为金额单位（保留两位小数）； </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 xml:space="preserve">    本表反映部门本年度取得的各项收入情况。</w:t>
            </w:r>
          </w:p>
        </w:tc>
      </w:tr>
    </w:tbl>
    <w:p>
      <w:pPr>
        <w:widowControl w:val="0"/>
        <w:numPr>
          <w:ilvl w:val="0"/>
          <w:numId w:val="0"/>
        </w:numPr>
        <w:jc w:val="both"/>
      </w:pPr>
    </w:p>
    <w:p>
      <w:pPr>
        <w:pStyle w:val="2"/>
      </w:pPr>
    </w:p>
    <w:p>
      <w:pPr>
        <w:pStyle w:val="4"/>
        <w:numPr>
          <w:ilvl w:val="0"/>
          <w:numId w:val="1"/>
        </w:numPr>
        <w:ind w:left="0" w:leftChars="0" w:firstLine="0" w:firstLineChars="0"/>
        <w:rPr>
          <w:rStyle w:val="25"/>
          <w:rFonts w:hint="eastAsia" w:ascii="仿宋" w:hAnsi="仿宋" w:eastAsia="仿宋"/>
          <w:b w:val="0"/>
          <w:bCs w:val="0"/>
        </w:rPr>
      </w:pPr>
      <w:bookmarkStart w:id="56" w:name="_Toc15396621"/>
      <w:r>
        <w:rPr>
          <w:rFonts w:hint="eastAsia" w:ascii="仿宋" w:hAnsi="仿宋" w:eastAsia="仿宋"/>
          <w:b w:val="0"/>
        </w:rPr>
        <w:t>支</w:t>
      </w:r>
      <w:r>
        <w:rPr>
          <w:rStyle w:val="25"/>
          <w:rFonts w:hint="eastAsia" w:ascii="仿宋" w:hAnsi="仿宋" w:eastAsia="仿宋"/>
          <w:b w:val="0"/>
          <w:bCs w:val="0"/>
        </w:rPr>
        <w:t>出决算表</w:t>
      </w:r>
      <w:bookmarkEnd w:id="56"/>
    </w:p>
    <w:tbl>
      <w:tblPr>
        <w:tblStyle w:val="12"/>
        <w:tblW w:w="83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15"/>
        <w:gridCol w:w="550"/>
        <w:gridCol w:w="410"/>
        <w:gridCol w:w="2810"/>
        <w:gridCol w:w="780"/>
        <w:gridCol w:w="700"/>
        <w:gridCol w:w="450"/>
        <w:gridCol w:w="400"/>
        <w:gridCol w:w="360"/>
        <w:gridCol w:w="10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04" w:hRule="atLeast"/>
        </w:trPr>
        <w:tc>
          <w:tcPr>
            <w:tcW w:w="8330" w:type="dxa"/>
            <w:gridSpan w:val="10"/>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04" w:hRule="atLeast"/>
        </w:trPr>
        <w:tc>
          <w:tcPr>
            <w:tcW w:w="815"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16"/>
                <w:szCs w:val="16"/>
                <w:u w:val="none"/>
              </w:rPr>
            </w:pPr>
          </w:p>
        </w:tc>
        <w:tc>
          <w:tcPr>
            <w:tcW w:w="5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28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8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3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055"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财决公开03表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04" w:hRule="atLeast"/>
        </w:trPr>
        <w:tc>
          <w:tcPr>
            <w:tcW w:w="815"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lef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部门：乐山市市中区学生发展中心</w:t>
            </w:r>
          </w:p>
        </w:tc>
        <w:tc>
          <w:tcPr>
            <w:tcW w:w="5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28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8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3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055"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科目编码</w:t>
            </w:r>
          </w:p>
        </w:tc>
        <w:tc>
          <w:tcPr>
            <w:tcW w:w="2810"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科目名称</w:t>
            </w:r>
          </w:p>
        </w:tc>
        <w:tc>
          <w:tcPr>
            <w:tcW w:w="78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本年支出合计</w:t>
            </w:r>
          </w:p>
        </w:tc>
        <w:tc>
          <w:tcPr>
            <w:tcW w:w="70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基本支出</w:t>
            </w:r>
          </w:p>
        </w:tc>
        <w:tc>
          <w:tcPr>
            <w:tcW w:w="45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项目支出</w:t>
            </w:r>
          </w:p>
        </w:tc>
        <w:tc>
          <w:tcPr>
            <w:tcW w:w="40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上缴上级支出</w:t>
            </w:r>
          </w:p>
        </w:tc>
        <w:tc>
          <w:tcPr>
            <w:tcW w:w="36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经营支出</w:t>
            </w:r>
          </w:p>
        </w:tc>
        <w:tc>
          <w:tcPr>
            <w:tcW w:w="1055"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281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4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4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36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1055"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281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4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4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36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1055"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281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4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4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36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1055"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15" w:type="dxa"/>
            <w:vMerge w:val="restart"/>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类</w:t>
            </w:r>
          </w:p>
        </w:tc>
        <w:tc>
          <w:tcPr>
            <w:tcW w:w="55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款</w:t>
            </w:r>
          </w:p>
        </w:tc>
        <w:tc>
          <w:tcPr>
            <w:tcW w:w="41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w:t>
            </w:r>
          </w:p>
        </w:tc>
        <w:tc>
          <w:tcPr>
            <w:tcW w:w="28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栏次</w:t>
            </w:r>
          </w:p>
        </w:tc>
        <w:tc>
          <w:tcPr>
            <w:tcW w:w="78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70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45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40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3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1055"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15" w:type="dxa"/>
            <w:vMerge w:val="continue"/>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55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41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28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230.20</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219.39</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10.81</w:t>
            </w: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205</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教育支出</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202.29</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191.48</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10.81</w:t>
            </w: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20501</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教育管理事务</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199.48</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191.48</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8.00</w:t>
            </w: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2050199</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其他教育管理事务支出</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199.48</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191.48</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8.00</w:t>
            </w: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20508</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进修及培训</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2.81</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2.81</w:t>
            </w: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2050801</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教师进修</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2.81</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2.81</w:t>
            </w: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社会保障和就业支出</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15.05</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15.05</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20805</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行政事业单位养老支出</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14.20</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14.20</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2080505</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机关事业单位基本养老保险缴费支出</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9.47</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9.47</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2080506</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机关事业单位职业年金缴费支出</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4.73</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4.73</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20811</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残疾人事业</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0.85</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0.85</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2081199</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其他残疾人事业支出</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0.85</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0.85</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卫生健康支出</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3.65</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3.65</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21011</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行政事业单位医疗</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3.65</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3.65</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2101102</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事业单位医疗</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3.65</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3.65</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住房保障支出</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9.20</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9.20</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22102</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住房改革支出</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9.20</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9.20</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775"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2210201</w:t>
            </w:r>
          </w:p>
        </w:tc>
        <w:tc>
          <w:tcPr>
            <w:tcW w:w="28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  住房公积金</w:t>
            </w:r>
          </w:p>
        </w:tc>
        <w:tc>
          <w:tcPr>
            <w:tcW w:w="7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9.20</w:t>
            </w:r>
          </w:p>
        </w:tc>
        <w:tc>
          <w:tcPr>
            <w:tcW w:w="7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9.20</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5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330" w:type="dxa"/>
            <w:gridSpan w:val="10"/>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注：本表以“万元”为金额单位（保留两位小数），反映部门本年度各项支出情况。</w:t>
            </w:r>
          </w:p>
        </w:tc>
      </w:tr>
    </w:tbl>
    <w:p>
      <w:pPr>
        <w:widowControl w:val="0"/>
        <w:numPr>
          <w:ilvl w:val="0"/>
          <w:numId w:val="0"/>
        </w:numPr>
        <w:jc w:val="both"/>
      </w:pPr>
    </w:p>
    <w:p>
      <w:pPr>
        <w:pStyle w:val="2"/>
      </w:pPr>
    </w:p>
    <w:p>
      <w:pPr>
        <w:pStyle w:val="2"/>
      </w:pPr>
    </w:p>
    <w:p>
      <w:pPr>
        <w:pStyle w:val="2"/>
      </w:pPr>
    </w:p>
    <w:p>
      <w:pPr>
        <w:pStyle w:val="2"/>
      </w:pPr>
    </w:p>
    <w:p>
      <w:pPr>
        <w:pStyle w:val="4"/>
        <w:numPr>
          <w:ilvl w:val="0"/>
          <w:numId w:val="1"/>
        </w:numPr>
        <w:ind w:left="0" w:leftChars="0" w:firstLine="0" w:firstLineChars="0"/>
        <w:rPr>
          <w:rStyle w:val="25"/>
          <w:rFonts w:hint="eastAsia" w:ascii="仿宋" w:hAnsi="仿宋" w:eastAsia="仿宋"/>
          <w:b w:val="0"/>
          <w:bCs w:val="0"/>
        </w:rPr>
      </w:pPr>
      <w:bookmarkStart w:id="57" w:name="_Toc15396622"/>
      <w:r>
        <w:rPr>
          <w:rFonts w:hint="eastAsia" w:ascii="仿宋" w:hAnsi="仿宋" w:eastAsia="仿宋"/>
          <w:b w:val="0"/>
        </w:rPr>
        <w:t>财</w:t>
      </w:r>
      <w:r>
        <w:rPr>
          <w:rStyle w:val="25"/>
          <w:rFonts w:hint="eastAsia" w:ascii="仿宋" w:hAnsi="仿宋" w:eastAsia="仿宋"/>
          <w:b w:val="0"/>
          <w:bCs w:val="0"/>
        </w:rPr>
        <w:t>政拨款收入支出决算总表</w:t>
      </w:r>
      <w:bookmarkEnd w:id="57"/>
    </w:p>
    <w:tbl>
      <w:tblPr>
        <w:tblStyle w:val="12"/>
        <w:tblpPr w:leftFromText="180" w:rightFromText="180" w:vertAnchor="text" w:horzAnchor="page" w:tblpX="1876" w:tblpY="866"/>
        <w:tblOverlap w:val="never"/>
        <w:tblW w:w="86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950"/>
        <w:gridCol w:w="450"/>
        <w:gridCol w:w="570"/>
        <w:gridCol w:w="1950"/>
        <w:gridCol w:w="500"/>
        <w:gridCol w:w="570"/>
        <w:gridCol w:w="620"/>
        <w:gridCol w:w="740"/>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8620" w:type="dxa"/>
            <w:gridSpan w:val="9"/>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bottom"/>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eastAsia" w:ascii="Arial" w:hAnsi="Arial" w:cs="Arial"/>
                <w:i w:val="0"/>
                <w:color w:val="000000"/>
                <w:sz w:val="13"/>
                <w:szCs w:val="13"/>
                <w:u w:val="none"/>
              </w:rPr>
            </w:pPr>
          </w:p>
        </w:tc>
        <w:tc>
          <w:tcPr>
            <w:tcW w:w="45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57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195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50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57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62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74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127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bottom"/>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财决公开04表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6" w:hRule="atLeast"/>
        </w:trPr>
        <w:tc>
          <w:tcPr>
            <w:tcW w:w="195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bottom"/>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部门：乐山市市中区学生发展中心</w:t>
            </w:r>
          </w:p>
        </w:tc>
        <w:tc>
          <w:tcPr>
            <w:tcW w:w="45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57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195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50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57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62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74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kinsoku/>
              <w:wordWrap/>
              <w:overflowPunct/>
              <w:topLinePunct w:val="0"/>
              <w:autoSpaceDE/>
              <w:autoSpaceDN/>
              <w:bidi w:val="0"/>
              <w:adjustRightInd/>
              <w:snapToGrid/>
              <w:spacing w:line="120" w:lineRule="auto"/>
              <w:rPr>
                <w:rFonts w:hint="default" w:ascii="Arial" w:hAnsi="Arial" w:cs="Arial"/>
                <w:i w:val="0"/>
                <w:color w:val="000000"/>
                <w:sz w:val="13"/>
                <w:szCs w:val="13"/>
                <w:u w:val="none"/>
              </w:rPr>
            </w:pPr>
          </w:p>
        </w:tc>
        <w:tc>
          <w:tcPr>
            <w:tcW w:w="1270" w:type="dxa"/>
            <w:tcBorders>
              <w:top w:val="nil"/>
              <w:left w:val="nil"/>
              <w:bottom w:val="nil"/>
              <w:right w:val="nil"/>
            </w:tcBorders>
            <w:shd w:val="clear" w:color="auto" w:fill="auto"/>
            <w:noWrap/>
            <w:tcMar>
              <w:top w:w="12" w:type="dxa"/>
              <w:left w:w="12" w:type="dxa"/>
              <w:right w:w="12" w:type="dxa"/>
            </w:tcMar>
            <w:vAlign w:val="bottom"/>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bottom"/>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2970" w:type="dxa"/>
            <w:gridSpan w:val="3"/>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收     入</w:t>
            </w:r>
          </w:p>
        </w:tc>
        <w:tc>
          <w:tcPr>
            <w:tcW w:w="5650" w:type="dxa"/>
            <w:gridSpan w:val="6"/>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1950" w:type="dxa"/>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项目</w:t>
            </w:r>
          </w:p>
        </w:tc>
        <w:tc>
          <w:tcPr>
            <w:tcW w:w="4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行次</w:t>
            </w:r>
          </w:p>
        </w:tc>
        <w:tc>
          <w:tcPr>
            <w:tcW w:w="57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金额</w:t>
            </w:r>
          </w:p>
        </w:tc>
        <w:tc>
          <w:tcPr>
            <w:tcW w:w="19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项目</w:t>
            </w:r>
          </w:p>
        </w:tc>
        <w:tc>
          <w:tcPr>
            <w:tcW w:w="50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行次</w:t>
            </w:r>
          </w:p>
        </w:tc>
        <w:tc>
          <w:tcPr>
            <w:tcW w:w="57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合计</w:t>
            </w:r>
          </w:p>
        </w:tc>
        <w:tc>
          <w:tcPr>
            <w:tcW w:w="62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一般公共预算财政拨款</w:t>
            </w:r>
          </w:p>
        </w:tc>
        <w:tc>
          <w:tcPr>
            <w:tcW w:w="7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政府性基金预算财政拨款</w:t>
            </w:r>
          </w:p>
        </w:tc>
        <w:tc>
          <w:tcPr>
            <w:tcW w:w="127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4" w:hRule="atLeast"/>
        </w:trPr>
        <w:tc>
          <w:tcPr>
            <w:tcW w:w="1950" w:type="dxa"/>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c>
          <w:tcPr>
            <w:tcW w:w="4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c>
          <w:tcPr>
            <w:tcW w:w="5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c>
          <w:tcPr>
            <w:tcW w:w="19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c>
          <w:tcPr>
            <w:tcW w:w="5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c>
          <w:tcPr>
            <w:tcW w:w="57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c>
          <w:tcPr>
            <w:tcW w:w="6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c>
          <w:tcPr>
            <w:tcW w:w="7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c>
          <w:tcPr>
            <w:tcW w:w="12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栏次</w:t>
            </w: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w:t>
            </w: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栏次</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center"/>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w:t>
            </w:r>
          </w:p>
        </w:tc>
        <w:tc>
          <w:tcPr>
            <w:tcW w:w="62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w:t>
            </w:r>
          </w:p>
        </w:tc>
        <w:tc>
          <w:tcPr>
            <w:tcW w:w="74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一、一般公共预算财政拨款</w:t>
            </w: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130.65</w:t>
            </w: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一、一般公共服务支出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33</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二、政府性基金预算财政拨款</w:t>
            </w: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二、外交支出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34</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三、国有资本经营预算财政拨款</w:t>
            </w: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三、国防支出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35</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四、公共安全支出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36</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五、教育支出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37</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102.74</w:t>
            </w: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102.74</w:t>
            </w: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6</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六、科学技术支出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38</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7</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七、文化旅游体育与传媒支出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39</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8</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八、社会保障和就业支出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40</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15.06</w:t>
            </w: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15.06</w:t>
            </w: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9</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九、卫生健康支出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41</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3.65</w:t>
            </w: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3.65</w:t>
            </w: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10</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十、节能环保支出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42</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11</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十一、城乡社区支出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43</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12</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十二、农林水支出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44</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十三、交通运输支出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45</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14</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十四、资源勘探工业信息等支出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46</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15</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十五、商业服务业等支出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47</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16</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十六、金融支出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48</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17</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十七、援助其他地区支出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49</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18</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十八、自然资源海洋气象等支出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50</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19</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十九、住房保障支出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51</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9.20</w:t>
            </w: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9.20</w:t>
            </w: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20</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二十、粮油物资储备支出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52</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21</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二十一、国有资本经营预算支出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53</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22</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二十二、灾害防治及应急管理支出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54</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23</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二十三、其他支出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55</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24</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二十四、债务还本支出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56</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25</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二十五、债务付息支出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57</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26</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二十六、抗疫特别国债安排的支出</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58</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本年收入合计</w:t>
            </w: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27</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130.65</w:t>
            </w: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本年支出合计</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59</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130.65</w:t>
            </w: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130.65</w:t>
            </w: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年初财政拨款结转和结余</w:t>
            </w: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28</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年末财政拨款结转和结余</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60</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 xml:space="preserve">  一般公共预算财政拨款</w:t>
            </w: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29</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61</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 xml:space="preserve">  政府性基金预算财政拨款</w:t>
            </w: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62</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 xml:space="preserve">  国有资本经营预算财政拨款</w:t>
            </w: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left"/>
              <w:rPr>
                <w:rFonts w:hint="eastAsia" w:ascii="宋体" w:hAnsi="宋体" w:eastAsia="宋体" w:cs="宋体"/>
                <w:i w:val="0"/>
                <w:color w:val="000000"/>
                <w:sz w:val="13"/>
                <w:szCs w:val="13"/>
                <w:u w:val="none"/>
              </w:rPr>
            </w:pP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63</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1950"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总计</w:t>
            </w:r>
          </w:p>
        </w:tc>
        <w:tc>
          <w:tcPr>
            <w:tcW w:w="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32</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130.65</w:t>
            </w:r>
          </w:p>
        </w:tc>
        <w:tc>
          <w:tcPr>
            <w:tcW w:w="19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总计</w:t>
            </w:r>
          </w:p>
        </w:tc>
        <w:tc>
          <w:tcPr>
            <w:tcW w:w="5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64</w:t>
            </w:r>
          </w:p>
        </w:tc>
        <w:tc>
          <w:tcPr>
            <w:tcW w:w="5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130.65</w:t>
            </w: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130.65</w:t>
            </w: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c>
          <w:tcPr>
            <w:tcW w:w="1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120" w:lineRule="auto"/>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36" w:hRule="atLeast"/>
        </w:trPr>
        <w:tc>
          <w:tcPr>
            <w:tcW w:w="8620"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120" w:lineRule="auto"/>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注：本表以“万元”为金额单位（保留两位小数），反映部门本年度一般公共预算财政拨款、政府性基金预算财政拨款和国有资本经营预算财政拨款的总收支和年末结转结余情况。</w:t>
            </w:r>
          </w:p>
        </w:tc>
      </w:tr>
    </w:tbl>
    <w:p>
      <w:pPr>
        <w:widowControl w:val="0"/>
        <w:numPr>
          <w:ilvl w:val="0"/>
          <w:numId w:val="0"/>
        </w:numPr>
        <w:jc w:val="both"/>
      </w:pPr>
    </w:p>
    <w:p>
      <w:pPr>
        <w:pStyle w:val="4"/>
        <w:numPr>
          <w:ilvl w:val="0"/>
          <w:numId w:val="1"/>
        </w:numPr>
        <w:ind w:left="0" w:leftChars="0" w:firstLine="0" w:firstLineChars="0"/>
        <w:rPr>
          <w:rStyle w:val="25"/>
          <w:rFonts w:hint="eastAsia" w:ascii="仿宋" w:hAnsi="仿宋" w:eastAsia="仿宋"/>
          <w:b w:val="0"/>
          <w:bCs w:val="0"/>
        </w:rPr>
      </w:pPr>
      <w:bookmarkStart w:id="58" w:name="_Toc15396623"/>
      <w:r>
        <w:rPr>
          <w:rFonts w:hint="eastAsia" w:ascii="仿宋" w:hAnsi="仿宋" w:eastAsia="仿宋"/>
          <w:b w:val="0"/>
        </w:rPr>
        <w:t>财</w:t>
      </w:r>
      <w:r>
        <w:rPr>
          <w:rStyle w:val="25"/>
          <w:rFonts w:hint="eastAsia" w:ascii="仿宋" w:hAnsi="仿宋" w:eastAsia="仿宋"/>
          <w:b w:val="0"/>
          <w:bCs w:val="0"/>
        </w:rPr>
        <w:t>政拨款支出决算明细表</w:t>
      </w:r>
      <w:bookmarkEnd w:id="58"/>
      <w:bookmarkStart w:id="59" w:name="_Toc15396624"/>
    </w:p>
    <w:tbl>
      <w:tblPr>
        <w:tblStyle w:val="12"/>
        <w:tblW w:w="83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56"/>
        <w:gridCol w:w="330"/>
        <w:gridCol w:w="240"/>
        <w:gridCol w:w="1270"/>
        <w:gridCol w:w="510"/>
        <w:gridCol w:w="710"/>
        <w:gridCol w:w="560"/>
        <w:gridCol w:w="575"/>
        <w:gridCol w:w="535"/>
        <w:gridCol w:w="240"/>
        <w:gridCol w:w="450"/>
        <w:gridCol w:w="440"/>
        <w:gridCol w:w="240"/>
        <w:gridCol w:w="440"/>
        <w:gridCol w:w="113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8330" w:type="dxa"/>
            <w:gridSpan w:val="15"/>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财政拨款支出决算明细表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656"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16"/>
                <w:szCs w:val="16"/>
                <w:u w:val="none"/>
              </w:rPr>
            </w:pPr>
          </w:p>
        </w:tc>
        <w:tc>
          <w:tcPr>
            <w:tcW w:w="33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2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27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5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5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575"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535"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2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2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134"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财决公开05表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2496" w:type="dxa"/>
            <w:gridSpan w:val="4"/>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部门：乐山市市中区学生发展中心</w:t>
            </w:r>
          </w:p>
        </w:tc>
        <w:tc>
          <w:tcPr>
            <w:tcW w:w="5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5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575"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535"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2021年度</w:t>
            </w:r>
          </w:p>
        </w:tc>
        <w:tc>
          <w:tcPr>
            <w:tcW w:w="2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2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134"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92" w:hRule="atLeast"/>
        </w:trPr>
        <w:tc>
          <w:tcPr>
            <w:tcW w:w="2496" w:type="dxa"/>
            <w:gridSpan w:val="4"/>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    目</w:t>
            </w:r>
          </w:p>
        </w:tc>
        <w:tc>
          <w:tcPr>
            <w:tcW w:w="510"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行次</w:t>
            </w:r>
          </w:p>
        </w:tc>
        <w:tc>
          <w:tcPr>
            <w:tcW w:w="710" w:type="dxa"/>
            <w:vMerge w:val="restart"/>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1670" w:type="dxa"/>
            <w:gridSpan w:val="3"/>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一般公共预算财政拨款</w:t>
            </w:r>
          </w:p>
        </w:tc>
        <w:tc>
          <w:tcPr>
            <w:tcW w:w="1130" w:type="dxa"/>
            <w:gridSpan w:val="3"/>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政府性基金预算财政拨款</w:t>
            </w:r>
          </w:p>
        </w:tc>
        <w:tc>
          <w:tcPr>
            <w:tcW w:w="1814" w:type="dxa"/>
            <w:gridSpan w:val="3"/>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2" w:hRule="atLeast"/>
        </w:trPr>
        <w:tc>
          <w:tcPr>
            <w:tcW w:w="1226" w:type="dxa"/>
            <w:gridSpan w:val="3"/>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经济分类科目编码</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科目名称</w:t>
            </w:r>
          </w:p>
        </w:tc>
        <w:tc>
          <w:tcPr>
            <w:tcW w:w="51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10" w:type="dxa"/>
            <w:vMerge w:val="continue"/>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小计</w:t>
            </w:r>
          </w:p>
        </w:tc>
        <w:tc>
          <w:tcPr>
            <w:tcW w:w="575"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基本支出</w:t>
            </w:r>
          </w:p>
        </w:tc>
        <w:tc>
          <w:tcPr>
            <w:tcW w:w="535"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项目支出</w:t>
            </w:r>
          </w:p>
        </w:tc>
        <w:tc>
          <w:tcPr>
            <w:tcW w:w="2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小计</w:t>
            </w:r>
          </w:p>
        </w:tc>
        <w:tc>
          <w:tcPr>
            <w:tcW w:w="45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基本支出</w:t>
            </w:r>
          </w:p>
        </w:tc>
        <w:tc>
          <w:tcPr>
            <w:tcW w:w="4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项目支出</w:t>
            </w:r>
          </w:p>
        </w:tc>
        <w:tc>
          <w:tcPr>
            <w:tcW w:w="2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小计</w:t>
            </w:r>
          </w:p>
        </w:tc>
        <w:tc>
          <w:tcPr>
            <w:tcW w:w="4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基本支出</w:t>
            </w:r>
          </w:p>
        </w:tc>
        <w:tc>
          <w:tcPr>
            <w:tcW w:w="113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130.65</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130.65</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119.84</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10.81</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301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工资福利支出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90.45</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90.45</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90.45</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基本工资</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36.78</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36.78</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36.78</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津贴补贴</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奖金</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30106</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伙食补助费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1.98</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1.98</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1.98</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30107</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绩效工资</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22.16</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22.16</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22.16</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30108</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机关事业单位基本养老保险费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9.47</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9.47</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9.47</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30109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职业年金缴费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4.73</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4.73</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4.73</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30110</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职工基本医疗保险缴费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3.65</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3.65</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3.65</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30111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公务员医疗补助缴费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30112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其他社会保障缴费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1.39</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1.39</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1.39</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30113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住房公积金</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9.20</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9.20</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9.20</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30114</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医疗费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30199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其他工资福利支出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302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商品和服务支出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19.15</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19.15</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8.35</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10.81</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办公费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3.34</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3.34</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1.65</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1.68</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印刷费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5.60</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5.60</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5.60</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咨询费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30204</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手续费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30205</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水费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0.15</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0.15</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0.15</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30206</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电费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1.10</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1.10</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1.10</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30207</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邮电费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0.60</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0.60</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0.60</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30208</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取暖费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30209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物业管理费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0.74</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0.74</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0.74</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差旅费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0.93</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0.93</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0.65</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0.28</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因公出国（境）费用</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维修（护）费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0.04</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0.04</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0.04</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30214</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租赁费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30215</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会议费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30216</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培训费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0.73</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0.73</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0.73</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30217</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公务接待费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30218</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专用材料费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30224</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被装购置费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30225</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专用燃料费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30226</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劳务费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30227</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委托业务费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30228</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工会经费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1.04</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1.04</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1.04</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30229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福利费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1.32</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1.32</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1.32</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30231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公务用车运行维护费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40</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30239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其他交通费用</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30240</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税金及附加费用</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30299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其他商品和服务支出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3.57</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3.57</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2.52</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303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对个人和家庭的补助</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21.04</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21.04</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21.04</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离休费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退休费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退职（役）费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30304</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抚恤金</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30305</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生活补助</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49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30306</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救济费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50</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30307</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医疗费补助</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30308</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助学金</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30309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奖励金</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0.04</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0.04</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0.04</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7"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30310</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个人农业生产补贴</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30311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代缴社会保险费</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30399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其他个人和家庭的补助支出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21.00</w:t>
            </w: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21.00</w:t>
            </w: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21.00</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307</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债务利息及费用支出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30701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国内债务付息</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30702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国外债务付息</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59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30703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国内债务发行费用</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60</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30704</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国外债务发行费用</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309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资本性支出（基本建设）</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30901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房屋建筑物购建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30902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办公设备购置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30903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专用设备购置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30905</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基础设施建设</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30906</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大型修缮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30907</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信息网络及软件购置更新</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30908</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物资储备</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69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30913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70</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30919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其他交通工具购置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30921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文物和陈列品购置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30922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无形资产购置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30999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其他基本建设支出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310</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资本性支出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31001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房屋建筑物购建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31002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办公设备购置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31003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专用设备购置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31005</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基础设施建设</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79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31006</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大型修缮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80</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31007</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信息网络及软件购置更新</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31008</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物资储备</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31009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土地补偿</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31010</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安置补助</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31011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地上附着物和青苗补偿</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31012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拆迁补偿</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31013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31019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其他交通工具购置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31021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文物和陈列品购置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89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31022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无形资产购置</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90</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31099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其他资本性支出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311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对企业补助（基本建设）</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31101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资本金注入</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31199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其他对企业补助</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312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对企业补助</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31201</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资本金注入</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31203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政府投资基金股权投资</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31204</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费用补贴</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31205</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利息补贴</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99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312099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其他对企业补助</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100</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313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对社会保障基金补助</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101</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31302</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对社会保险基金补助</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102</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31303</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补充全国社会保障基金</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103</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31304</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对机关事业单位职业年金的补助</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104</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399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6"/>
                <w:szCs w:val="16"/>
                <w:u w:val="none"/>
              </w:rPr>
            </w:pPr>
            <w:r>
              <w:rPr>
                <w:rFonts w:hint="eastAsia" w:ascii="宋体" w:hAnsi="宋体" w:eastAsia="宋体" w:cs="宋体"/>
                <w:b/>
                <w:i w:val="0"/>
                <w:color w:val="000000"/>
                <w:kern w:val="0"/>
                <w:sz w:val="16"/>
                <w:szCs w:val="16"/>
                <w:u w:val="none"/>
                <w:lang w:val="en-US" w:eastAsia="zh-CN" w:bidi="ar"/>
              </w:rPr>
              <w:t>其他支出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105</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39906</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赠与</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106</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39907</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国家赔偿费用支出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107</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39908</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对民间非营利组织和群众性自治组织补贴</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108</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226" w:type="dxa"/>
            <w:gridSpan w:val="3"/>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39999</w:t>
            </w:r>
          </w:p>
        </w:tc>
        <w:tc>
          <w:tcPr>
            <w:tcW w:w="12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其他支出</w:t>
            </w:r>
          </w:p>
        </w:tc>
        <w:tc>
          <w:tcPr>
            <w:tcW w:w="51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109</w:t>
            </w:r>
          </w:p>
        </w:tc>
        <w:tc>
          <w:tcPr>
            <w:tcW w:w="7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7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35"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386" w:type="dxa"/>
            <w:gridSpan w:val="9"/>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注：本表以“万元”为金额单位（保留两位小数），反映部门本年度财政拨款实际支出情况。</w:t>
            </w:r>
          </w:p>
        </w:tc>
        <w:tc>
          <w:tcPr>
            <w:tcW w:w="240" w:type="dxa"/>
            <w:tcBorders>
              <w:top w:val="nil"/>
              <w:left w:val="nil"/>
              <w:bottom w:val="nil"/>
              <w:right w:val="nil"/>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50" w:type="dxa"/>
            <w:tcBorders>
              <w:top w:val="nil"/>
              <w:left w:val="nil"/>
              <w:bottom w:val="nil"/>
              <w:right w:val="nil"/>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nil"/>
              <w:right w:val="nil"/>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40" w:type="dxa"/>
            <w:tcBorders>
              <w:top w:val="nil"/>
              <w:left w:val="nil"/>
              <w:bottom w:val="nil"/>
              <w:right w:val="nil"/>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nil"/>
              <w:right w:val="nil"/>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34" w:type="dxa"/>
            <w:tcBorders>
              <w:top w:val="nil"/>
              <w:left w:val="nil"/>
              <w:bottom w:val="nil"/>
              <w:right w:val="nil"/>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bl>
    <w:p>
      <w:pPr>
        <w:widowControl w:val="0"/>
        <w:numPr>
          <w:ilvl w:val="0"/>
          <w:numId w:val="0"/>
        </w:numPr>
        <w:jc w:val="both"/>
      </w:pPr>
    </w:p>
    <w:p>
      <w:pPr>
        <w:pStyle w:val="2"/>
      </w:pPr>
    </w:p>
    <w:p>
      <w:pPr>
        <w:pStyle w:val="2"/>
      </w:pPr>
    </w:p>
    <w:p>
      <w:pPr>
        <w:pStyle w:val="2"/>
      </w:pPr>
    </w:p>
    <w:p>
      <w:pPr>
        <w:pStyle w:val="2"/>
      </w:pPr>
    </w:p>
    <w:p>
      <w:pPr>
        <w:pStyle w:val="2"/>
      </w:pPr>
    </w:p>
    <w:p>
      <w:pPr>
        <w:pStyle w:val="2"/>
      </w:pPr>
    </w:p>
    <w:p>
      <w:pPr>
        <w:pStyle w:val="4"/>
        <w:numPr>
          <w:ilvl w:val="0"/>
          <w:numId w:val="1"/>
        </w:numPr>
        <w:ind w:left="0" w:leftChars="0" w:firstLine="0" w:firstLineChars="0"/>
        <w:rPr>
          <w:rStyle w:val="25"/>
          <w:rFonts w:hint="eastAsia" w:ascii="仿宋" w:hAnsi="仿宋" w:eastAsia="仿宋"/>
          <w:b w:val="0"/>
          <w:bCs w:val="0"/>
        </w:rPr>
      </w:pPr>
      <w:r>
        <w:rPr>
          <w:rFonts w:hint="eastAsia" w:ascii="仿宋" w:hAnsi="仿宋" w:eastAsia="仿宋"/>
          <w:b w:val="0"/>
        </w:rPr>
        <w:t>一</w:t>
      </w:r>
      <w:r>
        <w:rPr>
          <w:rStyle w:val="25"/>
          <w:rFonts w:hint="eastAsia" w:ascii="仿宋" w:hAnsi="仿宋" w:eastAsia="仿宋"/>
          <w:b w:val="0"/>
          <w:bCs w:val="0"/>
        </w:rPr>
        <w:t>般公共预算财政拨款支出决算表</w:t>
      </w:r>
      <w:bookmarkEnd w:id="59"/>
    </w:p>
    <w:tbl>
      <w:tblPr>
        <w:tblStyle w:val="12"/>
        <w:tblW w:w="83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936"/>
        <w:gridCol w:w="300"/>
        <w:gridCol w:w="450"/>
        <w:gridCol w:w="2660"/>
        <w:gridCol w:w="1150"/>
        <w:gridCol w:w="1210"/>
        <w:gridCol w:w="16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8" w:hRule="atLeast"/>
        </w:trPr>
        <w:tc>
          <w:tcPr>
            <w:tcW w:w="8330" w:type="dxa"/>
            <w:gridSpan w:val="7"/>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936"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20"/>
                <w:szCs w:val="20"/>
                <w:u w:val="none"/>
              </w:rPr>
            </w:pPr>
          </w:p>
        </w:tc>
        <w:tc>
          <w:tcPr>
            <w:tcW w:w="3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4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26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11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12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1624"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财决公开06表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4346" w:type="dxa"/>
            <w:gridSpan w:val="4"/>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部门：乐山市市中区学生发展中心</w:t>
            </w:r>
          </w:p>
        </w:tc>
        <w:tc>
          <w:tcPr>
            <w:tcW w:w="115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2021年度</w:t>
            </w:r>
          </w:p>
        </w:tc>
        <w:tc>
          <w:tcPr>
            <w:tcW w:w="12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1624"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686"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支出功能分类</w:t>
            </w:r>
          </w:p>
        </w:tc>
        <w:tc>
          <w:tcPr>
            <w:tcW w:w="266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15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21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624"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7" w:hRule="atLeast"/>
        </w:trPr>
        <w:tc>
          <w:tcPr>
            <w:tcW w:w="1686"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66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1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1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24"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5" w:hRule="atLeast"/>
        </w:trPr>
        <w:tc>
          <w:tcPr>
            <w:tcW w:w="936" w:type="dxa"/>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类</w:t>
            </w:r>
          </w:p>
        </w:tc>
        <w:tc>
          <w:tcPr>
            <w:tcW w:w="30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款</w:t>
            </w:r>
          </w:p>
        </w:tc>
        <w:tc>
          <w:tcPr>
            <w:tcW w:w="4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w:t>
            </w:r>
          </w:p>
        </w:tc>
        <w:tc>
          <w:tcPr>
            <w:tcW w:w="266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1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21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624"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936" w:type="dxa"/>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3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4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2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130.65</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119.84</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教育支出</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102.74</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91.93</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20501</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教育管理事务</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99.93</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91.93</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2050199</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其他教育管理事务支出</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99.93</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91.93</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进修及培训</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2.81</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2050801</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教师进修</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2.81</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15.05</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15.05</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14.20</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14.20</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机关事业单位基本养老保险缴费支出</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9.47</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9.47</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2080506</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机关事业单位职业年金缴费支出</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4.73</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20811</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残疾人事业</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0.85</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0.85</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2081199</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其他残疾人事业支出</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0.85</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0.85</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卫生健康支出</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行政事业单位医疗</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2101102</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事业单位医疗</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住房保障支出</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9.20</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9.20</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住房改革支出</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9.20</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9.20</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68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2210201</w:t>
            </w:r>
          </w:p>
        </w:tc>
        <w:tc>
          <w:tcPr>
            <w:tcW w:w="2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住房公积金</w:t>
            </w:r>
          </w:p>
        </w:tc>
        <w:tc>
          <w:tcPr>
            <w:tcW w:w="11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9.20</w:t>
            </w:r>
          </w:p>
        </w:tc>
        <w:tc>
          <w:tcPr>
            <w:tcW w:w="12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9.20</w:t>
            </w:r>
          </w:p>
        </w:tc>
        <w:tc>
          <w:tcPr>
            <w:tcW w:w="162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330" w:type="dxa"/>
            <w:gridSpan w:val="7"/>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注：本表以“万元”为金额单位（保留两位小数），反映部门本年度一般公共预算财政拨款实际支出情况。</w:t>
            </w:r>
          </w:p>
        </w:tc>
      </w:tr>
    </w:tbl>
    <w:p>
      <w:pPr>
        <w:widowControl w:val="0"/>
        <w:numPr>
          <w:ilvl w:val="0"/>
          <w:numId w:val="0"/>
        </w:numPr>
        <w:jc w:val="both"/>
      </w:pPr>
    </w:p>
    <w:p>
      <w:pPr>
        <w:pStyle w:val="2"/>
      </w:pPr>
    </w:p>
    <w:p>
      <w:pPr>
        <w:pStyle w:val="2"/>
      </w:pPr>
    </w:p>
    <w:p>
      <w:pPr>
        <w:pStyle w:val="2"/>
      </w:pPr>
    </w:p>
    <w:p>
      <w:pPr>
        <w:pStyle w:val="2"/>
      </w:pPr>
    </w:p>
    <w:p>
      <w:pPr>
        <w:pStyle w:val="4"/>
        <w:numPr>
          <w:ilvl w:val="0"/>
          <w:numId w:val="1"/>
        </w:numPr>
        <w:ind w:left="0" w:leftChars="0" w:firstLine="0" w:firstLineChars="0"/>
        <w:rPr>
          <w:rStyle w:val="25"/>
          <w:rFonts w:hint="eastAsia" w:ascii="仿宋" w:hAnsi="仿宋" w:eastAsia="仿宋"/>
          <w:b w:val="0"/>
          <w:bCs w:val="0"/>
        </w:rPr>
      </w:pPr>
      <w:bookmarkStart w:id="60" w:name="_Toc15396625"/>
      <w:r>
        <w:rPr>
          <w:rFonts w:hint="eastAsia" w:ascii="仿宋" w:hAnsi="仿宋" w:eastAsia="仿宋"/>
          <w:b w:val="0"/>
        </w:rPr>
        <w:t>一</w:t>
      </w:r>
      <w:r>
        <w:rPr>
          <w:rStyle w:val="25"/>
          <w:rFonts w:hint="eastAsia" w:ascii="仿宋" w:hAnsi="仿宋" w:eastAsia="仿宋"/>
          <w:b w:val="0"/>
          <w:bCs w:val="0"/>
        </w:rPr>
        <w:t>般公共预算财政拨款支出决算明细表</w:t>
      </w:r>
      <w:bookmarkEnd w:id="60"/>
    </w:p>
    <w:tbl>
      <w:tblPr>
        <w:tblStyle w:val="12"/>
        <w:tblpPr w:leftFromText="180" w:rightFromText="180" w:vertAnchor="text" w:horzAnchor="page" w:tblpX="1757" w:tblpY="269"/>
        <w:tblOverlap w:val="never"/>
        <w:tblW w:w="9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39"/>
        <w:gridCol w:w="240"/>
        <w:gridCol w:w="243"/>
        <w:gridCol w:w="838"/>
        <w:gridCol w:w="550"/>
        <w:gridCol w:w="540"/>
        <w:gridCol w:w="540"/>
        <w:gridCol w:w="510"/>
        <w:gridCol w:w="520"/>
        <w:gridCol w:w="460"/>
        <w:gridCol w:w="530"/>
        <w:gridCol w:w="550"/>
        <w:gridCol w:w="530"/>
        <w:gridCol w:w="460"/>
        <w:gridCol w:w="450"/>
        <w:gridCol w:w="540"/>
        <w:gridCol w:w="440"/>
        <w:gridCol w:w="330"/>
        <w:gridCol w:w="5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2210" w:type="dxa"/>
            <w:gridSpan w:val="5"/>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r>
              <w:rPr>
                <w:rFonts w:hint="eastAsia" w:ascii="宋体" w:hAnsi="宋体" w:eastAsia="宋体" w:cs="宋体"/>
                <w:i w:val="0"/>
                <w:color w:val="000000"/>
                <w:kern w:val="0"/>
                <w:sz w:val="12"/>
                <w:szCs w:val="12"/>
                <w:u w:val="none"/>
                <w:lang w:val="en-US" w:eastAsia="zh-CN" w:bidi="ar"/>
              </w:rPr>
              <w:t>部门：乐山市市中区学生发展中心</w:t>
            </w:r>
          </w:p>
        </w:tc>
        <w:tc>
          <w:tcPr>
            <w:tcW w:w="5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5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5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5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4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53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5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53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4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4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5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4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33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c>
          <w:tcPr>
            <w:tcW w:w="5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660" w:type="dxa"/>
            <w:gridSpan w:val="4"/>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项目</w:t>
            </w:r>
          </w:p>
        </w:tc>
        <w:tc>
          <w:tcPr>
            <w:tcW w:w="55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合计</w:t>
            </w:r>
          </w:p>
        </w:tc>
        <w:tc>
          <w:tcPr>
            <w:tcW w:w="6910" w:type="dxa"/>
            <w:gridSpan w:val="14"/>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工资福利支出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支出功能分类科目编码</w:t>
            </w:r>
          </w:p>
        </w:tc>
        <w:tc>
          <w:tcPr>
            <w:tcW w:w="83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科目名称</w:t>
            </w:r>
          </w:p>
        </w:tc>
        <w:tc>
          <w:tcPr>
            <w:tcW w:w="5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小计</w:t>
            </w:r>
          </w:p>
        </w:tc>
        <w:tc>
          <w:tcPr>
            <w:tcW w:w="5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基本工资</w:t>
            </w:r>
          </w:p>
        </w:tc>
        <w:tc>
          <w:tcPr>
            <w:tcW w:w="51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津贴补贴</w:t>
            </w:r>
          </w:p>
        </w:tc>
        <w:tc>
          <w:tcPr>
            <w:tcW w:w="52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奖金</w:t>
            </w:r>
          </w:p>
        </w:tc>
        <w:tc>
          <w:tcPr>
            <w:tcW w:w="4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伙食补助费</w:t>
            </w:r>
          </w:p>
        </w:tc>
        <w:tc>
          <w:tcPr>
            <w:tcW w:w="53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绩效工资</w:t>
            </w:r>
          </w:p>
        </w:tc>
        <w:tc>
          <w:tcPr>
            <w:tcW w:w="5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机关事业单位基本养老保险费</w:t>
            </w:r>
          </w:p>
        </w:tc>
        <w:tc>
          <w:tcPr>
            <w:tcW w:w="53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职业年金缴费</w:t>
            </w:r>
          </w:p>
        </w:tc>
        <w:tc>
          <w:tcPr>
            <w:tcW w:w="4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职工基本医疗保险缴费</w:t>
            </w:r>
          </w:p>
        </w:tc>
        <w:tc>
          <w:tcPr>
            <w:tcW w:w="4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公务员医疗补助缴费</w:t>
            </w:r>
          </w:p>
        </w:tc>
        <w:tc>
          <w:tcPr>
            <w:tcW w:w="5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其他社会保障缴费</w:t>
            </w:r>
          </w:p>
        </w:tc>
        <w:tc>
          <w:tcPr>
            <w:tcW w:w="4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住房公积金</w:t>
            </w:r>
          </w:p>
        </w:tc>
        <w:tc>
          <w:tcPr>
            <w:tcW w:w="33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医疗费</w:t>
            </w:r>
          </w:p>
        </w:tc>
        <w:tc>
          <w:tcPr>
            <w:tcW w:w="51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其他工资福利支出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22"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83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4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4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4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4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3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83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4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4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4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4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3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5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39" w:type="dxa"/>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类</w:t>
            </w:r>
          </w:p>
        </w:tc>
        <w:tc>
          <w:tcPr>
            <w:tcW w:w="2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款</w:t>
            </w:r>
          </w:p>
        </w:tc>
        <w:tc>
          <w:tcPr>
            <w:tcW w:w="243"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项</w:t>
            </w:r>
          </w:p>
        </w:tc>
        <w:tc>
          <w:tcPr>
            <w:tcW w:w="83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栏次</w:t>
            </w:r>
          </w:p>
        </w:tc>
        <w:tc>
          <w:tcPr>
            <w:tcW w:w="55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w:t>
            </w:r>
          </w:p>
        </w:tc>
        <w:tc>
          <w:tcPr>
            <w:tcW w:w="5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w:t>
            </w:r>
          </w:p>
        </w:tc>
        <w:tc>
          <w:tcPr>
            <w:tcW w:w="5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w:t>
            </w:r>
          </w:p>
        </w:tc>
        <w:tc>
          <w:tcPr>
            <w:tcW w:w="5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4</w:t>
            </w:r>
          </w:p>
        </w:tc>
        <w:tc>
          <w:tcPr>
            <w:tcW w:w="5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5</w:t>
            </w:r>
          </w:p>
        </w:tc>
        <w:tc>
          <w:tcPr>
            <w:tcW w:w="4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6</w:t>
            </w:r>
          </w:p>
        </w:tc>
        <w:tc>
          <w:tcPr>
            <w:tcW w:w="53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7</w:t>
            </w:r>
          </w:p>
        </w:tc>
        <w:tc>
          <w:tcPr>
            <w:tcW w:w="55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8</w:t>
            </w:r>
          </w:p>
        </w:tc>
        <w:tc>
          <w:tcPr>
            <w:tcW w:w="53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w:t>
            </w:r>
          </w:p>
        </w:tc>
        <w:tc>
          <w:tcPr>
            <w:tcW w:w="4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10</w:t>
            </w:r>
          </w:p>
        </w:tc>
        <w:tc>
          <w:tcPr>
            <w:tcW w:w="45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11</w:t>
            </w:r>
          </w:p>
        </w:tc>
        <w:tc>
          <w:tcPr>
            <w:tcW w:w="5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12</w:t>
            </w:r>
          </w:p>
        </w:tc>
        <w:tc>
          <w:tcPr>
            <w:tcW w:w="4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13</w:t>
            </w:r>
          </w:p>
        </w:tc>
        <w:tc>
          <w:tcPr>
            <w:tcW w:w="33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14</w:t>
            </w:r>
          </w:p>
        </w:tc>
        <w:tc>
          <w:tcPr>
            <w:tcW w:w="5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39" w:type="dxa"/>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2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243"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2"/>
                <w:szCs w:val="12"/>
                <w:u w:val="none"/>
              </w:rPr>
            </w:pPr>
          </w:p>
        </w:tc>
        <w:tc>
          <w:tcPr>
            <w:tcW w:w="83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合计</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130.65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90.45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36.78</w:t>
            </w: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1.08</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1.98</w:t>
            </w: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22.16</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9.47</w:t>
            </w: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4.73</w:t>
            </w: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3.65</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1.39</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9.20</w:t>
            </w: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205</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教育支出</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102.74</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62.54</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36.78</w:t>
            </w: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1.08</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1.98</w:t>
            </w: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22.16</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0.54</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20501</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教育管理事务</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99.93</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62.54</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36.78</w:t>
            </w: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1.08</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1.98</w:t>
            </w: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22.16</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0.54</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2050199</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 xml:space="preserve">  其他教育管理事务支出</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99.93</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62.54</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36.78</w:t>
            </w: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1.08</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1.98</w:t>
            </w: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22.16</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0.54</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20508</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进修及培训</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2.81</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2050801</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 xml:space="preserve">  教师进修</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2.81</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208</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社会保障和就业支出</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15.05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15.05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9.47</w:t>
            </w: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4.73</w:t>
            </w: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0.85</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20805</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行政事业单位养老支出</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14.20</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14.20</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9.47</w:t>
            </w: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4.73</w:t>
            </w: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2080505</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 xml:space="preserve">  机关事业单位基本养老保险缴费支出</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9.47</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9.47</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9.47</w:t>
            </w: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2080506</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 xml:space="preserve">  机关事业单位职业年金缴费支出</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4.73</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4.73</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4.73</w:t>
            </w: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20811</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残疾人事业</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0.85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0.85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0.85</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2081199</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 xml:space="preserve">  其他残疾人事业支出</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0.85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0.85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0.85</w:t>
            </w: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210</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卫生健康支出</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3.65</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21011</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行政事业单位医疗</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3.65</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2101102</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 xml:space="preserve">  事业单位医疗</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3.65</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3.65</w:t>
            </w: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221</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住房保障支出</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9.20</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9.20</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9.20</w:t>
            </w: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22102</w:t>
            </w:r>
          </w:p>
        </w:tc>
        <w:tc>
          <w:tcPr>
            <w:tcW w:w="838"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住房改革支出</w:t>
            </w: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9.20</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9.20</w:t>
            </w: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9.20</w:t>
            </w:r>
          </w:p>
        </w:tc>
        <w:tc>
          <w:tcPr>
            <w:tcW w:w="3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2" w:type="dxa"/>
            <w:gridSpan w:val="3"/>
            <w:tcBorders>
              <w:top w:val="nil"/>
              <w:left w:val="single" w:color="000000" w:sz="4" w:space="0"/>
              <w:bottom w:val="single" w:color="000000" w:sz="8"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2210201</w:t>
            </w:r>
          </w:p>
        </w:tc>
        <w:tc>
          <w:tcPr>
            <w:tcW w:w="838"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 xml:space="preserve">  住房公积金</w:t>
            </w:r>
          </w:p>
        </w:tc>
        <w:tc>
          <w:tcPr>
            <w:tcW w:w="55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9.20</w:t>
            </w:r>
          </w:p>
        </w:tc>
        <w:tc>
          <w:tcPr>
            <w:tcW w:w="54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9.20</w:t>
            </w:r>
          </w:p>
        </w:tc>
        <w:tc>
          <w:tcPr>
            <w:tcW w:w="54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2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5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3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6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5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4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44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2"/>
                <w:szCs w:val="12"/>
                <w:u w:val="none"/>
              </w:rPr>
            </w:pPr>
            <w:r>
              <w:rPr>
                <w:rFonts w:hint="eastAsia" w:ascii="宋体" w:hAnsi="宋体" w:eastAsia="宋体" w:cs="宋体"/>
                <w:i w:val="0"/>
                <w:color w:val="000000"/>
                <w:kern w:val="0"/>
                <w:sz w:val="12"/>
                <w:szCs w:val="12"/>
                <w:u w:val="none"/>
                <w:lang w:val="en-US" w:eastAsia="zh-CN" w:bidi="ar"/>
              </w:rPr>
              <w:t>9.20</w:t>
            </w:r>
          </w:p>
        </w:tc>
        <w:tc>
          <w:tcPr>
            <w:tcW w:w="33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c>
          <w:tcPr>
            <w:tcW w:w="51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2"/>
                <w:szCs w:val="12"/>
                <w:u w:val="none"/>
              </w:rPr>
            </w:pPr>
          </w:p>
        </w:tc>
      </w:tr>
    </w:tbl>
    <w:p>
      <w:pPr>
        <w:widowControl w:val="0"/>
        <w:numPr>
          <w:ilvl w:val="0"/>
          <w:numId w:val="0"/>
        </w:numPr>
        <w:jc w:val="both"/>
      </w:pPr>
    </w:p>
    <w:p>
      <w:pPr>
        <w:pStyle w:val="2"/>
      </w:pPr>
    </w:p>
    <w:p>
      <w:pPr>
        <w:pStyle w:val="2"/>
      </w:pPr>
    </w:p>
    <w:tbl>
      <w:tblPr>
        <w:tblStyle w:val="12"/>
        <w:tblpPr w:leftFromText="180" w:rightFromText="180" w:vertAnchor="text" w:horzAnchor="page" w:tblpX="1657" w:tblpY="959"/>
        <w:tblOverlap w:val="never"/>
        <w:tblW w:w="97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36"/>
        <w:gridCol w:w="370"/>
        <w:gridCol w:w="410"/>
        <w:gridCol w:w="280"/>
        <w:gridCol w:w="310"/>
        <w:gridCol w:w="420"/>
        <w:gridCol w:w="390"/>
        <w:gridCol w:w="410"/>
        <w:gridCol w:w="240"/>
        <w:gridCol w:w="390"/>
        <w:gridCol w:w="420"/>
        <w:gridCol w:w="320"/>
        <w:gridCol w:w="390"/>
        <w:gridCol w:w="260"/>
        <w:gridCol w:w="240"/>
        <w:gridCol w:w="420"/>
        <w:gridCol w:w="250"/>
        <w:gridCol w:w="240"/>
        <w:gridCol w:w="270"/>
        <w:gridCol w:w="270"/>
        <w:gridCol w:w="300"/>
        <w:gridCol w:w="310"/>
        <w:gridCol w:w="270"/>
        <w:gridCol w:w="380"/>
        <w:gridCol w:w="410"/>
        <w:gridCol w:w="350"/>
        <w:gridCol w:w="374"/>
        <w:gridCol w:w="63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9760" w:type="dxa"/>
            <w:gridSpan w:val="28"/>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商品和服务支出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436"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小计</w:t>
            </w:r>
          </w:p>
        </w:tc>
        <w:tc>
          <w:tcPr>
            <w:tcW w:w="37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办公费</w:t>
            </w:r>
          </w:p>
        </w:tc>
        <w:tc>
          <w:tcPr>
            <w:tcW w:w="41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印刷费</w:t>
            </w:r>
          </w:p>
        </w:tc>
        <w:tc>
          <w:tcPr>
            <w:tcW w:w="28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咨询费</w:t>
            </w:r>
          </w:p>
        </w:tc>
        <w:tc>
          <w:tcPr>
            <w:tcW w:w="31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手续费</w:t>
            </w:r>
          </w:p>
        </w:tc>
        <w:tc>
          <w:tcPr>
            <w:tcW w:w="42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水费</w:t>
            </w:r>
          </w:p>
        </w:tc>
        <w:tc>
          <w:tcPr>
            <w:tcW w:w="39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电费</w:t>
            </w:r>
          </w:p>
        </w:tc>
        <w:tc>
          <w:tcPr>
            <w:tcW w:w="41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邮电费</w:t>
            </w:r>
          </w:p>
        </w:tc>
        <w:tc>
          <w:tcPr>
            <w:tcW w:w="2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取暖费</w:t>
            </w:r>
          </w:p>
        </w:tc>
        <w:tc>
          <w:tcPr>
            <w:tcW w:w="39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物业管理费</w:t>
            </w:r>
          </w:p>
        </w:tc>
        <w:tc>
          <w:tcPr>
            <w:tcW w:w="42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差旅费</w:t>
            </w:r>
          </w:p>
        </w:tc>
        <w:tc>
          <w:tcPr>
            <w:tcW w:w="32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因公出国（境）费用</w:t>
            </w:r>
          </w:p>
        </w:tc>
        <w:tc>
          <w:tcPr>
            <w:tcW w:w="39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维修（护）费</w:t>
            </w:r>
          </w:p>
        </w:tc>
        <w:tc>
          <w:tcPr>
            <w:tcW w:w="2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租赁费</w:t>
            </w:r>
          </w:p>
        </w:tc>
        <w:tc>
          <w:tcPr>
            <w:tcW w:w="2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会议费</w:t>
            </w:r>
          </w:p>
        </w:tc>
        <w:tc>
          <w:tcPr>
            <w:tcW w:w="42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培训费</w:t>
            </w:r>
          </w:p>
        </w:tc>
        <w:tc>
          <w:tcPr>
            <w:tcW w:w="2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公务接待费</w:t>
            </w:r>
          </w:p>
        </w:tc>
        <w:tc>
          <w:tcPr>
            <w:tcW w:w="2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专用材料费</w:t>
            </w:r>
          </w:p>
        </w:tc>
        <w:tc>
          <w:tcPr>
            <w:tcW w:w="27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被装购置费</w:t>
            </w:r>
          </w:p>
        </w:tc>
        <w:tc>
          <w:tcPr>
            <w:tcW w:w="27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专用燃料费</w:t>
            </w:r>
          </w:p>
        </w:tc>
        <w:tc>
          <w:tcPr>
            <w:tcW w:w="30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劳务费</w:t>
            </w:r>
          </w:p>
        </w:tc>
        <w:tc>
          <w:tcPr>
            <w:tcW w:w="31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委托业务费</w:t>
            </w:r>
          </w:p>
        </w:tc>
        <w:tc>
          <w:tcPr>
            <w:tcW w:w="27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工会经费</w:t>
            </w:r>
          </w:p>
        </w:tc>
        <w:tc>
          <w:tcPr>
            <w:tcW w:w="38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福利费</w:t>
            </w:r>
          </w:p>
        </w:tc>
        <w:tc>
          <w:tcPr>
            <w:tcW w:w="41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公务用车运行维护费</w:t>
            </w:r>
          </w:p>
        </w:tc>
        <w:tc>
          <w:tcPr>
            <w:tcW w:w="3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其他交通费用</w:t>
            </w:r>
          </w:p>
        </w:tc>
        <w:tc>
          <w:tcPr>
            <w:tcW w:w="37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税金及附加费用</w:t>
            </w:r>
          </w:p>
        </w:tc>
        <w:tc>
          <w:tcPr>
            <w:tcW w:w="63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其他商品和服务支出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436"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8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9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9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9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8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7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6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436"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8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9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9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9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2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8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4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37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6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16</w:t>
            </w:r>
          </w:p>
        </w:tc>
        <w:tc>
          <w:tcPr>
            <w:tcW w:w="37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17</w:t>
            </w:r>
          </w:p>
        </w:tc>
        <w:tc>
          <w:tcPr>
            <w:tcW w:w="4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18</w:t>
            </w:r>
          </w:p>
        </w:tc>
        <w:tc>
          <w:tcPr>
            <w:tcW w:w="28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19</w:t>
            </w:r>
          </w:p>
        </w:tc>
        <w:tc>
          <w:tcPr>
            <w:tcW w:w="3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20</w:t>
            </w:r>
          </w:p>
        </w:tc>
        <w:tc>
          <w:tcPr>
            <w:tcW w:w="4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21</w:t>
            </w:r>
          </w:p>
        </w:tc>
        <w:tc>
          <w:tcPr>
            <w:tcW w:w="39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22</w:t>
            </w:r>
          </w:p>
        </w:tc>
        <w:tc>
          <w:tcPr>
            <w:tcW w:w="4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23</w:t>
            </w:r>
          </w:p>
        </w:tc>
        <w:tc>
          <w:tcPr>
            <w:tcW w:w="2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24</w:t>
            </w:r>
          </w:p>
        </w:tc>
        <w:tc>
          <w:tcPr>
            <w:tcW w:w="39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25</w:t>
            </w:r>
          </w:p>
        </w:tc>
        <w:tc>
          <w:tcPr>
            <w:tcW w:w="4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26</w:t>
            </w:r>
          </w:p>
        </w:tc>
        <w:tc>
          <w:tcPr>
            <w:tcW w:w="3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27</w:t>
            </w:r>
          </w:p>
        </w:tc>
        <w:tc>
          <w:tcPr>
            <w:tcW w:w="39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28</w:t>
            </w:r>
          </w:p>
        </w:tc>
        <w:tc>
          <w:tcPr>
            <w:tcW w:w="2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29</w:t>
            </w:r>
          </w:p>
        </w:tc>
        <w:tc>
          <w:tcPr>
            <w:tcW w:w="2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w:t>
            </w:r>
          </w:p>
        </w:tc>
        <w:tc>
          <w:tcPr>
            <w:tcW w:w="4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w:t>
            </w:r>
          </w:p>
        </w:tc>
        <w:tc>
          <w:tcPr>
            <w:tcW w:w="25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32</w:t>
            </w:r>
          </w:p>
        </w:tc>
        <w:tc>
          <w:tcPr>
            <w:tcW w:w="2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33</w:t>
            </w:r>
          </w:p>
        </w:tc>
        <w:tc>
          <w:tcPr>
            <w:tcW w:w="27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34</w:t>
            </w:r>
          </w:p>
        </w:tc>
        <w:tc>
          <w:tcPr>
            <w:tcW w:w="27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35</w:t>
            </w:r>
          </w:p>
        </w:tc>
        <w:tc>
          <w:tcPr>
            <w:tcW w:w="30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36</w:t>
            </w:r>
          </w:p>
        </w:tc>
        <w:tc>
          <w:tcPr>
            <w:tcW w:w="3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37</w:t>
            </w:r>
          </w:p>
        </w:tc>
        <w:tc>
          <w:tcPr>
            <w:tcW w:w="27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38</w:t>
            </w:r>
          </w:p>
        </w:tc>
        <w:tc>
          <w:tcPr>
            <w:tcW w:w="38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39</w:t>
            </w:r>
          </w:p>
        </w:tc>
        <w:tc>
          <w:tcPr>
            <w:tcW w:w="4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40</w:t>
            </w:r>
          </w:p>
        </w:tc>
        <w:tc>
          <w:tcPr>
            <w:tcW w:w="35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41</w:t>
            </w:r>
          </w:p>
        </w:tc>
        <w:tc>
          <w:tcPr>
            <w:tcW w:w="37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42</w:t>
            </w:r>
          </w:p>
        </w:tc>
        <w:tc>
          <w:tcPr>
            <w:tcW w:w="63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19.15</w:t>
            </w: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3.34</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5.60</w:t>
            </w: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0.15</w:t>
            </w: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1.10</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0.60</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0.74</w:t>
            </w: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0.93</w:t>
            </w: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0.04</w:t>
            </w: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0.73</w:t>
            </w: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1.04</w:t>
            </w: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1.32</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19.16</w:t>
            </w: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3.33</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5.60</w:t>
            </w: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0.15</w:t>
            </w: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1.10</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0.60</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0.74</w:t>
            </w: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0.93</w:t>
            </w: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0.04</w:t>
            </w: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0.73</w:t>
            </w: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1.04</w:t>
            </w: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1.32</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16.35</w:t>
            </w: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1.65</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5.60</w:t>
            </w: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0.15</w:t>
            </w: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1.10</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0.60</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0.74</w:t>
            </w: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0.65</w:t>
            </w: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0.04</w:t>
            </w: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1.04</w:t>
            </w: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1.32</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16.35</w:t>
            </w: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1.65</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5.60</w:t>
            </w: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0.15</w:t>
            </w: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1.10</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0.60</w:t>
            </w: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0.74</w:t>
            </w: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0.65</w:t>
            </w: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0.04</w:t>
            </w: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1.04</w:t>
            </w: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1.32</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2.81</w:t>
            </w: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1.68</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0.28</w:t>
            </w: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0.73</w:t>
            </w: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2.81</w:t>
            </w: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1.68</w:t>
            </w: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0.28</w:t>
            </w: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0.73</w:t>
            </w: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43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436"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8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2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9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6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2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5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4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0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1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27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8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41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5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374"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3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bl>
    <w:p>
      <w:pPr>
        <w:pStyle w:val="2"/>
      </w:pPr>
    </w:p>
    <w:p>
      <w:pPr>
        <w:pStyle w:val="2"/>
      </w:pPr>
    </w:p>
    <w:p>
      <w:pPr>
        <w:pStyle w:val="2"/>
      </w:pPr>
    </w:p>
    <w:p>
      <w:pPr>
        <w:pStyle w:val="2"/>
      </w:pPr>
    </w:p>
    <w:p>
      <w:pPr>
        <w:pStyle w:val="2"/>
      </w:pPr>
    </w:p>
    <w:tbl>
      <w:tblPr>
        <w:tblStyle w:val="12"/>
        <w:tblW w:w="858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60"/>
        <w:gridCol w:w="660"/>
        <w:gridCol w:w="660"/>
        <w:gridCol w:w="660"/>
        <w:gridCol w:w="660"/>
        <w:gridCol w:w="660"/>
        <w:gridCol w:w="660"/>
        <w:gridCol w:w="660"/>
        <w:gridCol w:w="660"/>
        <w:gridCol w:w="660"/>
        <w:gridCol w:w="660"/>
        <w:gridCol w:w="660"/>
        <w:gridCol w:w="6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580" w:type="dxa"/>
            <w:gridSpan w:val="13"/>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对个人和家庭的补助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离休费</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退休费</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退职（役）费</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抚恤金</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生活补助</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救济费</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医疗费补助</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助学金</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奖励金</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个人农业生产补贴</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代缴社会保险费</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其他个人和家庭的补助支出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44</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45</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46</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47</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48</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49</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50</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51</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52</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53</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54</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55</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21.04</w:t>
            </w: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0.04</w:t>
            </w: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21.04</w:t>
            </w: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0.04</w:t>
            </w: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21.04</w:t>
            </w: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0.04</w:t>
            </w: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21.04</w:t>
            </w: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0.04</w:t>
            </w: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bl>
    <w:p>
      <w:pPr>
        <w:pStyle w:val="2"/>
      </w:pPr>
    </w:p>
    <w:p>
      <w:pPr>
        <w:pStyle w:val="2"/>
      </w:pPr>
    </w:p>
    <w:p>
      <w:pPr>
        <w:pStyle w:val="2"/>
      </w:pPr>
    </w:p>
    <w:p>
      <w:pPr>
        <w:pStyle w:val="2"/>
      </w:pPr>
    </w:p>
    <w:p>
      <w:pPr>
        <w:pStyle w:val="2"/>
      </w:pPr>
    </w:p>
    <w:p>
      <w:pPr>
        <w:pStyle w:val="2"/>
      </w:pPr>
    </w:p>
    <w:p>
      <w:pPr>
        <w:pStyle w:val="2"/>
      </w:pPr>
    </w:p>
    <w:p>
      <w:pPr>
        <w:pStyle w:val="2"/>
      </w:pPr>
    </w:p>
    <w:p>
      <w:pPr>
        <w:pStyle w:val="2"/>
      </w:pPr>
    </w:p>
    <w:tbl>
      <w:tblPr>
        <w:tblStyle w:val="12"/>
        <w:tblW w:w="75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512"/>
        <w:gridCol w:w="1512"/>
        <w:gridCol w:w="1512"/>
        <w:gridCol w:w="1512"/>
        <w:gridCol w:w="15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7560" w:type="dxa"/>
            <w:gridSpan w:val="5"/>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债务利息及费用支出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512"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512"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国内债务付息</w:t>
            </w:r>
          </w:p>
        </w:tc>
        <w:tc>
          <w:tcPr>
            <w:tcW w:w="1512"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国外债务付息</w:t>
            </w:r>
          </w:p>
        </w:tc>
        <w:tc>
          <w:tcPr>
            <w:tcW w:w="1512"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国内债务发行费用</w:t>
            </w:r>
          </w:p>
        </w:tc>
        <w:tc>
          <w:tcPr>
            <w:tcW w:w="1512"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国外债务发行费用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512"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512"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512"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512"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512"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512"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512"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512"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512"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1512"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512"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512"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512"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512"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512"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bl>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tbl>
      <w:tblPr>
        <w:tblStyle w:val="12"/>
        <w:tblW w:w="84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648"/>
        <w:gridCol w:w="648"/>
        <w:gridCol w:w="648"/>
        <w:gridCol w:w="648"/>
        <w:gridCol w:w="648"/>
        <w:gridCol w:w="648"/>
        <w:gridCol w:w="648"/>
        <w:gridCol w:w="648"/>
        <w:gridCol w:w="648"/>
        <w:gridCol w:w="648"/>
        <w:gridCol w:w="648"/>
        <w:gridCol w:w="648"/>
        <w:gridCol w:w="6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424" w:type="dxa"/>
            <w:gridSpan w:val="13"/>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资本性支出（基本建设）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房屋建筑物购建</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办公设备购置</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专用设备购置</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基础设施建设</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大型修缮</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信息网络及软件购置更新</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物资储备</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其他交通工具购置</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文物和陈列品购置</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无形资产购置</w:t>
            </w:r>
          </w:p>
        </w:tc>
        <w:tc>
          <w:tcPr>
            <w:tcW w:w="6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其他基本建设支出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6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65</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66</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67</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69</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72</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73</w:t>
            </w:r>
          </w:p>
        </w:tc>
        <w:tc>
          <w:tcPr>
            <w:tcW w:w="6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bl>
    <w:p>
      <w:pPr>
        <w:pStyle w:val="2"/>
      </w:pPr>
    </w:p>
    <w:p>
      <w:pPr>
        <w:pStyle w:val="2"/>
      </w:pPr>
    </w:p>
    <w:p>
      <w:pPr>
        <w:pStyle w:val="2"/>
      </w:pPr>
    </w:p>
    <w:p>
      <w:pPr>
        <w:pStyle w:val="2"/>
      </w:pPr>
    </w:p>
    <w:p>
      <w:pPr>
        <w:pStyle w:val="2"/>
      </w:pPr>
    </w:p>
    <w:p>
      <w:pPr>
        <w:pStyle w:val="2"/>
      </w:pPr>
    </w:p>
    <w:p>
      <w:pPr>
        <w:pStyle w:val="2"/>
      </w:pPr>
    </w:p>
    <w:p>
      <w:pPr>
        <w:pStyle w:val="2"/>
      </w:pPr>
    </w:p>
    <w:tbl>
      <w:tblPr>
        <w:tblStyle w:val="12"/>
        <w:tblW w:w="9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26"/>
        <w:gridCol w:w="500"/>
        <w:gridCol w:w="450"/>
        <w:gridCol w:w="520"/>
        <w:gridCol w:w="530"/>
        <w:gridCol w:w="430"/>
        <w:gridCol w:w="580"/>
        <w:gridCol w:w="510"/>
        <w:gridCol w:w="620"/>
        <w:gridCol w:w="550"/>
        <w:gridCol w:w="540"/>
        <w:gridCol w:w="520"/>
        <w:gridCol w:w="500"/>
        <w:gridCol w:w="600"/>
        <w:gridCol w:w="660"/>
        <w:gridCol w:w="630"/>
        <w:gridCol w:w="6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9120" w:type="dxa"/>
            <w:gridSpan w:val="17"/>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资本性支出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326"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小计</w:t>
            </w:r>
          </w:p>
        </w:tc>
        <w:tc>
          <w:tcPr>
            <w:tcW w:w="50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房屋建筑物购建</w:t>
            </w:r>
          </w:p>
        </w:tc>
        <w:tc>
          <w:tcPr>
            <w:tcW w:w="4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办公设备购置</w:t>
            </w:r>
          </w:p>
        </w:tc>
        <w:tc>
          <w:tcPr>
            <w:tcW w:w="52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专用设备购置</w:t>
            </w:r>
          </w:p>
        </w:tc>
        <w:tc>
          <w:tcPr>
            <w:tcW w:w="53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基础设施建设</w:t>
            </w:r>
          </w:p>
        </w:tc>
        <w:tc>
          <w:tcPr>
            <w:tcW w:w="43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大型修缮</w:t>
            </w:r>
          </w:p>
        </w:tc>
        <w:tc>
          <w:tcPr>
            <w:tcW w:w="58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信息网络及软件购置更新</w:t>
            </w:r>
          </w:p>
        </w:tc>
        <w:tc>
          <w:tcPr>
            <w:tcW w:w="51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物资储备</w:t>
            </w:r>
          </w:p>
        </w:tc>
        <w:tc>
          <w:tcPr>
            <w:tcW w:w="62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土地补偿</w:t>
            </w:r>
          </w:p>
        </w:tc>
        <w:tc>
          <w:tcPr>
            <w:tcW w:w="5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安置补助</w:t>
            </w:r>
          </w:p>
        </w:tc>
        <w:tc>
          <w:tcPr>
            <w:tcW w:w="5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地上附着物和青苗补偿</w:t>
            </w:r>
          </w:p>
        </w:tc>
        <w:tc>
          <w:tcPr>
            <w:tcW w:w="52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拆迁补偿</w:t>
            </w:r>
          </w:p>
        </w:tc>
        <w:tc>
          <w:tcPr>
            <w:tcW w:w="50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公务用车购置</w:t>
            </w:r>
          </w:p>
        </w:tc>
        <w:tc>
          <w:tcPr>
            <w:tcW w:w="60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其他交通工具购置</w:t>
            </w:r>
          </w:p>
        </w:tc>
        <w:tc>
          <w:tcPr>
            <w:tcW w:w="6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文物和陈列品购置</w:t>
            </w:r>
          </w:p>
        </w:tc>
        <w:tc>
          <w:tcPr>
            <w:tcW w:w="63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无形资产购置</w:t>
            </w:r>
          </w:p>
        </w:tc>
        <w:tc>
          <w:tcPr>
            <w:tcW w:w="65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其他资本性支出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326"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4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4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8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6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6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6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65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12" w:hRule="atLeast"/>
        </w:trPr>
        <w:tc>
          <w:tcPr>
            <w:tcW w:w="326"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4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4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8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6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5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6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6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6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c>
          <w:tcPr>
            <w:tcW w:w="65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75</w:t>
            </w:r>
          </w:p>
        </w:tc>
        <w:tc>
          <w:tcPr>
            <w:tcW w:w="50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76</w:t>
            </w:r>
          </w:p>
        </w:tc>
        <w:tc>
          <w:tcPr>
            <w:tcW w:w="45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77</w:t>
            </w:r>
          </w:p>
        </w:tc>
        <w:tc>
          <w:tcPr>
            <w:tcW w:w="5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78</w:t>
            </w:r>
          </w:p>
        </w:tc>
        <w:tc>
          <w:tcPr>
            <w:tcW w:w="53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79</w:t>
            </w:r>
          </w:p>
        </w:tc>
        <w:tc>
          <w:tcPr>
            <w:tcW w:w="43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80</w:t>
            </w:r>
          </w:p>
        </w:tc>
        <w:tc>
          <w:tcPr>
            <w:tcW w:w="58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81</w:t>
            </w:r>
          </w:p>
        </w:tc>
        <w:tc>
          <w:tcPr>
            <w:tcW w:w="5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82</w:t>
            </w:r>
          </w:p>
        </w:tc>
        <w:tc>
          <w:tcPr>
            <w:tcW w:w="6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83</w:t>
            </w:r>
          </w:p>
        </w:tc>
        <w:tc>
          <w:tcPr>
            <w:tcW w:w="55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84</w:t>
            </w:r>
          </w:p>
        </w:tc>
        <w:tc>
          <w:tcPr>
            <w:tcW w:w="5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85</w:t>
            </w:r>
          </w:p>
        </w:tc>
        <w:tc>
          <w:tcPr>
            <w:tcW w:w="5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86</w:t>
            </w:r>
          </w:p>
        </w:tc>
        <w:tc>
          <w:tcPr>
            <w:tcW w:w="50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87</w:t>
            </w:r>
          </w:p>
        </w:tc>
        <w:tc>
          <w:tcPr>
            <w:tcW w:w="60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88</w:t>
            </w:r>
          </w:p>
        </w:tc>
        <w:tc>
          <w:tcPr>
            <w:tcW w:w="6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89</w:t>
            </w:r>
          </w:p>
        </w:tc>
        <w:tc>
          <w:tcPr>
            <w:tcW w:w="63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90</w:t>
            </w:r>
          </w:p>
        </w:tc>
        <w:tc>
          <w:tcPr>
            <w:tcW w:w="65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5"/>
                <w:szCs w:val="15"/>
                <w:u w:val="none"/>
                <w:lang w:val="en-US" w:eastAsia="zh-CN" w:bidi="ar"/>
              </w:rPr>
              <w:t>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6" w:hRule="atLeast"/>
        </w:trPr>
        <w:tc>
          <w:tcPr>
            <w:tcW w:w="326"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5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3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43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8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1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2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5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4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2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50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0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6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30"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c>
          <w:tcPr>
            <w:tcW w:w="654" w:type="dxa"/>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5"/>
                <w:szCs w:val="15"/>
                <w:u w:val="none"/>
              </w:rPr>
            </w:pPr>
          </w:p>
        </w:tc>
      </w:tr>
    </w:tbl>
    <w:p>
      <w:pPr>
        <w:pStyle w:val="2"/>
      </w:pPr>
    </w:p>
    <w:p>
      <w:pPr>
        <w:pStyle w:val="2"/>
      </w:pPr>
    </w:p>
    <w:p>
      <w:pPr>
        <w:pStyle w:val="2"/>
      </w:pPr>
    </w:p>
    <w:p>
      <w:pPr>
        <w:pStyle w:val="2"/>
      </w:pPr>
    </w:p>
    <w:p>
      <w:pPr>
        <w:pStyle w:val="2"/>
      </w:pPr>
    </w:p>
    <w:p>
      <w:pPr>
        <w:pStyle w:val="2"/>
      </w:pPr>
    </w:p>
    <w:p>
      <w:pPr>
        <w:pStyle w:val="2"/>
      </w:pPr>
    </w:p>
    <w:p>
      <w:pPr>
        <w:pStyle w:val="2"/>
      </w:pPr>
    </w:p>
    <w:p>
      <w:pPr>
        <w:pStyle w:val="2"/>
      </w:pPr>
    </w:p>
    <w:tbl>
      <w:tblPr>
        <w:tblStyle w:val="12"/>
        <w:tblW w:w="853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48"/>
        <w:gridCol w:w="948"/>
        <w:gridCol w:w="948"/>
        <w:gridCol w:w="948"/>
        <w:gridCol w:w="948"/>
        <w:gridCol w:w="948"/>
        <w:gridCol w:w="948"/>
        <w:gridCol w:w="948"/>
        <w:gridCol w:w="94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2844" w:type="dxa"/>
            <w:gridSpan w:val="3"/>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bookmarkStart w:id="61" w:name="_Toc15396626"/>
            <w:r>
              <w:rPr>
                <w:rFonts w:hint="eastAsia" w:ascii="宋体" w:hAnsi="宋体" w:eastAsia="宋体" w:cs="宋体"/>
                <w:i w:val="0"/>
                <w:color w:val="000000"/>
                <w:kern w:val="0"/>
                <w:sz w:val="22"/>
                <w:szCs w:val="22"/>
                <w:u w:val="none"/>
                <w:lang w:val="en-US" w:eastAsia="zh-CN" w:bidi="ar"/>
              </w:rPr>
              <w:t>对企业补助（基本建设）</w:t>
            </w:r>
          </w:p>
        </w:tc>
        <w:tc>
          <w:tcPr>
            <w:tcW w:w="5688" w:type="dxa"/>
            <w:gridSpan w:val="6"/>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对企业补助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9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9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资本金注入</w:t>
            </w:r>
          </w:p>
        </w:tc>
        <w:tc>
          <w:tcPr>
            <w:tcW w:w="9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其他对企业补助</w:t>
            </w:r>
          </w:p>
        </w:tc>
        <w:tc>
          <w:tcPr>
            <w:tcW w:w="9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9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资本金注入</w:t>
            </w:r>
          </w:p>
        </w:tc>
        <w:tc>
          <w:tcPr>
            <w:tcW w:w="9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政府投资基金股权投资</w:t>
            </w:r>
          </w:p>
        </w:tc>
        <w:tc>
          <w:tcPr>
            <w:tcW w:w="9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费用补贴</w:t>
            </w:r>
          </w:p>
        </w:tc>
        <w:tc>
          <w:tcPr>
            <w:tcW w:w="9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利息补贴</w:t>
            </w:r>
          </w:p>
        </w:tc>
        <w:tc>
          <w:tcPr>
            <w:tcW w:w="948"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其他对企业补助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48"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9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92</w:t>
            </w:r>
          </w:p>
        </w:tc>
        <w:tc>
          <w:tcPr>
            <w:tcW w:w="9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93</w:t>
            </w:r>
          </w:p>
        </w:tc>
        <w:tc>
          <w:tcPr>
            <w:tcW w:w="9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94</w:t>
            </w:r>
          </w:p>
        </w:tc>
        <w:tc>
          <w:tcPr>
            <w:tcW w:w="9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95</w:t>
            </w:r>
          </w:p>
        </w:tc>
        <w:tc>
          <w:tcPr>
            <w:tcW w:w="9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96</w:t>
            </w:r>
          </w:p>
        </w:tc>
        <w:tc>
          <w:tcPr>
            <w:tcW w:w="9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97</w:t>
            </w:r>
          </w:p>
        </w:tc>
        <w:tc>
          <w:tcPr>
            <w:tcW w:w="9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98</w:t>
            </w:r>
          </w:p>
        </w:tc>
        <w:tc>
          <w:tcPr>
            <w:tcW w:w="9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99</w:t>
            </w:r>
          </w:p>
        </w:tc>
        <w:tc>
          <w:tcPr>
            <w:tcW w:w="948"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bl>
    <w:p>
      <w:pPr>
        <w:pStyle w:val="4"/>
        <w:rPr>
          <w:rStyle w:val="25"/>
          <w:rFonts w:hint="eastAsia" w:ascii="仿宋" w:hAnsi="仿宋" w:eastAsia="仿宋"/>
          <w:b w:val="0"/>
          <w:bCs w:val="0"/>
        </w:rPr>
      </w:pPr>
    </w:p>
    <w:p>
      <w:pPr>
        <w:rPr>
          <w:rStyle w:val="25"/>
          <w:rFonts w:hint="eastAsia" w:ascii="仿宋" w:hAnsi="仿宋" w:eastAsia="仿宋"/>
          <w:b w:val="0"/>
          <w:bCs w:val="0"/>
        </w:rPr>
      </w:pPr>
    </w:p>
    <w:p>
      <w:pPr>
        <w:pStyle w:val="2"/>
        <w:rPr>
          <w:rStyle w:val="25"/>
          <w:rFonts w:hint="eastAsia" w:ascii="仿宋" w:hAnsi="仿宋" w:eastAsia="仿宋"/>
          <w:b w:val="0"/>
          <w:bCs w:val="0"/>
        </w:rPr>
      </w:pPr>
    </w:p>
    <w:p>
      <w:pPr>
        <w:pStyle w:val="2"/>
        <w:rPr>
          <w:rStyle w:val="25"/>
          <w:rFonts w:hint="eastAsia" w:ascii="仿宋" w:hAnsi="仿宋" w:eastAsia="仿宋"/>
          <w:b w:val="0"/>
          <w:bCs w:val="0"/>
        </w:rPr>
      </w:pPr>
    </w:p>
    <w:p>
      <w:pPr>
        <w:pStyle w:val="2"/>
        <w:rPr>
          <w:rStyle w:val="25"/>
          <w:rFonts w:hint="eastAsia" w:ascii="仿宋" w:hAnsi="仿宋" w:eastAsia="仿宋"/>
          <w:b w:val="0"/>
          <w:bCs w:val="0"/>
        </w:rPr>
      </w:pPr>
    </w:p>
    <w:p>
      <w:pPr>
        <w:pStyle w:val="2"/>
        <w:rPr>
          <w:rStyle w:val="25"/>
          <w:rFonts w:hint="eastAsia" w:ascii="仿宋" w:hAnsi="仿宋" w:eastAsia="仿宋"/>
          <w:b w:val="0"/>
          <w:bCs w:val="0"/>
        </w:rPr>
      </w:pPr>
    </w:p>
    <w:p>
      <w:pPr>
        <w:pStyle w:val="2"/>
        <w:rPr>
          <w:rStyle w:val="25"/>
          <w:rFonts w:hint="eastAsia" w:ascii="仿宋" w:hAnsi="仿宋" w:eastAsia="仿宋"/>
          <w:b w:val="0"/>
          <w:bCs w:val="0"/>
        </w:rPr>
      </w:pPr>
    </w:p>
    <w:p>
      <w:pPr>
        <w:pStyle w:val="2"/>
        <w:rPr>
          <w:rStyle w:val="25"/>
          <w:rFonts w:hint="eastAsia" w:ascii="仿宋" w:hAnsi="仿宋" w:eastAsia="仿宋"/>
          <w:b w:val="0"/>
          <w:bCs w:val="0"/>
        </w:rPr>
      </w:pPr>
    </w:p>
    <w:tbl>
      <w:tblPr>
        <w:tblStyle w:val="12"/>
        <w:tblW w:w="88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84"/>
        <w:gridCol w:w="984"/>
        <w:gridCol w:w="984"/>
        <w:gridCol w:w="984"/>
        <w:gridCol w:w="984"/>
        <w:gridCol w:w="984"/>
        <w:gridCol w:w="984"/>
        <w:gridCol w:w="984"/>
        <w:gridCol w:w="9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936" w:type="dxa"/>
            <w:gridSpan w:val="4"/>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对社会保障基金补助</w:t>
            </w:r>
          </w:p>
        </w:tc>
        <w:tc>
          <w:tcPr>
            <w:tcW w:w="4920" w:type="dxa"/>
            <w:gridSpan w:val="5"/>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98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98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对社会保险基金补助</w:t>
            </w:r>
          </w:p>
        </w:tc>
        <w:tc>
          <w:tcPr>
            <w:tcW w:w="98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补充全国社会保障基金</w:t>
            </w:r>
          </w:p>
        </w:tc>
        <w:tc>
          <w:tcPr>
            <w:tcW w:w="98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对机关事业单位职业年金的补助</w:t>
            </w:r>
          </w:p>
        </w:tc>
        <w:tc>
          <w:tcPr>
            <w:tcW w:w="98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98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赠与</w:t>
            </w:r>
          </w:p>
        </w:tc>
        <w:tc>
          <w:tcPr>
            <w:tcW w:w="98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国家赔偿费用支出</w:t>
            </w:r>
          </w:p>
        </w:tc>
        <w:tc>
          <w:tcPr>
            <w:tcW w:w="98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对民间非营利组织和群众性自治组织补贴</w:t>
            </w:r>
          </w:p>
        </w:tc>
        <w:tc>
          <w:tcPr>
            <w:tcW w:w="98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c>
          <w:tcPr>
            <w:tcW w:w="98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98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101</w:t>
            </w:r>
          </w:p>
        </w:tc>
        <w:tc>
          <w:tcPr>
            <w:tcW w:w="98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102</w:t>
            </w:r>
          </w:p>
        </w:tc>
        <w:tc>
          <w:tcPr>
            <w:tcW w:w="98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103</w:t>
            </w:r>
          </w:p>
        </w:tc>
        <w:tc>
          <w:tcPr>
            <w:tcW w:w="98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104</w:t>
            </w:r>
          </w:p>
        </w:tc>
        <w:tc>
          <w:tcPr>
            <w:tcW w:w="98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105</w:t>
            </w:r>
          </w:p>
        </w:tc>
        <w:tc>
          <w:tcPr>
            <w:tcW w:w="98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w:t>
            </w:r>
          </w:p>
        </w:tc>
        <w:tc>
          <w:tcPr>
            <w:tcW w:w="98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107</w:t>
            </w:r>
          </w:p>
        </w:tc>
        <w:tc>
          <w:tcPr>
            <w:tcW w:w="98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108</w:t>
            </w:r>
          </w:p>
        </w:tc>
        <w:tc>
          <w:tcPr>
            <w:tcW w:w="984"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c>
          <w:tcPr>
            <w:tcW w:w="0" w:type="auto"/>
            <w:tcBorders>
              <w:top w:val="nil"/>
              <w:left w:val="nil"/>
              <w:bottom w:val="single" w:color="000000" w:sz="8"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2"/>
                <w:szCs w:val="22"/>
                <w:u w:val="none"/>
              </w:rPr>
            </w:pPr>
          </w:p>
        </w:tc>
      </w:tr>
    </w:tbl>
    <w:p>
      <w:pPr>
        <w:pStyle w:val="4"/>
        <w:rPr>
          <w:rStyle w:val="25"/>
          <w:rFonts w:hint="eastAsia" w:ascii="仿宋" w:hAnsi="仿宋" w:eastAsia="仿宋"/>
          <w:b w:val="0"/>
          <w:bCs w:val="0"/>
        </w:rPr>
      </w:pPr>
    </w:p>
    <w:p>
      <w:pPr>
        <w:rPr>
          <w:rStyle w:val="25"/>
          <w:rFonts w:hint="eastAsia" w:ascii="仿宋" w:hAnsi="仿宋" w:eastAsia="仿宋"/>
          <w:b w:val="0"/>
          <w:bCs w:val="0"/>
        </w:rPr>
      </w:pPr>
    </w:p>
    <w:p>
      <w:pPr>
        <w:pStyle w:val="2"/>
        <w:rPr>
          <w:rStyle w:val="25"/>
          <w:rFonts w:hint="eastAsia" w:ascii="仿宋" w:hAnsi="仿宋" w:eastAsia="仿宋"/>
          <w:b w:val="0"/>
          <w:bCs w:val="0"/>
        </w:rPr>
      </w:pPr>
    </w:p>
    <w:p>
      <w:pPr>
        <w:pStyle w:val="2"/>
        <w:rPr>
          <w:rStyle w:val="25"/>
          <w:rFonts w:hint="eastAsia" w:ascii="仿宋" w:hAnsi="仿宋" w:eastAsia="仿宋"/>
          <w:b w:val="0"/>
          <w:bCs w:val="0"/>
        </w:rPr>
      </w:pPr>
    </w:p>
    <w:p>
      <w:pPr>
        <w:pStyle w:val="2"/>
        <w:rPr>
          <w:rStyle w:val="25"/>
          <w:rFonts w:hint="eastAsia" w:ascii="仿宋" w:hAnsi="仿宋" w:eastAsia="仿宋"/>
          <w:b w:val="0"/>
          <w:bCs w:val="0"/>
        </w:rPr>
      </w:pPr>
    </w:p>
    <w:p>
      <w:pPr>
        <w:pStyle w:val="4"/>
        <w:rPr>
          <w:rFonts w:ascii="仿宋" w:hAnsi="仿宋" w:eastAsia="仿宋"/>
        </w:rPr>
      </w:pPr>
      <w:r>
        <w:rPr>
          <w:rStyle w:val="25"/>
          <w:rFonts w:hint="eastAsia" w:ascii="仿宋" w:hAnsi="仿宋" w:eastAsia="仿宋"/>
          <w:b w:val="0"/>
          <w:bCs w:val="0"/>
        </w:rPr>
        <w:t>八、</w:t>
      </w:r>
      <w:r>
        <w:rPr>
          <w:rFonts w:hint="eastAsia" w:ascii="仿宋" w:hAnsi="仿宋" w:eastAsia="仿宋"/>
          <w:b w:val="0"/>
        </w:rPr>
        <w:t>一</w:t>
      </w:r>
      <w:r>
        <w:rPr>
          <w:rStyle w:val="25"/>
          <w:rFonts w:hint="eastAsia" w:ascii="仿宋" w:hAnsi="仿宋" w:eastAsia="仿宋"/>
          <w:b w:val="0"/>
          <w:bCs w:val="0"/>
        </w:rPr>
        <w:t>般公共预算财政拨款基本支出决算表</w:t>
      </w:r>
      <w:bookmarkEnd w:id="61"/>
    </w:p>
    <w:tbl>
      <w:tblPr>
        <w:tblStyle w:val="12"/>
        <w:tblW w:w="82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86"/>
        <w:gridCol w:w="1450"/>
        <w:gridCol w:w="650"/>
        <w:gridCol w:w="570"/>
        <w:gridCol w:w="1380"/>
        <w:gridCol w:w="520"/>
        <w:gridCol w:w="600"/>
        <w:gridCol w:w="1524"/>
        <w:gridCol w:w="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8236" w:type="dxa"/>
            <w:gridSpan w:val="9"/>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3"/>
                <w:szCs w:val="13"/>
                <w:u w:val="none"/>
              </w:rPr>
            </w:pPr>
            <w:bookmarkStart w:id="62" w:name="_Toc15396627"/>
            <w:r>
              <w:rPr>
                <w:rFonts w:hint="eastAsia" w:ascii="宋体" w:hAnsi="宋体" w:eastAsia="宋体" w:cs="宋体"/>
                <w:i w:val="0"/>
                <w:color w:val="000000"/>
                <w:kern w:val="0"/>
                <w:sz w:val="13"/>
                <w:szCs w:val="13"/>
                <w:u w:val="none"/>
                <w:lang w:val="en-US" w:eastAsia="zh-CN" w:bidi="ar"/>
              </w:rPr>
              <w:t>一般公共预算财政拨款基本支出决算表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586"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13"/>
                <w:szCs w:val="13"/>
                <w:u w:val="none"/>
              </w:rPr>
            </w:pPr>
          </w:p>
        </w:tc>
        <w:tc>
          <w:tcPr>
            <w:tcW w:w="14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p>
        </w:tc>
        <w:tc>
          <w:tcPr>
            <w:tcW w:w="6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p>
        </w:tc>
        <w:tc>
          <w:tcPr>
            <w:tcW w:w="57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p>
        </w:tc>
        <w:tc>
          <w:tcPr>
            <w:tcW w:w="138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p>
        </w:tc>
        <w:tc>
          <w:tcPr>
            <w:tcW w:w="5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p>
        </w:tc>
        <w:tc>
          <w:tcPr>
            <w:tcW w:w="6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p>
        </w:tc>
        <w:tc>
          <w:tcPr>
            <w:tcW w:w="1524"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p>
        </w:tc>
        <w:tc>
          <w:tcPr>
            <w:tcW w:w="956"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财决公开08表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4636" w:type="dxa"/>
            <w:gridSpan w:val="5"/>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r>
              <w:rPr>
                <w:rFonts w:hint="eastAsia" w:ascii="宋体" w:hAnsi="宋体" w:eastAsia="宋体" w:cs="宋体"/>
                <w:i w:val="0"/>
                <w:color w:val="000000"/>
                <w:kern w:val="0"/>
                <w:sz w:val="13"/>
                <w:szCs w:val="13"/>
                <w:u w:val="none"/>
                <w:lang w:val="en-US" w:eastAsia="zh-CN" w:bidi="ar"/>
              </w:rPr>
              <w:t>部门：乐山市市中区学生发展中心</w:t>
            </w:r>
          </w:p>
        </w:tc>
        <w:tc>
          <w:tcPr>
            <w:tcW w:w="5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p>
        </w:tc>
        <w:tc>
          <w:tcPr>
            <w:tcW w:w="6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p>
        </w:tc>
        <w:tc>
          <w:tcPr>
            <w:tcW w:w="1524"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3"/>
                <w:szCs w:val="13"/>
                <w:u w:val="none"/>
              </w:rPr>
            </w:pPr>
          </w:p>
        </w:tc>
        <w:tc>
          <w:tcPr>
            <w:tcW w:w="956"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2686" w:type="dxa"/>
            <w:gridSpan w:val="3"/>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人员经费</w:t>
            </w:r>
          </w:p>
        </w:tc>
        <w:tc>
          <w:tcPr>
            <w:tcW w:w="5550" w:type="dxa"/>
            <w:gridSpan w:val="6"/>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科目编码</w:t>
            </w:r>
          </w:p>
        </w:tc>
        <w:tc>
          <w:tcPr>
            <w:tcW w:w="14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科目名称</w:t>
            </w:r>
          </w:p>
        </w:tc>
        <w:tc>
          <w:tcPr>
            <w:tcW w:w="65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决算数</w:t>
            </w:r>
          </w:p>
        </w:tc>
        <w:tc>
          <w:tcPr>
            <w:tcW w:w="57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科目编码</w:t>
            </w:r>
          </w:p>
        </w:tc>
        <w:tc>
          <w:tcPr>
            <w:tcW w:w="138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科目名称</w:t>
            </w:r>
          </w:p>
        </w:tc>
        <w:tc>
          <w:tcPr>
            <w:tcW w:w="52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决算数</w:t>
            </w:r>
          </w:p>
        </w:tc>
        <w:tc>
          <w:tcPr>
            <w:tcW w:w="60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科目编码</w:t>
            </w:r>
          </w:p>
        </w:tc>
        <w:tc>
          <w:tcPr>
            <w:tcW w:w="1524"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科目名称</w:t>
            </w:r>
          </w:p>
        </w:tc>
        <w:tc>
          <w:tcPr>
            <w:tcW w:w="956"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14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65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5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138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52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6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1524"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c>
          <w:tcPr>
            <w:tcW w:w="956"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301</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工资福利支出</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90.45</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302</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商品和服务支出</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8.35</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307</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债务利息及费用支出</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30101</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基本工资</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36.78</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30201</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办公费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1.65</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30701</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国内债务付息</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30102</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津贴补贴</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1.08</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30202</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印刷费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30702</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国外债务付息</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30103</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奖金</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30203</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咨询费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30703</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国内债务发行费用</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30106</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伙食补助费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1.98</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30204</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手续费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30704</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国外债务发行费用</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30107</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绩效工资</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22.16</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30205</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水费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0.15</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310</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资本性支出</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30108</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机关事业单位基本养老保险费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9.47</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30206</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电费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1.10</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31001</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房屋建筑物购建</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30109</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职业年金缴费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4.73</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30207</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邮电费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0.60</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31002</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办公设备购置</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30110</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职工基本医疗保险缴费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3.65</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30208</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取暖费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31003</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专用设备购置</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30111</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公务员医疗补助缴费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30209</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物业管理费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0.74</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31005</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基础设施建设</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30112</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其他社会保障缴费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1.39</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30211</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差旅费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0.65</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31006</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大型修缮</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30113</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住房公积金</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9.20</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30212</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因公出国（境）费用</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31007</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信息网络及软件购置更新</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30114</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医疗费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30213</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维修（护）费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0.04</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31008</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物资储备</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30199</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其他工资福利支出</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30214</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租赁费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31009</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土地补偿</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303</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对个人和家庭的补助</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21.04</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30215</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会议费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31010</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安置补助</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30301</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离休费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30216</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培训费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31011</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地上附着物和青苗补偿</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30302</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退休费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30217</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公务接待费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31012</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拆迁补偿</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30303</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退职（役）费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30218</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专用材料费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31013</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公务用车购置</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30304</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抚恤金</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30224</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被装购置费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31019</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其他交通工具购置</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30305</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生活补助</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30225</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专用燃料费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31021</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文物和陈列品购置</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30306</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救济费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30226</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劳务费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31022</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无形资产购置</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30307</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医疗费补助</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30227</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委托业务费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31099</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其他资本性支出</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30308</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助学金</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30228</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工会经费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1.04</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312</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对企业补助</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30309</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奖励金</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0.04</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30229</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福利费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1.32</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31201</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资本金注入</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30310</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个人农业生产补贴</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30231</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公务用车运行维护费</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31203</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政府投资基金股权投资</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30311</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代缴社会保险费</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30239</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其他交通费用</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31204</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费用补贴</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30399</w:t>
            </w: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其他个人和家庭的补助支出</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21.00</w:t>
            </w: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30240</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税金及附加费用</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31205</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利息补贴</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3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30299</w:t>
            </w: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其他商品和服务支出</w:t>
            </w: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1.05</w:t>
            </w: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312099</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其他对企业补助</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399</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其他支出</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39906</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赠与</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39907</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国家赔偿费用支出</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39908</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对民间非营利组织和群众性自治组织补贴</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586" w:type="dxa"/>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45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c>
          <w:tcPr>
            <w:tcW w:w="57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138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5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3"/>
                <w:szCs w:val="13"/>
                <w:u w:val="none"/>
              </w:rPr>
            </w:pPr>
          </w:p>
        </w:tc>
        <w:tc>
          <w:tcPr>
            <w:tcW w:w="60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39999</w:t>
            </w:r>
          </w:p>
        </w:tc>
        <w:tc>
          <w:tcPr>
            <w:tcW w:w="1524"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其他支出</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3"/>
                <w:szCs w:val="13"/>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2036" w:type="dxa"/>
            <w:gridSpan w:val="2"/>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人员经费合计</w:t>
            </w:r>
          </w:p>
        </w:tc>
        <w:tc>
          <w:tcPr>
            <w:tcW w:w="6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111.49</w:t>
            </w:r>
          </w:p>
        </w:tc>
        <w:tc>
          <w:tcPr>
            <w:tcW w:w="4594" w:type="dxa"/>
            <w:gridSpan w:val="5"/>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13"/>
                <w:szCs w:val="13"/>
                <w:u w:val="none"/>
              </w:rPr>
            </w:pPr>
            <w:r>
              <w:rPr>
                <w:rFonts w:hint="eastAsia" w:ascii="宋体" w:hAnsi="宋体" w:eastAsia="宋体" w:cs="宋体"/>
                <w:b/>
                <w:i w:val="0"/>
                <w:color w:val="000000"/>
                <w:kern w:val="0"/>
                <w:sz w:val="13"/>
                <w:szCs w:val="13"/>
                <w:u w:val="none"/>
                <w:lang w:val="en-US" w:eastAsia="zh-CN" w:bidi="ar"/>
              </w:rPr>
              <w:t>公用经费合计</w:t>
            </w:r>
          </w:p>
        </w:tc>
        <w:tc>
          <w:tcPr>
            <w:tcW w:w="95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8.35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8236" w:type="dxa"/>
            <w:gridSpan w:val="9"/>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3"/>
                <w:szCs w:val="13"/>
                <w:u w:val="none"/>
              </w:rPr>
            </w:pPr>
            <w:r>
              <w:rPr>
                <w:rFonts w:hint="eastAsia" w:ascii="宋体" w:hAnsi="宋体" w:eastAsia="宋体" w:cs="宋体"/>
                <w:i w:val="0"/>
                <w:color w:val="000000"/>
                <w:kern w:val="0"/>
                <w:sz w:val="13"/>
                <w:szCs w:val="13"/>
                <w:u w:val="none"/>
                <w:lang w:val="en-US" w:eastAsia="zh-CN" w:bidi="ar"/>
              </w:rPr>
              <w:t>注：本表以“万元”为金额单位（保留两位小数），反映部门本年度一般公共预算财政拨款基本支出明细情况。</w:t>
            </w:r>
          </w:p>
        </w:tc>
      </w:tr>
    </w:tbl>
    <w:p>
      <w:pPr>
        <w:pStyle w:val="4"/>
        <w:rPr>
          <w:rStyle w:val="25"/>
          <w:rFonts w:hint="eastAsia" w:ascii="仿宋" w:hAnsi="仿宋" w:eastAsia="仿宋"/>
          <w:b w:val="0"/>
          <w:bCs w:val="0"/>
        </w:rPr>
      </w:pPr>
    </w:p>
    <w:p>
      <w:pPr>
        <w:rPr>
          <w:rStyle w:val="25"/>
          <w:rFonts w:hint="eastAsia" w:ascii="仿宋" w:hAnsi="仿宋" w:eastAsia="仿宋"/>
          <w:b w:val="0"/>
          <w:bCs w:val="0"/>
        </w:rPr>
      </w:pPr>
    </w:p>
    <w:p>
      <w:pPr>
        <w:pStyle w:val="2"/>
        <w:rPr>
          <w:rFonts w:hint="eastAsia"/>
        </w:rPr>
      </w:pPr>
    </w:p>
    <w:p>
      <w:pPr>
        <w:pStyle w:val="4"/>
        <w:numPr>
          <w:ilvl w:val="0"/>
          <w:numId w:val="0"/>
        </w:numPr>
        <w:ind w:leftChars="0"/>
        <w:rPr>
          <w:rStyle w:val="25"/>
          <w:rFonts w:hint="eastAsia" w:ascii="仿宋" w:hAnsi="仿宋" w:eastAsia="仿宋"/>
          <w:b w:val="0"/>
          <w:bCs w:val="0"/>
        </w:rPr>
      </w:pPr>
      <w:r>
        <w:rPr>
          <w:rFonts w:hint="eastAsia" w:ascii="仿宋" w:hAnsi="仿宋" w:eastAsia="仿宋"/>
          <w:b w:val="0"/>
          <w:lang w:val="en-US" w:eastAsia="zh-CN"/>
        </w:rPr>
        <w:t>九、</w:t>
      </w:r>
      <w:r>
        <w:rPr>
          <w:rFonts w:hint="eastAsia" w:ascii="仿宋" w:hAnsi="仿宋" w:eastAsia="仿宋"/>
          <w:b w:val="0"/>
        </w:rPr>
        <w:t>一</w:t>
      </w:r>
      <w:r>
        <w:rPr>
          <w:rStyle w:val="25"/>
          <w:rFonts w:hint="eastAsia" w:ascii="仿宋" w:hAnsi="仿宋" w:eastAsia="仿宋"/>
          <w:b w:val="0"/>
          <w:bCs w:val="0"/>
        </w:rPr>
        <w:t>般公共预算财政拨款项目支出决算表</w:t>
      </w:r>
      <w:bookmarkEnd w:id="62"/>
    </w:p>
    <w:tbl>
      <w:tblPr>
        <w:tblStyle w:val="12"/>
        <w:tblW w:w="78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79"/>
        <w:gridCol w:w="467"/>
        <w:gridCol w:w="290"/>
        <w:gridCol w:w="2020"/>
        <w:gridCol w:w="1190"/>
        <w:gridCol w:w="14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7826" w:type="dxa"/>
            <w:gridSpan w:val="6"/>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一般公共预算财政拨款项目支出决算表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2379"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20"/>
                <w:szCs w:val="20"/>
                <w:u w:val="none"/>
              </w:rPr>
            </w:pPr>
          </w:p>
        </w:tc>
        <w:tc>
          <w:tcPr>
            <w:tcW w:w="467"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29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20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119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148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财决公开09表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2379"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lef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部门：乐山市市中区学生发展中心</w:t>
            </w:r>
          </w:p>
        </w:tc>
        <w:tc>
          <w:tcPr>
            <w:tcW w:w="467"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29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20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20"/>
                <w:szCs w:val="20"/>
                <w:u w:val="none"/>
              </w:rPr>
            </w:pPr>
          </w:p>
        </w:tc>
        <w:tc>
          <w:tcPr>
            <w:tcW w:w="119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2021年度</w:t>
            </w:r>
          </w:p>
        </w:tc>
        <w:tc>
          <w:tcPr>
            <w:tcW w:w="148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3136"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科目编码</w:t>
            </w:r>
          </w:p>
        </w:tc>
        <w:tc>
          <w:tcPr>
            <w:tcW w:w="202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科目名称</w:t>
            </w:r>
          </w:p>
        </w:tc>
        <w:tc>
          <w:tcPr>
            <w:tcW w:w="119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本年收入</w:t>
            </w:r>
          </w:p>
        </w:tc>
        <w:tc>
          <w:tcPr>
            <w:tcW w:w="148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3136"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20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9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4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2379" w:type="dxa"/>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类</w:t>
            </w:r>
          </w:p>
        </w:tc>
        <w:tc>
          <w:tcPr>
            <w:tcW w:w="467"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款</w:t>
            </w:r>
          </w:p>
        </w:tc>
        <w:tc>
          <w:tcPr>
            <w:tcW w:w="29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w:t>
            </w:r>
          </w:p>
        </w:tc>
        <w:tc>
          <w:tcPr>
            <w:tcW w:w="202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19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14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2379" w:type="dxa"/>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467"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29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20"/>
                <w:szCs w:val="20"/>
                <w:u w:val="none"/>
              </w:rPr>
            </w:pPr>
          </w:p>
        </w:tc>
        <w:tc>
          <w:tcPr>
            <w:tcW w:w="20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合计</w:t>
            </w:r>
          </w:p>
        </w:tc>
        <w:tc>
          <w:tcPr>
            <w:tcW w:w="11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10.81</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13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w:t>
            </w:r>
          </w:p>
        </w:tc>
        <w:tc>
          <w:tcPr>
            <w:tcW w:w="20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教育支出</w:t>
            </w:r>
          </w:p>
        </w:tc>
        <w:tc>
          <w:tcPr>
            <w:tcW w:w="11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10.81</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10.81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313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20501</w:t>
            </w:r>
          </w:p>
        </w:tc>
        <w:tc>
          <w:tcPr>
            <w:tcW w:w="20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教育管理事务</w:t>
            </w:r>
          </w:p>
        </w:tc>
        <w:tc>
          <w:tcPr>
            <w:tcW w:w="11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13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2050199</w:t>
            </w:r>
          </w:p>
        </w:tc>
        <w:tc>
          <w:tcPr>
            <w:tcW w:w="20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其他教育管理事务支出</w:t>
            </w:r>
          </w:p>
        </w:tc>
        <w:tc>
          <w:tcPr>
            <w:tcW w:w="11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8.00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13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20508</w:t>
            </w:r>
          </w:p>
        </w:tc>
        <w:tc>
          <w:tcPr>
            <w:tcW w:w="20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进修及培训</w:t>
            </w:r>
          </w:p>
        </w:tc>
        <w:tc>
          <w:tcPr>
            <w:tcW w:w="11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2.81</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13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2050801</w:t>
            </w:r>
          </w:p>
        </w:tc>
        <w:tc>
          <w:tcPr>
            <w:tcW w:w="20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教师进修</w:t>
            </w:r>
          </w:p>
        </w:tc>
        <w:tc>
          <w:tcPr>
            <w:tcW w:w="11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2.81</w:t>
            </w: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13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20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11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313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20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11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313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20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11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313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20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20"/>
                <w:szCs w:val="20"/>
                <w:u w:val="none"/>
              </w:rPr>
            </w:pPr>
          </w:p>
        </w:tc>
        <w:tc>
          <w:tcPr>
            <w:tcW w:w="11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c>
          <w:tcPr>
            <w:tcW w:w="14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85" w:hRule="atLeast"/>
        </w:trPr>
        <w:tc>
          <w:tcPr>
            <w:tcW w:w="7826" w:type="dxa"/>
            <w:gridSpan w:val="6"/>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注：本表以“万元”为金额单位（保留两位小数），反映部门本年度一般公共预算财政拨款项目支出收支明细情况。</w:t>
            </w:r>
          </w:p>
        </w:tc>
      </w:tr>
    </w:tbl>
    <w:p>
      <w:pPr>
        <w:widowControl w:val="0"/>
        <w:numPr>
          <w:ilvl w:val="0"/>
          <w:numId w:val="0"/>
        </w:numPr>
        <w:jc w:val="both"/>
      </w:pPr>
    </w:p>
    <w:p>
      <w:pPr>
        <w:pStyle w:val="2"/>
      </w:pPr>
    </w:p>
    <w:p>
      <w:pPr>
        <w:pStyle w:val="2"/>
      </w:pPr>
    </w:p>
    <w:p>
      <w:pPr>
        <w:pStyle w:val="4"/>
        <w:numPr>
          <w:ilvl w:val="0"/>
          <w:numId w:val="0"/>
        </w:numPr>
        <w:ind w:leftChars="0"/>
        <w:rPr>
          <w:rStyle w:val="25"/>
          <w:rFonts w:hint="eastAsia" w:ascii="仿宋" w:hAnsi="仿宋" w:eastAsia="仿宋"/>
          <w:b w:val="0"/>
          <w:bCs w:val="0"/>
        </w:rPr>
      </w:pPr>
      <w:bookmarkStart w:id="63" w:name="_Toc15396628"/>
      <w:r>
        <w:rPr>
          <w:rFonts w:hint="eastAsia" w:ascii="仿宋" w:hAnsi="仿宋" w:eastAsia="仿宋"/>
          <w:b w:val="0"/>
          <w:lang w:val="en-US" w:eastAsia="zh-CN"/>
        </w:rPr>
        <w:t>十、</w:t>
      </w:r>
      <w:r>
        <w:rPr>
          <w:rFonts w:hint="eastAsia" w:ascii="仿宋" w:hAnsi="仿宋" w:eastAsia="仿宋"/>
          <w:b w:val="0"/>
        </w:rPr>
        <w:t>一</w:t>
      </w:r>
      <w:r>
        <w:rPr>
          <w:rStyle w:val="25"/>
          <w:rFonts w:hint="eastAsia" w:ascii="仿宋" w:hAnsi="仿宋" w:eastAsia="仿宋"/>
          <w:b w:val="0"/>
          <w:bCs w:val="0"/>
        </w:rPr>
        <w:t>般公共预算财政拨款“三公”经费支出决算表</w:t>
      </w:r>
      <w:bookmarkEnd w:id="63"/>
    </w:p>
    <w:tbl>
      <w:tblPr>
        <w:tblStyle w:val="12"/>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56"/>
        <w:gridCol w:w="670"/>
        <w:gridCol w:w="460"/>
        <w:gridCol w:w="730"/>
        <w:gridCol w:w="800"/>
        <w:gridCol w:w="790"/>
        <w:gridCol w:w="440"/>
        <w:gridCol w:w="730"/>
        <w:gridCol w:w="640"/>
        <w:gridCol w:w="560"/>
        <w:gridCol w:w="620"/>
        <w:gridCol w:w="14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8336" w:type="dxa"/>
            <w:gridSpan w:val="12"/>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一般公共预算财政拨款“三公”经费支出决算表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456"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16"/>
                <w:szCs w:val="16"/>
                <w:u w:val="none"/>
              </w:rPr>
            </w:pPr>
          </w:p>
        </w:tc>
        <w:tc>
          <w:tcPr>
            <w:tcW w:w="67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3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9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3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6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5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6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44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财决公开10表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2316" w:type="dxa"/>
            <w:gridSpan w:val="4"/>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部门：乐山市市中区学生发展中心</w:t>
            </w:r>
          </w:p>
        </w:tc>
        <w:tc>
          <w:tcPr>
            <w:tcW w:w="8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9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4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2021年度</w:t>
            </w:r>
          </w:p>
        </w:tc>
        <w:tc>
          <w:tcPr>
            <w:tcW w:w="73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6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5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6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44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8" w:hRule="atLeast"/>
        </w:trPr>
        <w:tc>
          <w:tcPr>
            <w:tcW w:w="3906" w:type="dxa"/>
            <w:gridSpan w:val="6"/>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预算数</w:t>
            </w:r>
          </w:p>
        </w:tc>
        <w:tc>
          <w:tcPr>
            <w:tcW w:w="4430" w:type="dxa"/>
            <w:gridSpan w:val="6"/>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7" w:hRule="atLeast"/>
        </w:trPr>
        <w:tc>
          <w:tcPr>
            <w:tcW w:w="456" w:type="dxa"/>
            <w:vMerge w:val="restart"/>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67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因公出国（境）费用</w:t>
            </w:r>
          </w:p>
        </w:tc>
        <w:tc>
          <w:tcPr>
            <w:tcW w:w="1990" w:type="dxa"/>
            <w:gridSpan w:val="3"/>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公务用车购置及运行费</w:t>
            </w:r>
          </w:p>
        </w:tc>
        <w:tc>
          <w:tcPr>
            <w:tcW w:w="79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公务接待费</w:t>
            </w:r>
          </w:p>
        </w:tc>
        <w:tc>
          <w:tcPr>
            <w:tcW w:w="44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73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因公出国（境）费</w:t>
            </w:r>
          </w:p>
        </w:tc>
        <w:tc>
          <w:tcPr>
            <w:tcW w:w="1820" w:type="dxa"/>
            <w:gridSpan w:val="3"/>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公务用车购置及运行费</w:t>
            </w:r>
          </w:p>
        </w:tc>
        <w:tc>
          <w:tcPr>
            <w:tcW w:w="1440" w:type="dxa"/>
            <w:vMerge w:val="restart"/>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77" w:hRule="atLeast"/>
        </w:trPr>
        <w:tc>
          <w:tcPr>
            <w:tcW w:w="456" w:type="dxa"/>
            <w:vMerge w:val="continue"/>
            <w:tcBorders>
              <w:top w:val="nil"/>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6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46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小计</w:t>
            </w:r>
          </w:p>
        </w:tc>
        <w:tc>
          <w:tcPr>
            <w:tcW w:w="73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公务用车购置费</w:t>
            </w:r>
          </w:p>
        </w:tc>
        <w:tc>
          <w:tcPr>
            <w:tcW w:w="80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公务用车运行费</w:t>
            </w:r>
          </w:p>
        </w:tc>
        <w:tc>
          <w:tcPr>
            <w:tcW w:w="79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44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640" w:type="dxa"/>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小计</w:t>
            </w:r>
          </w:p>
        </w:tc>
        <w:tc>
          <w:tcPr>
            <w:tcW w:w="5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公务用车 </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购置费</w:t>
            </w:r>
          </w:p>
        </w:tc>
        <w:tc>
          <w:tcPr>
            <w:tcW w:w="6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 xml:space="preserve">公务用车 </w:t>
            </w:r>
            <w:r>
              <w:rPr>
                <w:rFonts w:hint="eastAsia" w:ascii="宋体" w:hAnsi="宋体" w:eastAsia="宋体" w:cs="宋体"/>
                <w:i w:val="0"/>
                <w:color w:val="000000"/>
                <w:kern w:val="0"/>
                <w:sz w:val="16"/>
                <w:szCs w:val="16"/>
                <w:u w:val="none"/>
                <w:lang w:val="en-US" w:eastAsia="zh-CN" w:bidi="ar"/>
              </w:rPr>
              <w:br w:type="textWrapping"/>
            </w:r>
            <w:r>
              <w:rPr>
                <w:rFonts w:hint="eastAsia" w:ascii="宋体" w:hAnsi="宋体" w:eastAsia="宋体" w:cs="宋体"/>
                <w:i w:val="0"/>
                <w:color w:val="000000"/>
                <w:kern w:val="0"/>
                <w:sz w:val="16"/>
                <w:szCs w:val="16"/>
                <w:u w:val="none"/>
                <w:lang w:val="en-US" w:eastAsia="zh-CN" w:bidi="ar"/>
              </w:rPr>
              <w:t>运行费</w:t>
            </w:r>
          </w:p>
        </w:tc>
        <w:tc>
          <w:tcPr>
            <w:tcW w:w="1440" w:type="dxa"/>
            <w:vMerge w:val="continue"/>
            <w:tcBorders>
              <w:top w:val="nil"/>
              <w:left w:val="nil"/>
              <w:bottom w:val="single" w:color="000000" w:sz="4" w:space="0"/>
              <w:right w:val="single" w:color="000000" w:sz="4" w:space="0"/>
            </w:tcBorders>
            <w:shd w:val="clear" w:color="FFFFFF" w:fill="C0C0C0"/>
            <w:noWrap/>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7" w:hRule="atLeast"/>
        </w:trPr>
        <w:tc>
          <w:tcPr>
            <w:tcW w:w="456" w:type="dxa"/>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7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7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7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5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4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2" w:hRule="atLeast"/>
        </w:trPr>
        <w:tc>
          <w:tcPr>
            <w:tcW w:w="8336" w:type="dxa"/>
            <w:gridSpan w:val="12"/>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注：本表已“万元”为金额单位（保留两位小数），反映部门本年度一般公共预算财政拨款“三公”经费支出预决算情况。其中，预算数为一般公共预算财政拨款“三公”经费全年预算数，反映按规定程序调整后的预算数；决算数是包括当年一般公共预算财政拨款和以前年度结转结余资金安排的实际支出；</w:t>
            </w:r>
          </w:p>
        </w:tc>
      </w:tr>
    </w:tbl>
    <w:p>
      <w:pPr>
        <w:widowControl w:val="0"/>
        <w:numPr>
          <w:ilvl w:val="0"/>
          <w:numId w:val="0"/>
        </w:numPr>
        <w:jc w:val="both"/>
      </w:pPr>
    </w:p>
    <w:p>
      <w:pPr>
        <w:pStyle w:val="4"/>
        <w:numPr>
          <w:ilvl w:val="0"/>
          <w:numId w:val="0"/>
        </w:numPr>
        <w:ind w:leftChars="0"/>
        <w:rPr>
          <w:rStyle w:val="25"/>
          <w:rFonts w:hint="eastAsia" w:ascii="仿宋" w:hAnsi="仿宋" w:eastAsia="仿宋"/>
          <w:b w:val="0"/>
          <w:bCs w:val="0"/>
        </w:rPr>
      </w:pPr>
      <w:bookmarkStart w:id="64" w:name="_Toc15396629"/>
      <w:r>
        <w:rPr>
          <w:rFonts w:hint="eastAsia" w:ascii="仿宋" w:hAnsi="仿宋" w:eastAsia="仿宋"/>
          <w:b w:val="0"/>
          <w:lang w:val="en-US" w:eastAsia="zh-CN"/>
        </w:rPr>
        <w:t>十一、</w:t>
      </w:r>
      <w:r>
        <w:rPr>
          <w:rFonts w:hint="eastAsia" w:ascii="仿宋" w:hAnsi="仿宋" w:eastAsia="仿宋"/>
          <w:b w:val="0"/>
        </w:rPr>
        <w:t>政</w:t>
      </w:r>
      <w:r>
        <w:rPr>
          <w:rStyle w:val="25"/>
          <w:rFonts w:hint="eastAsia" w:ascii="仿宋" w:hAnsi="仿宋" w:eastAsia="仿宋"/>
          <w:b w:val="0"/>
          <w:bCs w:val="0"/>
        </w:rPr>
        <w:t>府性基金预算财政拨款收入支出决算表</w:t>
      </w:r>
      <w:bookmarkEnd w:id="64"/>
    </w:p>
    <w:tbl>
      <w:tblPr>
        <w:tblStyle w:val="12"/>
        <w:tblW w:w="83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75"/>
        <w:gridCol w:w="451"/>
        <w:gridCol w:w="680"/>
        <w:gridCol w:w="850"/>
        <w:gridCol w:w="750"/>
        <w:gridCol w:w="800"/>
        <w:gridCol w:w="630"/>
        <w:gridCol w:w="860"/>
        <w:gridCol w:w="740"/>
        <w:gridCol w:w="18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8330" w:type="dxa"/>
            <w:gridSpan w:val="10"/>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675"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16"/>
                <w:szCs w:val="16"/>
                <w:u w:val="none"/>
              </w:rPr>
            </w:pPr>
          </w:p>
        </w:tc>
        <w:tc>
          <w:tcPr>
            <w:tcW w:w="451"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68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63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894"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财决公开11表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2656" w:type="dxa"/>
            <w:gridSpan w:val="4"/>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部门：乐山市市中区学生发展中心</w:t>
            </w:r>
          </w:p>
        </w:tc>
        <w:tc>
          <w:tcPr>
            <w:tcW w:w="75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0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2021年度</w:t>
            </w:r>
          </w:p>
        </w:tc>
        <w:tc>
          <w:tcPr>
            <w:tcW w:w="63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894"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806" w:type="dxa"/>
            <w:gridSpan w:val="3"/>
            <w:vMerge w:val="restart"/>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科目编码</w:t>
            </w:r>
          </w:p>
        </w:tc>
        <w:tc>
          <w:tcPr>
            <w:tcW w:w="85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科目名称</w:t>
            </w:r>
          </w:p>
        </w:tc>
        <w:tc>
          <w:tcPr>
            <w:tcW w:w="75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年初结转和结余</w:t>
            </w:r>
          </w:p>
        </w:tc>
        <w:tc>
          <w:tcPr>
            <w:tcW w:w="80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本年收入</w:t>
            </w:r>
          </w:p>
        </w:tc>
        <w:tc>
          <w:tcPr>
            <w:tcW w:w="2230" w:type="dxa"/>
            <w:gridSpan w:val="3"/>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本年支出</w:t>
            </w:r>
          </w:p>
        </w:tc>
        <w:tc>
          <w:tcPr>
            <w:tcW w:w="1894"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806"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63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86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基本支出</w:t>
            </w:r>
          </w:p>
        </w:tc>
        <w:tc>
          <w:tcPr>
            <w:tcW w:w="7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项目支出</w:t>
            </w:r>
          </w:p>
        </w:tc>
        <w:tc>
          <w:tcPr>
            <w:tcW w:w="1894"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806" w:type="dxa"/>
            <w:gridSpan w:val="3"/>
            <w:vMerge w:val="continue"/>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5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0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63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6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1894"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675" w:type="dxa"/>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类</w:t>
            </w:r>
          </w:p>
        </w:tc>
        <w:tc>
          <w:tcPr>
            <w:tcW w:w="451"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款</w:t>
            </w:r>
          </w:p>
        </w:tc>
        <w:tc>
          <w:tcPr>
            <w:tcW w:w="68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w:t>
            </w:r>
          </w:p>
        </w:tc>
        <w:tc>
          <w:tcPr>
            <w:tcW w:w="85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7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89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80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89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80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89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80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89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80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89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80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89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80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5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7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89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8330" w:type="dxa"/>
            <w:gridSpan w:val="10"/>
            <w:tcBorders>
              <w:top w:val="nil"/>
              <w:left w:val="nil"/>
              <w:bottom w:val="nil"/>
              <w:right w:val="nil"/>
            </w:tcBorders>
            <w:shd w:val="clear" w:color="auto" w:fill="auto"/>
            <w:noWrap/>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注：本表以“万元”为金额单位（保留两位小数），反映部门本年度政府性预算财政拨款收入、支出及结转和结余情况。</w:t>
            </w:r>
          </w:p>
        </w:tc>
      </w:tr>
    </w:tbl>
    <w:p>
      <w:pPr>
        <w:widowControl w:val="0"/>
        <w:numPr>
          <w:ilvl w:val="0"/>
          <w:numId w:val="0"/>
        </w:numPr>
        <w:jc w:val="both"/>
      </w:pPr>
    </w:p>
    <w:p>
      <w:pPr>
        <w:pStyle w:val="2"/>
      </w:pPr>
    </w:p>
    <w:p>
      <w:pPr>
        <w:pStyle w:val="4"/>
        <w:numPr>
          <w:ilvl w:val="0"/>
          <w:numId w:val="0"/>
        </w:numPr>
        <w:ind w:leftChars="0"/>
        <w:rPr>
          <w:rStyle w:val="25"/>
          <w:rFonts w:hint="eastAsia" w:ascii="仿宋" w:hAnsi="仿宋" w:eastAsia="仿宋"/>
          <w:b w:val="0"/>
          <w:bCs w:val="0"/>
        </w:rPr>
      </w:pPr>
      <w:bookmarkStart w:id="65" w:name="_Toc15396630"/>
      <w:r>
        <w:rPr>
          <w:rFonts w:hint="eastAsia" w:ascii="仿宋" w:hAnsi="仿宋" w:eastAsia="仿宋"/>
          <w:b w:val="0"/>
          <w:lang w:val="en-US" w:eastAsia="zh-CN"/>
        </w:rPr>
        <w:t>十二、</w:t>
      </w:r>
      <w:r>
        <w:rPr>
          <w:rFonts w:hint="eastAsia" w:ascii="仿宋" w:hAnsi="仿宋" w:eastAsia="仿宋"/>
          <w:b w:val="0"/>
        </w:rPr>
        <w:t>政</w:t>
      </w:r>
      <w:r>
        <w:rPr>
          <w:rStyle w:val="25"/>
          <w:rFonts w:hint="eastAsia" w:ascii="仿宋" w:hAnsi="仿宋" w:eastAsia="仿宋"/>
          <w:b w:val="0"/>
          <w:bCs w:val="0"/>
        </w:rPr>
        <w:t>府性基金预算财政拨款“三公”经费支出决算表</w:t>
      </w:r>
      <w:bookmarkEnd w:id="65"/>
    </w:p>
    <w:tbl>
      <w:tblPr>
        <w:tblStyle w:val="12"/>
        <w:tblW w:w="832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416"/>
        <w:gridCol w:w="610"/>
        <w:gridCol w:w="610"/>
        <w:gridCol w:w="640"/>
        <w:gridCol w:w="690"/>
        <w:gridCol w:w="600"/>
        <w:gridCol w:w="410"/>
        <w:gridCol w:w="800"/>
        <w:gridCol w:w="390"/>
        <w:gridCol w:w="920"/>
        <w:gridCol w:w="1060"/>
        <w:gridCol w:w="11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8326" w:type="dxa"/>
            <w:gridSpan w:val="12"/>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政府性基金预算财政拨款“三公”经费支出决算表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416"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16"/>
                <w:szCs w:val="16"/>
                <w:u w:val="none"/>
              </w:rPr>
            </w:pPr>
          </w:p>
        </w:tc>
        <w:tc>
          <w:tcPr>
            <w:tcW w:w="6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6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6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69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6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39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9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0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18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财决公开12表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3566" w:type="dxa"/>
            <w:gridSpan w:val="6"/>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部门：乐山市市中区学生发展中心</w:t>
            </w:r>
          </w:p>
        </w:tc>
        <w:tc>
          <w:tcPr>
            <w:tcW w:w="41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2021年度</w:t>
            </w:r>
          </w:p>
        </w:tc>
        <w:tc>
          <w:tcPr>
            <w:tcW w:w="8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39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92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0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18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508" w:hRule="atLeast"/>
        </w:trPr>
        <w:tc>
          <w:tcPr>
            <w:tcW w:w="3566" w:type="dxa"/>
            <w:gridSpan w:val="6"/>
            <w:tcBorders>
              <w:top w:val="single" w:color="000000" w:sz="4" w:space="0"/>
              <w:left w:val="single" w:color="000000" w:sz="4" w:space="0"/>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预算数</w:t>
            </w:r>
          </w:p>
        </w:tc>
        <w:tc>
          <w:tcPr>
            <w:tcW w:w="4760" w:type="dxa"/>
            <w:gridSpan w:val="6"/>
            <w:tcBorders>
              <w:top w:val="single" w:color="000000" w:sz="4" w:space="0"/>
              <w:left w:val="nil"/>
              <w:bottom w:val="single" w:color="000000" w:sz="4" w:space="0"/>
              <w:right w:val="single" w:color="000000" w:sz="4" w:space="0"/>
            </w:tcBorders>
            <w:shd w:val="clear" w:color="FFFFFF" w:fill="C0C0C0"/>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31" w:hRule="atLeast"/>
        </w:trPr>
        <w:tc>
          <w:tcPr>
            <w:tcW w:w="416" w:type="dxa"/>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61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因公出国（境）费用</w:t>
            </w:r>
          </w:p>
        </w:tc>
        <w:tc>
          <w:tcPr>
            <w:tcW w:w="1940" w:type="dxa"/>
            <w:gridSpan w:val="3"/>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公务用车购置及运行费</w:t>
            </w:r>
          </w:p>
        </w:tc>
        <w:tc>
          <w:tcPr>
            <w:tcW w:w="60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公务接待费</w:t>
            </w:r>
          </w:p>
        </w:tc>
        <w:tc>
          <w:tcPr>
            <w:tcW w:w="41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80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因公出国（境）费用</w:t>
            </w:r>
          </w:p>
        </w:tc>
        <w:tc>
          <w:tcPr>
            <w:tcW w:w="2370" w:type="dxa"/>
            <w:gridSpan w:val="3"/>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公务用车购置及运行费</w:t>
            </w:r>
          </w:p>
        </w:tc>
        <w:tc>
          <w:tcPr>
            <w:tcW w:w="118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108" w:hRule="atLeast"/>
        </w:trPr>
        <w:tc>
          <w:tcPr>
            <w:tcW w:w="416" w:type="dxa"/>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6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6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小计</w:t>
            </w:r>
          </w:p>
        </w:tc>
        <w:tc>
          <w:tcPr>
            <w:tcW w:w="64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公务用车购置费</w:t>
            </w:r>
          </w:p>
        </w:tc>
        <w:tc>
          <w:tcPr>
            <w:tcW w:w="69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公务用车运行费</w:t>
            </w:r>
          </w:p>
        </w:tc>
        <w:tc>
          <w:tcPr>
            <w:tcW w:w="6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41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0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39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小计</w:t>
            </w:r>
          </w:p>
        </w:tc>
        <w:tc>
          <w:tcPr>
            <w:tcW w:w="92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公务用车购置费</w:t>
            </w:r>
          </w:p>
        </w:tc>
        <w:tc>
          <w:tcPr>
            <w:tcW w:w="106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公务用车运行费</w:t>
            </w:r>
          </w:p>
        </w:tc>
        <w:tc>
          <w:tcPr>
            <w:tcW w:w="118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7" w:hRule="atLeast"/>
        </w:trPr>
        <w:tc>
          <w:tcPr>
            <w:tcW w:w="416" w:type="dxa"/>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6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41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0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92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0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92" w:hRule="atLeast"/>
        </w:trPr>
        <w:tc>
          <w:tcPr>
            <w:tcW w:w="8326" w:type="dxa"/>
            <w:gridSpan w:val="12"/>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注：本表已“万元”为金额单位（保留两位小数），反映部门本年度政府性基金预算财政拨款“三公”经费支出预决算情况。其中，预算数为政府性基金预算财政拨款“三公”经费全年预算数，反映按规定程序调整后的预算数；决算数是包括当年政府性基金预算财政拨款和以前年度结转结余资金安排的实际支出。</w:t>
            </w:r>
          </w:p>
        </w:tc>
      </w:tr>
    </w:tbl>
    <w:p>
      <w:pPr>
        <w:widowControl w:val="0"/>
        <w:numPr>
          <w:ilvl w:val="0"/>
          <w:numId w:val="0"/>
        </w:numPr>
        <w:jc w:val="both"/>
      </w:pPr>
    </w:p>
    <w:p>
      <w:pPr>
        <w:pStyle w:val="4"/>
        <w:numPr>
          <w:ilvl w:val="0"/>
          <w:numId w:val="0"/>
        </w:numPr>
        <w:ind w:leftChars="0"/>
        <w:rPr>
          <w:rStyle w:val="25"/>
          <w:rFonts w:hint="eastAsia" w:ascii="仿宋" w:hAnsi="仿宋" w:eastAsia="仿宋"/>
          <w:b w:val="0"/>
          <w:bCs w:val="0"/>
        </w:rPr>
      </w:pPr>
      <w:bookmarkStart w:id="66" w:name="_Toc15396631"/>
      <w:r>
        <w:rPr>
          <w:rFonts w:hint="eastAsia" w:ascii="仿宋" w:hAnsi="仿宋" w:eastAsia="仿宋"/>
          <w:b w:val="0"/>
          <w:lang w:val="en-US" w:eastAsia="zh-CN"/>
        </w:rPr>
        <w:t>十三、</w:t>
      </w:r>
      <w:r>
        <w:rPr>
          <w:rFonts w:hint="eastAsia" w:ascii="仿宋" w:hAnsi="仿宋" w:eastAsia="仿宋"/>
          <w:b w:val="0"/>
        </w:rPr>
        <w:t>国</w:t>
      </w:r>
      <w:r>
        <w:rPr>
          <w:rStyle w:val="25"/>
          <w:rFonts w:hint="eastAsia" w:ascii="仿宋" w:hAnsi="仿宋" w:eastAsia="仿宋"/>
          <w:b w:val="0"/>
          <w:bCs w:val="0"/>
        </w:rPr>
        <w:t>有资本经营预算财政拨款收入支出决算表</w:t>
      </w:r>
      <w:bookmarkEnd w:id="66"/>
    </w:p>
    <w:tbl>
      <w:tblPr>
        <w:tblStyle w:val="12"/>
        <w:tblW w:w="87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56"/>
        <w:gridCol w:w="510"/>
        <w:gridCol w:w="400"/>
        <w:gridCol w:w="790"/>
        <w:gridCol w:w="830"/>
        <w:gridCol w:w="1160"/>
        <w:gridCol w:w="880"/>
        <w:gridCol w:w="347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8700" w:type="dxa"/>
            <w:gridSpan w:val="8"/>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国有资本经营预算财政拨款收入支出决算表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656"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16"/>
                <w:szCs w:val="16"/>
                <w:u w:val="none"/>
              </w:rPr>
            </w:pPr>
          </w:p>
        </w:tc>
        <w:tc>
          <w:tcPr>
            <w:tcW w:w="51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0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79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3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1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8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3474"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财决公开13表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2356" w:type="dxa"/>
            <w:gridSpan w:val="4"/>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部门：乐山市市中区学生发展中心</w:t>
            </w:r>
          </w:p>
        </w:tc>
        <w:tc>
          <w:tcPr>
            <w:tcW w:w="83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2021年度</w:t>
            </w:r>
          </w:p>
        </w:tc>
        <w:tc>
          <w:tcPr>
            <w:tcW w:w="116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8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3474"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2356" w:type="dxa"/>
            <w:gridSpan w:val="4"/>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    目</w:t>
            </w:r>
          </w:p>
        </w:tc>
        <w:tc>
          <w:tcPr>
            <w:tcW w:w="83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年初结转和结余</w:t>
            </w:r>
          </w:p>
        </w:tc>
        <w:tc>
          <w:tcPr>
            <w:tcW w:w="116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本年收入</w:t>
            </w:r>
          </w:p>
        </w:tc>
        <w:tc>
          <w:tcPr>
            <w:tcW w:w="880"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本年支出</w:t>
            </w:r>
          </w:p>
        </w:tc>
        <w:tc>
          <w:tcPr>
            <w:tcW w:w="3474" w:type="dxa"/>
            <w:vMerge w:val="restart"/>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566" w:type="dxa"/>
            <w:gridSpan w:val="3"/>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科目编码</w:t>
            </w:r>
          </w:p>
        </w:tc>
        <w:tc>
          <w:tcPr>
            <w:tcW w:w="79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科目名称</w:t>
            </w:r>
          </w:p>
        </w:tc>
        <w:tc>
          <w:tcPr>
            <w:tcW w:w="83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116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3474"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7" w:hRule="atLeast"/>
        </w:trPr>
        <w:tc>
          <w:tcPr>
            <w:tcW w:w="1566"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9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3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116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3474"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5" w:hRule="atLeast"/>
        </w:trPr>
        <w:tc>
          <w:tcPr>
            <w:tcW w:w="1566"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79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3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116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80"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3474" w:type="dxa"/>
            <w:vMerge w:val="continue"/>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656" w:type="dxa"/>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类</w:t>
            </w:r>
          </w:p>
        </w:tc>
        <w:tc>
          <w:tcPr>
            <w:tcW w:w="51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款</w:t>
            </w:r>
          </w:p>
        </w:tc>
        <w:tc>
          <w:tcPr>
            <w:tcW w:w="40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w:t>
            </w:r>
          </w:p>
        </w:tc>
        <w:tc>
          <w:tcPr>
            <w:tcW w:w="790"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8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4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56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4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156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4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56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4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56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4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56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4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1566"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79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83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116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8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3474"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77" w:hRule="atLeast"/>
        </w:trPr>
        <w:tc>
          <w:tcPr>
            <w:tcW w:w="8700" w:type="dxa"/>
            <w:gridSpan w:val="8"/>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注：本表以“万元”为金额单位（保留两位小数），反映部门本年度国有资本经营预算财政拨款支出情况；</w:t>
            </w:r>
          </w:p>
        </w:tc>
      </w:tr>
    </w:tbl>
    <w:p>
      <w:pPr>
        <w:widowControl w:val="0"/>
        <w:numPr>
          <w:ilvl w:val="0"/>
          <w:numId w:val="0"/>
        </w:numPr>
        <w:jc w:val="both"/>
      </w:pPr>
    </w:p>
    <w:p>
      <w:pPr>
        <w:pStyle w:val="2"/>
      </w:pPr>
    </w:p>
    <w:p>
      <w:pPr>
        <w:numPr>
          <w:ilvl w:val="0"/>
          <w:numId w:val="0"/>
        </w:numPr>
        <w:ind w:leftChars="0"/>
        <w:rPr>
          <w:rStyle w:val="25"/>
          <w:rFonts w:hint="eastAsia" w:ascii="仿宋" w:hAnsi="仿宋" w:eastAsia="仿宋"/>
          <w:b w:val="0"/>
          <w:bCs w:val="0"/>
        </w:rPr>
      </w:pPr>
      <w:r>
        <w:rPr>
          <w:rStyle w:val="25"/>
          <w:rFonts w:hint="eastAsia" w:ascii="仿宋" w:hAnsi="仿宋" w:eastAsia="仿宋"/>
          <w:b w:val="0"/>
          <w:bCs w:val="0"/>
          <w:lang w:val="en-US" w:eastAsia="zh-CN"/>
        </w:rPr>
        <w:t>十四、</w:t>
      </w:r>
      <w:r>
        <w:rPr>
          <w:rStyle w:val="25"/>
          <w:rFonts w:hint="eastAsia" w:ascii="仿宋" w:hAnsi="仿宋" w:eastAsia="仿宋"/>
          <w:b w:val="0"/>
          <w:bCs w:val="0"/>
        </w:rPr>
        <w:t>国有资本经营预算财政拨款支出决算表</w:t>
      </w:r>
    </w:p>
    <w:tbl>
      <w:tblPr>
        <w:tblStyle w:val="12"/>
        <w:tblW w:w="833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424"/>
        <w:gridCol w:w="401"/>
        <w:gridCol w:w="416"/>
        <w:gridCol w:w="909"/>
        <w:gridCol w:w="1076"/>
        <w:gridCol w:w="840"/>
        <w:gridCol w:w="2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8336" w:type="dxa"/>
            <w:gridSpan w:val="7"/>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4" w:hRule="atLeast"/>
        </w:trPr>
        <w:tc>
          <w:tcPr>
            <w:tcW w:w="2424" w:type="dxa"/>
            <w:tcBorders>
              <w:top w:val="nil"/>
              <w:left w:val="nil"/>
              <w:bottom w:val="nil"/>
              <w:right w:val="nil"/>
            </w:tcBorders>
            <w:shd w:val="clear" w:color="auto" w:fill="auto"/>
            <w:noWrap/>
            <w:tcMar>
              <w:top w:w="12" w:type="dxa"/>
              <w:left w:w="12" w:type="dxa"/>
              <w:right w:w="12" w:type="dxa"/>
            </w:tcMar>
            <w:vAlign w:val="bottom"/>
          </w:tcPr>
          <w:p>
            <w:pPr>
              <w:rPr>
                <w:rFonts w:hint="eastAsia" w:ascii="Arial" w:hAnsi="Arial" w:cs="Arial"/>
                <w:i w:val="0"/>
                <w:color w:val="000000"/>
                <w:sz w:val="16"/>
                <w:szCs w:val="16"/>
                <w:u w:val="none"/>
              </w:rPr>
            </w:pPr>
          </w:p>
        </w:tc>
        <w:tc>
          <w:tcPr>
            <w:tcW w:w="401"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16"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909"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076"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8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227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财决公开14表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64" w:hRule="atLeast"/>
        </w:trPr>
        <w:tc>
          <w:tcPr>
            <w:tcW w:w="2424"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lef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部门：乐山市市中区学生发展中心</w:t>
            </w:r>
          </w:p>
        </w:tc>
        <w:tc>
          <w:tcPr>
            <w:tcW w:w="401"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416"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909"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1076"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center"/>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2021年度</w:t>
            </w:r>
          </w:p>
        </w:tc>
        <w:tc>
          <w:tcPr>
            <w:tcW w:w="840" w:type="dxa"/>
            <w:tcBorders>
              <w:top w:val="nil"/>
              <w:left w:val="nil"/>
              <w:bottom w:val="nil"/>
              <w:right w:val="nil"/>
            </w:tcBorders>
            <w:shd w:val="clear" w:color="auto" w:fill="auto"/>
            <w:noWrap/>
            <w:tcMar>
              <w:top w:w="12" w:type="dxa"/>
              <w:left w:w="12" w:type="dxa"/>
              <w:right w:w="12" w:type="dxa"/>
            </w:tcMar>
            <w:vAlign w:val="bottom"/>
          </w:tcPr>
          <w:p>
            <w:pPr>
              <w:rPr>
                <w:rFonts w:hint="default" w:ascii="Arial" w:hAnsi="Arial" w:cs="Arial"/>
                <w:i w:val="0"/>
                <w:color w:val="000000"/>
                <w:sz w:val="16"/>
                <w:szCs w:val="16"/>
                <w:u w:val="none"/>
              </w:rPr>
            </w:pPr>
          </w:p>
        </w:tc>
        <w:tc>
          <w:tcPr>
            <w:tcW w:w="2270" w:type="dxa"/>
            <w:tcBorders>
              <w:top w:val="nil"/>
              <w:left w:val="nil"/>
              <w:bottom w:val="nil"/>
              <w:right w:val="nil"/>
            </w:tcBorders>
            <w:shd w:val="clear" w:color="auto" w:fill="auto"/>
            <w:noWrap/>
            <w:tcMar>
              <w:top w:w="12" w:type="dxa"/>
              <w:left w:w="12" w:type="dxa"/>
              <w:right w:w="12" w:type="dxa"/>
            </w:tcMar>
            <w:vAlign w:val="bottom"/>
          </w:tcPr>
          <w:p>
            <w:pPr>
              <w:keepNext w:val="0"/>
              <w:keepLines w:val="0"/>
              <w:widowControl/>
              <w:suppressLineNumbers w:val="0"/>
              <w:jc w:val="right"/>
              <w:textAlignment w:val="bottom"/>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金额单位：万元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4150" w:type="dxa"/>
            <w:gridSpan w:val="4"/>
            <w:tcBorders>
              <w:top w:val="single" w:color="000000" w:sz="4" w:space="0"/>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    目</w:t>
            </w:r>
          </w:p>
        </w:tc>
        <w:tc>
          <w:tcPr>
            <w:tcW w:w="4186" w:type="dxa"/>
            <w:gridSpan w:val="3"/>
            <w:tcBorders>
              <w:top w:val="single" w:color="000000" w:sz="4" w:space="0"/>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3241" w:type="dxa"/>
            <w:gridSpan w:val="3"/>
            <w:vMerge w:val="restart"/>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科目编码</w:t>
            </w:r>
          </w:p>
        </w:tc>
        <w:tc>
          <w:tcPr>
            <w:tcW w:w="909"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科目名称</w:t>
            </w:r>
          </w:p>
        </w:tc>
        <w:tc>
          <w:tcPr>
            <w:tcW w:w="1076"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84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基本支出</w:t>
            </w:r>
          </w:p>
        </w:tc>
        <w:tc>
          <w:tcPr>
            <w:tcW w:w="2270" w:type="dxa"/>
            <w:vMerge w:val="restart"/>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77" w:hRule="atLeast"/>
        </w:trPr>
        <w:tc>
          <w:tcPr>
            <w:tcW w:w="3241"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909"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1076"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22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5" w:hRule="atLeast"/>
        </w:trPr>
        <w:tc>
          <w:tcPr>
            <w:tcW w:w="3241" w:type="dxa"/>
            <w:gridSpan w:val="3"/>
            <w:vMerge w:val="continue"/>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909"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1076"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84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c>
          <w:tcPr>
            <w:tcW w:w="2270" w:type="dxa"/>
            <w:vMerge w:val="continue"/>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jc w:val="center"/>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2424" w:type="dxa"/>
            <w:tcBorders>
              <w:top w:val="nil"/>
              <w:left w:val="single" w:color="000000" w:sz="4" w:space="0"/>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类</w:t>
            </w:r>
          </w:p>
        </w:tc>
        <w:tc>
          <w:tcPr>
            <w:tcW w:w="401"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款</w:t>
            </w:r>
          </w:p>
        </w:tc>
        <w:tc>
          <w:tcPr>
            <w:tcW w:w="416"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项</w:t>
            </w:r>
          </w:p>
        </w:tc>
        <w:tc>
          <w:tcPr>
            <w:tcW w:w="909" w:type="dxa"/>
            <w:tcBorders>
              <w:top w:val="nil"/>
              <w:left w:val="nil"/>
              <w:bottom w:val="single" w:color="000000" w:sz="4" w:space="0"/>
              <w:right w:val="single" w:color="000000" w:sz="4" w:space="0"/>
            </w:tcBorders>
            <w:shd w:val="clear" w:color="FFFFFF" w:fill="C0C0C0"/>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合计</w:t>
            </w:r>
          </w:p>
        </w:tc>
        <w:tc>
          <w:tcPr>
            <w:tcW w:w="107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241"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9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107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241"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9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107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3241"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9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107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241"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9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107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308" w:hRule="atLeast"/>
        </w:trPr>
        <w:tc>
          <w:tcPr>
            <w:tcW w:w="3241"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9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107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8" w:hRule="atLeast"/>
        </w:trPr>
        <w:tc>
          <w:tcPr>
            <w:tcW w:w="3241" w:type="dxa"/>
            <w:gridSpan w:val="3"/>
            <w:tcBorders>
              <w:top w:val="nil"/>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909"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left"/>
              <w:rPr>
                <w:rFonts w:hint="eastAsia" w:ascii="宋体" w:hAnsi="宋体" w:eastAsia="宋体" w:cs="宋体"/>
                <w:i w:val="0"/>
                <w:color w:val="000000"/>
                <w:sz w:val="16"/>
                <w:szCs w:val="16"/>
                <w:u w:val="none"/>
              </w:rPr>
            </w:pPr>
          </w:p>
        </w:tc>
        <w:tc>
          <w:tcPr>
            <w:tcW w:w="1076"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84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c>
          <w:tcPr>
            <w:tcW w:w="2270" w:type="dxa"/>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jc w:val="right"/>
              <w:rPr>
                <w:rFonts w:hint="eastAsia" w:ascii="宋体" w:hAnsi="宋体" w:eastAsia="宋体" w:cs="宋体"/>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0" w:hRule="atLeast"/>
        </w:trPr>
        <w:tc>
          <w:tcPr>
            <w:tcW w:w="8336" w:type="dxa"/>
            <w:gridSpan w:val="7"/>
            <w:tcBorders>
              <w:top w:val="nil"/>
              <w:left w:val="nil"/>
              <w:bottom w:val="nil"/>
              <w:right w:val="nil"/>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
              </w:rPr>
              <w:t>注：本表反映部门本年度国有资本经营预算财政拨款支出情况。</w:t>
            </w:r>
          </w:p>
        </w:tc>
      </w:tr>
    </w:tbl>
    <w:p>
      <w:pPr>
        <w:pStyle w:val="2"/>
        <w:numPr>
          <w:ilvl w:val="0"/>
          <w:numId w:val="0"/>
        </w:numPr>
        <w:ind w:leftChars="0"/>
      </w:pP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8"/>
          <w:jc w:val="center"/>
        </w:pPr>
        <w:r>
          <w:fldChar w:fldCharType="begin"/>
        </w:r>
        <w:r>
          <w:instrText xml:space="preserve">PAGE   \* MERGEFORMAT</w:instrText>
        </w:r>
        <w:r>
          <w:fldChar w:fldCharType="separate"/>
        </w:r>
        <w:r>
          <w:rPr>
            <w:lang w:val="zh-CN"/>
          </w:rPr>
          <w:t>3</w:t>
        </w:r>
        <w:r>
          <w:fldChar w:fldCharType="end"/>
        </w:r>
      </w:p>
    </w:sdtContent>
  </w:sdt>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78F19A"/>
    <w:multiLevelType w:val="singleLevel"/>
    <w:tmpl w:val="A078F19A"/>
    <w:lvl w:ilvl="0" w:tentative="0">
      <w:start w:val="1"/>
      <w:numFmt w:val="chineseCounting"/>
      <w:suff w:val="nothing"/>
      <w:lvlText w:val="%1、"/>
      <w:lvlJc w:val="left"/>
      <w:rPr>
        <w:rFonts w:hint="eastAsia"/>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74E20"/>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92D20"/>
    <w:rsid w:val="003A484F"/>
    <w:rsid w:val="003A4883"/>
    <w:rsid w:val="003B0BE0"/>
    <w:rsid w:val="003B0C1B"/>
    <w:rsid w:val="003B688C"/>
    <w:rsid w:val="003C0291"/>
    <w:rsid w:val="003C39AE"/>
    <w:rsid w:val="003C7B60"/>
    <w:rsid w:val="003D0C0F"/>
    <w:rsid w:val="003D1FB2"/>
    <w:rsid w:val="003D66DA"/>
    <w:rsid w:val="003E1310"/>
    <w:rsid w:val="003E5CB4"/>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609F9"/>
    <w:rsid w:val="00871F71"/>
    <w:rsid w:val="00872FD8"/>
    <w:rsid w:val="00885AF4"/>
    <w:rsid w:val="008939CD"/>
    <w:rsid w:val="008B768C"/>
    <w:rsid w:val="008C4DB1"/>
    <w:rsid w:val="008C4EAF"/>
    <w:rsid w:val="008C5176"/>
    <w:rsid w:val="008C7FD0"/>
    <w:rsid w:val="008E1DE7"/>
    <w:rsid w:val="008E707C"/>
    <w:rsid w:val="008F4605"/>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57CE8"/>
    <w:rsid w:val="00A67AB5"/>
    <w:rsid w:val="00A733B2"/>
    <w:rsid w:val="00A741C2"/>
    <w:rsid w:val="00A774A1"/>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65748"/>
    <w:rsid w:val="00C87FD8"/>
    <w:rsid w:val="00C91381"/>
    <w:rsid w:val="00C91CBB"/>
    <w:rsid w:val="00CA6A66"/>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B6D64"/>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9486374"/>
    <w:rsid w:val="0A2032A3"/>
    <w:rsid w:val="0B8A37D8"/>
    <w:rsid w:val="0F5757E1"/>
    <w:rsid w:val="10C055FF"/>
    <w:rsid w:val="118107EC"/>
    <w:rsid w:val="11DD6519"/>
    <w:rsid w:val="129B0F2B"/>
    <w:rsid w:val="16BB723D"/>
    <w:rsid w:val="174B4377"/>
    <w:rsid w:val="18015F3F"/>
    <w:rsid w:val="1BE8440E"/>
    <w:rsid w:val="1D155CEE"/>
    <w:rsid w:val="1ED60545"/>
    <w:rsid w:val="20F57F95"/>
    <w:rsid w:val="240371BF"/>
    <w:rsid w:val="25C741E6"/>
    <w:rsid w:val="27842671"/>
    <w:rsid w:val="29FD04D3"/>
    <w:rsid w:val="2ABE7A3E"/>
    <w:rsid w:val="2EFA178C"/>
    <w:rsid w:val="30B46D73"/>
    <w:rsid w:val="319F7F4E"/>
    <w:rsid w:val="3354324A"/>
    <w:rsid w:val="393F37B0"/>
    <w:rsid w:val="39AE70AB"/>
    <w:rsid w:val="3C0C0783"/>
    <w:rsid w:val="3C7F2B33"/>
    <w:rsid w:val="3F9F3A96"/>
    <w:rsid w:val="415630C6"/>
    <w:rsid w:val="429C6B66"/>
    <w:rsid w:val="46CC7AFF"/>
    <w:rsid w:val="493C27E9"/>
    <w:rsid w:val="496F39ED"/>
    <w:rsid w:val="49FF41D3"/>
    <w:rsid w:val="4BE068DB"/>
    <w:rsid w:val="4BF6002B"/>
    <w:rsid w:val="4ECE2238"/>
    <w:rsid w:val="51DB4B86"/>
    <w:rsid w:val="536C4549"/>
    <w:rsid w:val="55333C3E"/>
    <w:rsid w:val="56E31BDD"/>
    <w:rsid w:val="5ED67059"/>
    <w:rsid w:val="60FD6095"/>
    <w:rsid w:val="64CA39A1"/>
    <w:rsid w:val="66C3146D"/>
    <w:rsid w:val="68262111"/>
    <w:rsid w:val="6A1578CC"/>
    <w:rsid w:val="6C092FB3"/>
    <w:rsid w:val="6C4A05C8"/>
    <w:rsid w:val="6D2D2337"/>
    <w:rsid w:val="6DB0039C"/>
    <w:rsid w:val="706B60B1"/>
    <w:rsid w:val="72734D90"/>
    <w:rsid w:val="74185F9F"/>
    <w:rsid w:val="770F5409"/>
    <w:rsid w:val="79E7B28D"/>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8"/>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1"/>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27"/>
    <w:semiHidden/>
    <w:unhideWhenUsed/>
    <w:qFormat/>
    <w:uiPriority w:val="99"/>
    <w:rPr>
      <w:sz w:val="18"/>
      <w:szCs w:val="18"/>
    </w:rPr>
  </w:style>
  <w:style w:type="paragraph" w:styleId="8">
    <w:name w:val="footer"/>
    <w:basedOn w:val="1"/>
    <w:link w:val="19"/>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1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rPr>
  </w:style>
  <w:style w:type="character" w:customStyle="1" w:styleId="16">
    <w:name w:val="Header Char"/>
    <w:basedOn w:val="13"/>
    <w:semiHidden/>
    <w:qFormat/>
    <w:uiPriority w:val="99"/>
    <w:rPr>
      <w:rFonts w:ascii="Times New Roman" w:hAnsi="Times New Roman"/>
      <w:sz w:val="18"/>
      <w:szCs w:val="18"/>
    </w:rPr>
  </w:style>
  <w:style w:type="character" w:customStyle="1" w:styleId="17">
    <w:name w:val="页眉 Char"/>
    <w:link w:val="9"/>
    <w:semiHidden/>
    <w:qFormat/>
    <w:locked/>
    <w:uiPriority w:val="99"/>
    <w:rPr>
      <w:sz w:val="18"/>
    </w:rPr>
  </w:style>
  <w:style w:type="character" w:customStyle="1" w:styleId="18">
    <w:name w:val="Footer Char"/>
    <w:basedOn w:val="13"/>
    <w:semiHidden/>
    <w:qFormat/>
    <w:uiPriority w:val="99"/>
    <w:rPr>
      <w:rFonts w:ascii="Times New Roman" w:hAnsi="Times New Roman"/>
      <w:sz w:val="18"/>
      <w:szCs w:val="18"/>
    </w:rPr>
  </w:style>
  <w:style w:type="character" w:customStyle="1" w:styleId="19">
    <w:name w:val="页脚 Char"/>
    <w:link w:val="8"/>
    <w:qFormat/>
    <w:locked/>
    <w:uiPriority w:val="99"/>
    <w:rPr>
      <w:sz w:val="18"/>
    </w:rPr>
  </w:style>
  <w:style w:type="character" w:customStyle="1" w:styleId="20">
    <w:name w:val="Body Text Char"/>
    <w:basedOn w:val="13"/>
    <w:semiHidden/>
    <w:qFormat/>
    <w:uiPriority w:val="99"/>
    <w:rPr>
      <w:rFonts w:ascii="Times New Roman" w:hAnsi="Times New Roman"/>
      <w:szCs w:val="24"/>
    </w:rPr>
  </w:style>
  <w:style w:type="character" w:customStyle="1" w:styleId="21">
    <w:name w:val="正文文本 Char"/>
    <w:link w:val="2"/>
    <w:qFormat/>
    <w:locked/>
    <w:uiPriority w:val="99"/>
    <w:rPr>
      <w:rFonts w:ascii="仿宋_GB2312" w:hAnsi="Times New Roman" w:eastAsia="仿宋_GB2312"/>
      <w:sz w:val="24"/>
    </w:rPr>
  </w:style>
  <w:style w:type="paragraph" w:customStyle="1" w:styleId="2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3">
    <w:name w:val="List Paragraph"/>
    <w:basedOn w:val="1"/>
    <w:qFormat/>
    <w:uiPriority w:val="34"/>
    <w:pPr>
      <w:ind w:firstLine="420" w:firstLineChars="200"/>
    </w:pPr>
  </w:style>
  <w:style w:type="character" w:customStyle="1" w:styleId="24">
    <w:name w:val="标题 1 Char"/>
    <w:basedOn w:val="13"/>
    <w:link w:val="3"/>
    <w:qFormat/>
    <w:uiPriority w:val="9"/>
    <w:rPr>
      <w:rFonts w:ascii="Times New Roman" w:hAnsi="Times New Roman"/>
      <w:b/>
      <w:bCs/>
      <w:kern w:val="44"/>
      <w:sz w:val="44"/>
      <w:szCs w:val="44"/>
    </w:rPr>
  </w:style>
  <w:style w:type="character" w:customStyle="1" w:styleId="25">
    <w:name w:val="标题 2 Char"/>
    <w:basedOn w:val="13"/>
    <w:link w:val="4"/>
    <w:qFormat/>
    <w:uiPriority w:val="9"/>
    <w:rPr>
      <w:rFonts w:asciiTheme="majorHAnsi" w:hAnsiTheme="majorHAnsi" w:eastAsiaTheme="majorEastAsia" w:cstheme="majorBidi"/>
      <w:b/>
      <w:bCs/>
      <w:kern w:val="2"/>
      <w:sz w:val="32"/>
      <w:szCs w:val="32"/>
    </w:rPr>
  </w:style>
  <w:style w:type="paragraph" w:customStyle="1" w:styleId="2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7">
    <w:name w:val="批注框文本 Char"/>
    <w:basedOn w:val="13"/>
    <w:link w:val="7"/>
    <w:semiHidden/>
    <w:qFormat/>
    <w:uiPriority w:val="99"/>
    <w:rPr>
      <w:rFonts w:ascii="Times New Roman" w:hAnsi="Times New Roman"/>
      <w:kern w:val="2"/>
      <w:sz w:val="18"/>
      <w:szCs w:val="18"/>
    </w:rPr>
  </w:style>
  <w:style w:type="character" w:customStyle="1" w:styleId="28">
    <w:name w:val="标题 3 Char"/>
    <w:basedOn w:val="13"/>
    <w:link w:val="5"/>
    <w:qFormat/>
    <w:uiPriority w:val="9"/>
    <w:rPr>
      <w:rFonts w:ascii="Times New Roman" w:hAnsi="Times New Roman"/>
      <w:b/>
      <w:bCs/>
      <w:kern w:val="2"/>
      <w:sz w:val="32"/>
      <w:szCs w:val="32"/>
    </w:rPr>
  </w:style>
  <w:style w:type="paragraph" w:customStyle="1" w:styleId="2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G:\&#20915;&#31639;&#20844;&#24320;\2021&#24180;&#20915;&#31639;\&#38468;&#20214;4&#65306;2021&#24180;&#20915;&#31639;&#20844;&#24320;&#38468;&#22270;(&#27169;&#26495;)&#20165;&#20379;&#21442;&#3277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G:\&#20915;&#31639;&#20844;&#24320;\2021&#24180;&#20915;&#31639;\&#38468;&#20214;4&#65306;2021&#24180;&#20915;&#31639;&#20844;&#24320;&#38468;&#22270;(&#27169;&#26495;)&#20165;&#20379;&#21442;&#3277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G:\&#20915;&#31639;&#20844;&#24320;\2021&#24180;&#20915;&#31639;\&#38468;&#20214;4&#65306;2021&#24180;&#20915;&#31639;&#20844;&#24320;&#38468;&#22270;(&#27169;&#26495;)&#20165;&#20379;&#21442;&#3277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G:\&#20915;&#31639;&#20844;&#24320;\2021&#24180;&#20915;&#31639;\&#38468;&#20214;4&#65306;2021&#24180;&#20915;&#31639;&#20844;&#24320;&#38468;&#22270;(&#27169;&#26495;)&#20165;&#20379;&#21442;&#3277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G:\&#20915;&#31639;&#20844;&#24320;\2021&#24180;&#20915;&#31639;\&#38468;&#20214;4&#65306;2021&#24180;&#20915;&#31639;&#20844;&#24320;&#38468;&#22270;(&#27169;&#26495;)&#20165;&#20379;&#21442;&#3277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G:\&#20915;&#31639;&#20844;&#24320;\2021&#24180;&#20915;&#31639;\&#38468;&#20214;4&#65306;2021&#24180;&#20915;&#31639;&#20844;&#24320;&#38468;&#22270;(&#27169;&#26495;)&#20165;&#20379;&#21442;&#3277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G:\&#20915;&#31639;&#20844;&#24320;\2021&#24180;&#20915;&#31639;\&#38468;&#20214;4&#65306;2021&#24180;&#20915;&#31639;&#20844;&#24320;&#38468;&#22270;(&#27169;&#26495;)&#20165;&#20379;&#21442;&#3277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1</a:t>
            </a:r>
            <a:r>
              <a:rPr lang="zh-CN"/>
              <a:t>：收、支决算总计变动情况图</a:t>
            </a:r>
            <a:endParaRPr lang="zh-CN"/>
          </a:p>
        </c:rich>
      </c:tx>
      <c:layout/>
      <c:overlay val="0"/>
    </c:title>
    <c:autoTitleDeleted val="0"/>
    <c:plotArea>
      <c:layout/>
      <c:barChart>
        <c:barDir val="col"/>
        <c:grouping val="clustered"/>
        <c:varyColors val="0"/>
        <c:ser>
          <c:idx val="0"/>
          <c:order val="0"/>
          <c:tx>
            <c:strRef>
              <c:f>'[附件4：2021年决算公开附图(模板)仅供参考.xlsx]收、支决算总体变动情况图1'!$C$13</c:f>
              <c:strCache>
                <c:ptCount val="1"/>
                <c:pt idx="0">
                  <c:v>金额</c:v>
                </c:pt>
              </c:strCache>
            </c:strRef>
          </c:tx>
          <c:invertIfNegative val="0"/>
          <c:dPt>
            <c:idx val="1"/>
            <c:invertIfNegative val="0"/>
            <c:bubble3D val="0"/>
            <c:spPr>
              <a:solidFill>
                <a:schemeClr val="accent2"/>
              </a:solidFill>
              <a:ln w="25400" cap="flat" cmpd="sng" algn="ctr">
                <a:solidFill>
                  <a:schemeClr val="accent2">
                    <a:shade val="50000"/>
                  </a:schemeClr>
                </a:solidFill>
                <a:prstDash val="solid"/>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'[附件4：2021年决算公开附图(模板)仅供参考.xlsx]收、支决算总体变动情况图1'!$B$14:$B$15</c:f>
              <c:strCache>
                <c:ptCount val="2"/>
                <c:pt idx="0">
                  <c:v>2021年</c:v>
                </c:pt>
                <c:pt idx="1">
                  <c:v>2020年</c:v>
                </c:pt>
              </c:strCache>
            </c:strRef>
          </c:cat>
          <c:val>
            <c:numRef>
              <c:f>'[附件4：2021年决算公开附图(模板)仅供参考.xlsx]收、支决算总体变动情况图1'!$C$14:$C$15</c:f>
              <c:numCache>
                <c:formatCode>#,##0.00</c:formatCode>
                <c:ptCount val="2"/>
                <c:pt idx="0">
                  <c:v>207.75</c:v>
                </c:pt>
                <c:pt idx="1">
                  <c:v>248.14</c:v>
                </c:pt>
              </c:numCache>
            </c:numRef>
          </c:val>
        </c:ser>
        <c:dLbls>
          <c:showLegendKey val="0"/>
          <c:showVal val="1"/>
          <c:showCatName val="0"/>
          <c:showSerName val="0"/>
          <c:showPercent val="0"/>
          <c:showBubbleSize val="0"/>
        </c:dLbls>
        <c:gapWidth val="150"/>
        <c:axId val="73265920"/>
        <c:axId val="73267456"/>
      </c:barChart>
      <c:catAx>
        <c:axId val="73265920"/>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7456"/>
        <c:crosses val="autoZero"/>
        <c:auto val="1"/>
        <c:lblAlgn val="ctr"/>
        <c:lblOffset val="100"/>
        <c:noMultiLvlLbl val="0"/>
      </c:catAx>
      <c:valAx>
        <c:axId val="73267456"/>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73265920"/>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2</a:t>
            </a:r>
            <a:r>
              <a:rPr lang="zh-CN"/>
              <a:t>：</a:t>
            </a:r>
            <a:r>
              <a:rPr lang="en-US"/>
              <a:t>2021</a:t>
            </a:r>
            <a:r>
              <a:rPr lang="zh-CN"/>
              <a:t>年收入决算结构图</a:t>
            </a:r>
            <a:endParaRPr lang="zh-CN"/>
          </a:p>
        </c:rich>
      </c:tx>
      <c:layout/>
      <c:overlay val="0"/>
    </c:title>
    <c:autoTitleDeleted val="0"/>
    <c:plotArea>
      <c:layout/>
      <c:pieChart>
        <c:varyColors val="1"/>
        <c:ser>
          <c:idx val="0"/>
          <c:order val="0"/>
          <c:tx>
            <c:strRef>
              <c:f>'[附件4：2021年决算公开附图(模板)仅供参考.xlsx]收入决算结构图2'!$B$6</c:f>
              <c:strCache>
                <c:ptCount val="1"/>
                <c:pt idx="0">
                  <c:v>占比</c:v>
                </c:pt>
              </c:strCache>
            </c:strRef>
          </c:tx>
          <c:explosion val="0"/>
          <c:dPt>
            <c:idx val="0"/>
            <c:bubble3D val="0"/>
          </c:dPt>
          <c:dPt>
            <c:idx val="1"/>
            <c:bubble3D val="0"/>
          </c:dPt>
          <c:dPt>
            <c:idx val="2"/>
            <c:bubble3D val="0"/>
          </c:dPt>
          <c:dPt>
            <c:idx val="3"/>
            <c:bubble3D val="0"/>
          </c:dPt>
          <c:dLbls>
            <c:dLbl>
              <c:idx val="1"/>
              <c:layout>
                <c:manualLayout>
                  <c:x val="-0.0167753458752465"/>
                  <c:y val="-0.041249366088549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750471494345391"/>
                  <c:y val="-0.0162085918724544"/>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'[附件4：2021年决算公开附图(模板)仅供参考.xlsx]收入决算结构图2'!$A$7:$A$10</c:f>
              <c:strCache>
                <c:ptCount val="4"/>
                <c:pt idx="0">
                  <c:v>一般公共预算财政拨款收入130.65万元</c:v>
                </c:pt>
                <c:pt idx="1">
                  <c:v>政府性基金预算财政拨款0万元</c:v>
                </c:pt>
                <c:pt idx="2">
                  <c:v>事业收入77.1万元</c:v>
                </c:pt>
                <c:pt idx="3">
                  <c:v>其他收入0万元</c:v>
                </c:pt>
              </c:strCache>
            </c:strRef>
          </c:cat>
          <c:val>
            <c:numRef>
              <c:f>'[附件4：2021年决算公开附图(模板)仅供参考.xlsx]收入决算结构图2'!$B$7:$B$10</c:f>
              <c:numCache>
                <c:formatCode>0.00%</c:formatCode>
                <c:ptCount val="4"/>
                <c:pt idx="0">
                  <c:v>0.6289</c:v>
                </c:pt>
                <c:pt idx="1">
                  <c:v>0</c:v>
                </c:pt>
                <c:pt idx="2">
                  <c:v>0.3711</c:v>
                </c:pt>
                <c:pt idx="3">
                  <c:v>0</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manualLayout>
          <c:xMode val="edge"/>
          <c:yMode val="edge"/>
          <c:x val="0.653403141361257"/>
          <c:y val="0.315663900414938"/>
        </c:manualLayout>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t>图</a:t>
            </a:r>
            <a:r>
              <a:rPr lang="en-US"/>
              <a:t>3</a:t>
            </a:r>
            <a:r>
              <a:rPr lang="zh-CN"/>
              <a:t>：</a:t>
            </a:r>
            <a:r>
              <a:rPr lang="en-US"/>
              <a:t>2021</a:t>
            </a:r>
            <a:r>
              <a:rPr lang="zh-CN"/>
              <a:t>年支出决算结构图</a:t>
            </a:r>
            <a:endParaRPr lang="zh-CN"/>
          </a:p>
        </c:rich>
      </c:tx>
      <c:layout>
        <c:manualLayout>
          <c:xMode val="edge"/>
          <c:yMode val="edge"/>
          <c:x val="0.224852767962309"/>
          <c:y val="0.0234604105571848"/>
        </c:manualLayout>
      </c:layout>
      <c:overlay val="0"/>
    </c:title>
    <c:autoTitleDeleted val="0"/>
    <c:plotArea>
      <c:layout/>
      <c:pieChart>
        <c:varyColors val="1"/>
        <c:ser>
          <c:idx val="0"/>
          <c:order val="0"/>
          <c:tx>
            <c:strRef>
              <c:f>'[附件4：2021年决算公开附图(模板)仅供参考.xlsx]支出决算结构图3'!$B$9</c:f>
              <c:strCache>
                <c:ptCount val="1"/>
                <c:pt idx="0">
                  <c:v>占比</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'[附件4：2021年决算公开附图(模板)仅供参考.xlsx]支出决算结构图3'!$A$10:$A$11</c:f>
              <c:strCache>
                <c:ptCount val="2"/>
                <c:pt idx="0">
                  <c:v>基本支出219.39万元</c:v>
                </c:pt>
                <c:pt idx="1">
                  <c:v>项目支出10.81万元</c:v>
                </c:pt>
              </c:strCache>
            </c:strRef>
          </c:cat>
          <c:val>
            <c:numRef>
              <c:f>'[附件4：2021年决算公开附图(模板)仅供参考.xlsx]支出决算结构图3'!$B$10:$B$11</c:f>
              <c:numCache>
                <c:formatCode>0.00%</c:formatCode>
                <c:ptCount val="2"/>
                <c:pt idx="0">
                  <c:v>0.953</c:v>
                </c:pt>
                <c:pt idx="1">
                  <c:v>0.047</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4</a:t>
            </a:r>
            <a:r>
              <a:rPr lang="zh-CN" altLang="en-US"/>
              <a:t>：财政拨款收、支决算总计变动情况图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'[附件4：2021年决算公开附图(模板)仅供参考.xlsx]财政拨款收、支决算总计变动情况图4'!$C$4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'[附件4：2021年决算公开附图(模板)仅供参考.xlsx]财政拨款收、支决算总计变动情况图4'!$B$5:$B$6</c:f>
              <c:strCache>
                <c:ptCount val="2"/>
                <c:pt idx="0">
                  <c:v>2021年</c:v>
                </c:pt>
                <c:pt idx="1">
                  <c:v>2020年</c:v>
                </c:pt>
              </c:strCache>
            </c:strRef>
          </c:cat>
          <c:val>
            <c:numRef>
              <c:f>'[附件4：2021年决算公开附图(模板)仅供参考.xlsx]财政拨款收、支决算总计变动情况图4'!$C$5:$C$6</c:f>
              <c:numCache>
                <c:formatCode>#,##0.00</c:formatCode>
                <c:ptCount val="2"/>
                <c:pt idx="0">
                  <c:v>130.65</c:v>
                </c:pt>
                <c:pt idx="1">
                  <c:v>129.21</c:v>
                </c:pt>
              </c:numCache>
            </c:numRef>
          </c:val>
        </c:ser>
        <c:dLbls>
          <c:showLegendKey val="0"/>
          <c:showVal val="1"/>
          <c:showCatName val="0"/>
          <c:showSerName val="0"/>
          <c:showPercent val="0"/>
          <c:showBubbleSize val="0"/>
        </c:dLbls>
        <c:gapWidth val="150"/>
        <c:axId val="91223168"/>
        <c:axId val="91224704"/>
      </c:barChart>
      <c:catAx>
        <c:axId val="91223168"/>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4704"/>
        <c:crosses val="autoZero"/>
        <c:auto val="1"/>
        <c:lblAlgn val="ctr"/>
        <c:lblOffset val="100"/>
        <c:noMultiLvlLbl val="0"/>
      </c:catAx>
      <c:valAx>
        <c:axId val="9122470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23168"/>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5</a:t>
            </a:r>
            <a:r>
              <a:rPr lang="zh-CN" altLang="en-US"/>
              <a:t>：一般公共预算财政拨款支出决算       变动情况图</a:t>
            </a:r>
            <a:endParaRPr lang="zh-CN" altLang="en-US"/>
          </a:p>
        </c:rich>
      </c:tx>
      <c:layout/>
      <c:overlay val="0"/>
    </c:title>
    <c:autoTitleDeleted val="0"/>
    <c:plotArea>
      <c:layout/>
      <c:barChart>
        <c:barDir val="col"/>
        <c:grouping val="clustered"/>
        <c:varyColors val="0"/>
        <c:ser>
          <c:idx val="0"/>
          <c:order val="0"/>
          <c:tx>
            <c:strRef>
              <c:f>'[附件4：2021年决算公开附图(模板)仅供参考.xlsx]一般公共预算财政拨款支出决算变动图5'!$C$4</c:f>
              <c:strCache>
                <c:ptCount val="1"/>
                <c:pt idx="0">
                  <c:v>金额</c:v>
                </c:pt>
              </c:strCache>
            </c:strRef>
          </c:tx>
          <c:invertIfNegative val="0"/>
          <c:dPt>
            <c:idx val="1"/>
            <c:invertIfNegative val="0"/>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cap="flat" cmpd="sng" algn="ctr">
                <a:solidFill>
                  <a:schemeClr val="accent2">
                    <a:shade val="95000"/>
                    <a:satMod val="105000"/>
                  </a:schemeClr>
                </a:solidFill>
                <a:prstDash val="solid"/>
              </a:ln>
              <a:effectLst>
                <a:outerShdw blurRad="40000" dist="23000" dir="5400000" rotWithShape="0">
                  <a:srgbClr val="000000">
                    <a:alpha val="35000"/>
                  </a:srgbClr>
                </a:outerShdw>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'[附件4：2021年决算公开附图(模板)仅供参考.xlsx]一般公共预算财政拨款支出决算变动图5'!$B$5:$B$6</c:f>
              <c:strCache>
                <c:ptCount val="2"/>
                <c:pt idx="0">
                  <c:v>2021年</c:v>
                </c:pt>
                <c:pt idx="1">
                  <c:v>2020年</c:v>
                </c:pt>
              </c:strCache>
            </c:strRef>
          </c:cat>
          <c:val>
            <c:numRef>
              <c:f>'[附件4：2021年决算公开附图(模板)仅供参考.xlsx]一般公共预算财政拨款支出决算变动图5'!$C$5:$C$6</c:f>
              <c:numCache>
                <c:formatCode>#,##0.00</c:formatCode>
                <c:ptCount val="2"/>
                <c:pt idx="0">
                  <c:v>130.65</c:v>
                </c:pt>
                <c:pt idx="1">
                  <c:v>136.75</c:v>
                </c:pt>
              </c:numCache>
            </c:numRef>
          </c:val>
        </c:ser>
        <c:dLbls>
          <c:showLegendKey val="0"/>
          <c:showVal val="1"/>
          <c:showCatName val="0"/>
          <c:showSerName val="0"/>
          <c:showPercent val="0"/>
          <c:showBubbleSize val="0"/>
        </c:dLbls>
        <c:gapWidth val="150"/>
        <c:axId val="91241856"/>
        <c:axId val="91268224"/>
      </c:barChart>
      <c:catAx>
        <c:axId val="91241856"/>
        <c:scaling>
          <c:orientation val="minMax"/>
        </c:scaling>
        <c:delete val="0"/>
        <c:axPos val="b"/>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68224"/>
        <c:crosses val="autoZero"/>
        <c:auto val="1"/>
        <c:lblAlgn val="ctr"/>
        <c:lblOffset val="100"/>
        <c:noMultiLvlLbl val="0"/>
      </c:catAx>
      <c:valAx>
        <c:axId val="91268224"/>
        <c:scaling>
          <c:orientation val="minMax"/>
        </c:scaling>
        <c:delete val="0"/>
        <c:axPos val="l"/>
        <c:majorGridlines/>
        <c:numFmt formatCode="#,##0.00"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crossAx val="91241856"/>
        <c:crosses val="autoZero"/>
        <c:crossBetween val="between"/>
      </c:valAx>
      <c:spPr>
        <a:gradFill rotWithShape="1">
          <a:gsLst>
            <a:gs pos="0">
              <a:schemeClr val="dk1">
                <a:tint val="50000"/>
                <a:satMod val="300000"/>
              </a:schemeClr>
            </a:gs>
            <a:gs pos="35000">
              <a:schemeClr val="dk1">
                <a:tint val="37000"/>
                <a:satMod val="300000"/>
              </a:schemeClr>
            </a:gs>
            <a:gs pos="100000">
              <a:schemeClr val="dk1">
                <a:tint val="15000"/>
                <a:satMod val="350000"/>
              </a:schemeClr>
            </a:gs>
          </a:gsLst>
          <a:lin ang="16200000" scaled="1"/>
        </a:gradFill>
        <a:ln w="9525" cap="flat" cmpd="sng" algn="ctr">
          <a:solidFill>
            <a:schemeClr val="dk1">
              <a:shade val="95000"/>
              <a:satMod val="105000"/>
            </a:schemeClr>
          </a:solidFill>
          <a:prstDash val="solid"/>
        </a:ln>
        <a:effectLst>
          <a:outerShdw blurRad="40000" dist="20000" dir="5400000" rotWithShape="0">
            <a:srgbClr val="000000">
              <a:alpha val="38000"/>
            </a:srgbClr>
          </a:outerShdw>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6</a:t>
            </a:r>
            <a:r>
              <a:rPr lang="zh-CN" altLang="en-US"/>
              <a:t>：一般公共预算财政拨款支出决算结构图</a:t>
            </a:r>
            <a:endParaRPr lang="zh-CN" altLang="en-US"/>
          </a:p>
        </c:rich>
      </c:tx>
      <c:layout/>
      <c:overlay val="0"/>
    </c:title>
    <c:autoTitleDeleted val="0"/>
    <c:plotArea>
      <c:layout/>
      <c:pieChart>
        <c:varyColors val="1"/>
        <c:ser>
          <c:idx val="0"/>
          <c:order val="0"/>
          <c:tx>
            <c:strRef>
              <c:f>'[附件4：2021年决算公开附图(模板)仅供参考.xlsx]一般公共预算财政拨款支出决算结构图6'!$C$18</c:f>
              <c:strCache>
                <c:ptCount val="1"/>
                <c:pt idx="0">
                  <c:v>占比</c:v>
                </c:pt>
              </c:strCache>
            </c:strRef>
          </c:tx>
          <c:explosion val="0"/>
          <c:dPt>
            <c:idx val="0"/>
            <c:bubble3D val="0"/>
          </c:dPt>
          <c:dPt>
            <c:idx val="1"/>
            <c:bubble3D val="0"/>
          </c:dPt>
          <c:dPt>
            <c:idx val="2"/>
            <c:bubble3D val="0"/>
          </c:dPt>
          <c:dPt>
            <c:idx val="3"/>
            <c:bubble3D val="0"/>
          </c:dPt>
          <c:dPt>
            <c:idx val="4"/>
            <c:bubble3D val="0"/>
          </c:dPt>
          <c:dPt>
            <c:idx val="5"/>
            <c:bubble3D val="0"/>
          </c:dPt>
          <c:dPt>
            <c:idx val="6"/>
            <c:bubble3D val="0"/>
          </c:dPt>
          <c:dLbls>
            <c:dLbl>
              <c:idx val="5"/>
              <c:layout>
                <c:manualLayout>
                  <c:x val="0.0569634882148239"/>
                  <c:y val="-0.0231827518809166"/>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0.00305024618798017"/>
                  <c:y val="0.119045485645333"/>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'[附件4：2021年决算公开附图(模板)仅供参考.xlsx]一般公共预算财政拨款支出决算结构图6'!$B$19:$B$25</c:f>
              <c:strCache>
                <c:ptCount val="7"/>
                <c:pt idx="0">
                  <c:v>其他支出</c:v>
                </c:pt>
                <c:pt idx="1">
                  <c:v>教育支出</c:v>
                </c:pt>
                <c:pt idx="2">
                  <c:v>文化旅游体育与传媒支出</c:v>
                </c:pt>
                <c:pt idx="3">
                  <c:v>社会保障和就业支出</c:v>
                </c:pt>
                <c:pt idx="4">
                  <c:v>卫生健康支出</c:v>
                </c:pt>
                <c:pt idx="5">
                  <c:v>农林水支出</c:v>
                </c:pt>
                <c:pt idx="6">
                  <c:v>住房保障支出</c:v>
                </c:pt>
              </c:strCache>
            </c:strRef>
          </c:cat>
          <c:val>
            <c:numRef>
              <c:f>'[附件4：2021年决算公开附图(模板)仅供参考.xlsx]一般公共预算财政拨款支出决算结构图6'!$C$19:$C$25</c:f>
              <c:numCache>
                <c:formatCode>0.00%</c:formatCode>
                <c:ptCount val="7"/>
                <c:pt idx="0">
                  <c:v>0</c:v>
                </c:pt>
                <c:pt idx="1">
                  <c:v>0.7864</c:v>
                </c:pt>
                <c:pt idx="2">
                  <c:v>0</c:v>
                </c:pt>
                <c:pt idx="3">
                  <c:v>0.1153</c:v>
                </c:pt>
                <c:pt idx="4">
                  <c:v>0.0279</c:v>
                </c:pt>
                <c:pt idx="5">
                  <c:v>0</c:v>
                </c:pt>
                <c:pt idx="6">
                  <c:v>0.0704</c:v>
                </c:pt>
              </c:numCache>
            </c:numRef>
          </c:val>
        </c:ser>
        <c:dLbls>
          <c:showLegendKey val="0"/>
          <c:showVal val="0"/>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dk1"/>
                </a:solidFill>
                <a:latin typeface="+mn-lt"/>
                <a:ea typeface="+mn-ea"/>
                <a:cs typeface="+mn-cs"/>
              </a:defRPr>
            </a:pPr>
            <a:r>
              <a:rPr lang="zh-CN" altLang="en-US"/>
              <a:t>图</a:t>
            </a:r>
            <a:r>
              <a:rPr lang="en-US" altLang="zh-CN"/>
              <a:t>7</a:t>
            </a:r>
            <a:r>
              <a:rPr lang="zh-CN" altLang="en-US"/>
              <a:t>：</a:t>
            </a:r>
            <a:r>
              <a:rPr lang="en-US" altLang="zh-CN"/>
              <a:t>2021</a:t>
            </a:r>
            <a:r>
              <a:rPr lang="zh-CN" altLang="en-US"/>
              <a:t>年  </a:t>
            </a:r>
            <a:r>
              <a:rPr lang="en-US" altLang="zh-CN"/>
              <a:t>"</a:t>
            </a:r>
            <a:r>
              <a:rPr lang="zh-CN" altLang="en-US"/>
              <a:t>三公”经费财政拨款                  支出结构图</a:t>
            </a:r>
            <a:endParaRPr lang="zh-CN" altLang="en-US"/>
          </a:p>
        </c:rich>
      </c:tx>
      <c:layout/>
      <c:overlay val="0"/>
    </c:title>
    <c:autoTitleDeleted val="0"/>
    <c:plotArea>
      <c:layout/>
      <c:pieChart>
        <c:varyColors val="1"/>
        <c:ser>
          <c:idx val="0"/>
          <c:order val="0"/>
          <c:tx>
            <c:strRef>
              <c:f>'[附件4：2021年决算公开附图(模板)仅供参考.xlsx]“三公”经费财政拨款支出结构图7 '!$B$9</c:f>
              <c:strCache>
                <c:ptCount val="1"/>
                <c:pt idx="0">
                  <c:v>占比</c:v>
                </c:pt>
              </c:strCache>
            </c:strRef>
          </c:tx>
          <c:explosion val="0"/>
          <c:dPt>
            <c:idx val="0"/>
            <c:bubble3D val="0"/>
          </c:dPt>
          <c:dPt>
            <c:idx val="1"/>
            <c:bubble3D val="0"/>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dk1"/>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ext>
            </c:extLst>
          </c:dLbls>
          <c:cat>
            <c:strRef>
              <c:f>'[附件4：2021年决算公开附图(模板)仅供参考.xlsx]“三公”经费财政拨款支出结构图7 '!$A$10:$A$11</c:f>
              <c:strCache>
                <c:ptCount val="2"/>
                <c:pt idx="0">
                  <c:v>公务用车购置及运行维护费支出0万元</c:v>
                </c:pt>
                <c:pt idx="1">
                  <c:v>公务接待费支出0万元</c:v>
                </c:pt>
              </c:strCache>
            </c:strRef>
          </c:cat>
          <c:val>
            <c:numRef>
              <c:f>'[附件4：2021年决算公开附图(模板)仅供参考.xlsx]“三公”经费财政拨款支出结构图7 '!$B$10:$B$11</c:f>
              <c:numCache>
                <c:formatCode>0.00%</c:formatCode>
                <c:ptCount val="2"/>
                <c:pt idx="0">
                  <c:v>0</c:v>
                </c:pt>
                <c:pt idx="1">
                  <c:v>0</c:v>
                </c:pt>
              </c:numCache>
            </c:numRef>
          </c:val>
        </c:ser>
        <c:dLbls>
          <c:showLegendKey val="0"/>
          <c:showVal val="1"/>
          <c:showCatName val="0"/>
          <c:showSerName val="0"/>
          <c:showPercent val="0"/>
          <c:showBubbleSize val="0"/>
          <c:showLeaderLines val="1"/>
        </c:dLbls>
        <c:firstSliceAng val="15"/>
      </c:pieChart>
      <c:spPr>
        <a:no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dk1"/>
              </a:solidFill>
              <a:latin typeface="+mn-lt"/>
              <a:ea typeface="+mn-ea"/>
              <a:cs typeface="+mn-cs"/>
            </a:defRPr>
          </a:pPr>
        </a:p>
      </c:txPr>
    </c:legend>
    <c:plotVisOnly val="1"/>
    <c:dispBlanksAs val="gap"/>
    <c:showDLblsOverMax val="0"/>
  </c:chart>
  <c:spPr>
    <a:gradFill rotWithShape="1">
      <a:gsLst>
        <a:gs pos="0">
          <a:schemeClr val="accent3">
            <a:tint val="50000"/>
            <a:satMod val="300000"/>
          </a:schemeClr>
        </a:gs>
        <a:gs pos="35000">
          <a:schemeClr val="accent3">
            <a:tint val="37000"/>
            <a:satMod val="300000"/>
          </a:schemeClr>
        </a:gs>
        <a:gs pos="100000">
          <a:schemeClr val="accent3">
            <a:tint val="15000"/>
            <a:satMod val="350000"/>
          </a:schemeClr>
        </a:gs>
      </a:gsLst>
      <a:lin ang="16200000" scaled="1"/>
    </a:gradFill>
    <a:ln w="9525" cap="flat" cmpd="sng" algn="ctr">
      <a:solidFill>
        <a:schemeClr val="accent3">
          <a:shade val="95000"/>
          <a:satMod val="105000"/>
        </a:schemeClr>
      </a:solidFill>
      <a:prstDash val="solid"/>
      <a:round/>
    </a:ln>
    <a:effectLst>
      <a:outerShdw blurRad="40000" dist="20000" dir="5400000" rotWithShape="0">
        <a:srgbClr val="000000">
          <a:alpha val="38000"/>
        </a:srgbClr>
      </a:outerShdw>
    </a:effectLst>
  </c:spPr>
  <c:txPr>
    <a:bodyPr/>
    <a:lstStyle/>
    <a:p>
      <a:pPr>
        <a:defRPr lang="zh-CN">
          <a:solidFill>
            <a:schemeClr val="dk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1022</Words>
  <Characters>5828</Characters>
  <Lines>48</Lines>
  <Paragraphs>13</Paragraphs>
  <TotalTime>12</TotalTime>
  <ScaleCrop>false</ScaleCrop>
  <LinksUpToDate>false</LinksUpToDate>
  <CharactersWithSpaces>6837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2022-09-13T01:18:00Z</dcterms:created>
  <dc:creator>曹颖</dc:creator>
  <cp:lastModifiedBy>Sunny</cp:lastModifiedBy>
  <cp:lastPrinted>2022-12-07T04:53:12Z</cp:lastPrinted>
  <dcterms:modified xsi:type="dcterms:W3CDTF">2022-12-07T05:00:43Z</dcterms:modified>
  <dc:title>四川省***</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