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s="方正小标宋简体"/>
          <w:color w:val="000000"/>
          <w:sz w:val="72"/>
          <w:szCs w:val="72"/>
        </w:rPr>
      </w:pPr>
      <w:bookmarkStart w:id="1" w:name="_Toc15396475"/>
      <w:bookmarkStart w:id="2" w:name="_Toc15396597"/>
      <w:bookmarkStart w:id="3" w:name="_Toc15377193"/>
      <w:bookmarkStart w:id="4" w:name="_Toc15377425"/>
      <w:bookmarkStart w:id="5" w:name="_Toc15378441"/>
      <w:r>
        <w:rPr>
          <w:rFonts w:hint="eastAsia" w:ascii="方正小标宋简体" w:hAnsi="黑体" w:eastAsia="方正小标宋简体" w:cs="黑体"/>
          <w:color w:val="000000"/>
          <w:sz w:val="72"/>
          <w:szCs w:val="72"/>
        </w:rPr>
        <w:t>2020</w:t>
      </w:r>
      <w:r>
        <w:rPr>
          <w:rFonts w:hint="eastAsia" w:ascii="方正小标宋简体" w:hAnsi="宋体" w:eastAsia="方正小标宋简体" w:cs="方正小标宋简体"/>
          <w:color w:val="000000"/>
          <w:sz w:val="72"/>
          <w:szCs w:val="72"/>
        </w:rPr>
        <w:t>年度</w:t>
      </w:r>
      <w:bookmarkEnd w:id="0"/>
      <w:bookmarkEnd w:id="1"/>
      <w:bookmarkEnd w:id="2"/>
      <w:bookmarkEnd w:id="3"/>
      <w:bookmarkEnd w:id="4"/>
      <w:bookmarkEnd w:id="5"/>
      <w:bookmarkStart w:id="6" w:name="_Toc15377426"/>
      <w:bookmarkStart w:id="7" w:name="_Toc15378442"/>
      <w:bookmarkStart w:id="8" w:name="_Toc15396598"/>
      <w:bookmarkStart w:id="9" w:name="_Toc15396476"/>
      <w:bookmarkStart w:id="10" w:name="_Toc15377194"/>
    </w:p>
    <w:p>
      <w:pPr>
        <w:adjustRightInd w:val="0"/>
        <w:snapToGrid w:val="0"/>
        <w:spacing w:line="360" w:lineRule="auto"/>
        <w:jc w:val="center"/>
        <w:outlineLvl w:val="0"/>
        <w:rPr>
          <w:rFonts w:ascii="方正小标宋简体" w:hAnsi="宋体" w:eastAsia="方正小标宋简体" w:cs="方正小标宋简体"/>
          <w:color w:val="000000"/>
          <w:sz w:val="52"/>
          <w:szCs w:val="52"/>
        </w:rPr>
      </w:pPr>
      <w:r>
        <w:rPr>
          <w:rFonts w:hint="eastAsia" w:ascii="方正小标宋简体" w:hAnsi="宋体" w:eastAsia="方正小标宋简体" w:cs="方正小标宋简体"/>
          <w:color w:val="000000"/>
          <w:sz w:val="52"/>
          <w:szCs w:val="52"/>
        </w:rPr>
        <w:t>乐山市市中区</w:t>
      </w:r>
      <w:bookmarkStart w:id="11" w:name="_Toc15306268"/>
      <w:r>
        <w:rPr>
          <w:rFonts w:hint="eastAsia" w:ascii="方正小标宋简体" w:hAnsi="宋体" w:eastAsia="方正小标宋简体" w:cs="方正小标宋简体"/>
          <w:color w:val="000000"/>
          <w:sz w:val="52"/>
          <w:szCs w:val="52"/>
        </w:rPr>
        <w:t>剑峰镇人民政府部门</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s="方正小标宋简体"/>
          <w:color w:val="000000"/>
          <w:sz w:val="52"/>
          <w:szCs w:val="52"/>
        </w:rPr>
        <w:t>决算</w:t>
      </w:r>
      <w:bookmarkEnd w:id="6"/>
      <w:bookmarkEnd w:id="7"/>
      <w:bookmarkEnd w:id="8"/>
      <w:bookmarkEnd w:id="9"/>
      <w:bookmarkEnd w:id="10"/>
      <w:bookmarkEnd w:id="11"/>
      <w:r>
        <w:rPr>
          <w:rFonts w:hint="eastAsia" w:ascii="方正小标宋简体" w:hAnsi="宋体" w:eastAsia="方正小标宋简体" w:cs="方正小标宋简体"/>
          <w:color w:val="000000"/>
          <w:sz w:val="52"/>
          <w:szCs w:val="52"/>
        </w:rPr>
        <w:t>编制说明</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color w:val="000000"/>
          <w:sz w:val="36"/>
          <w:szCs w:val="36"/>
        </w:rPr>
      </w:pPr>
    </w:p>
    <w:p>
      <w:pPr>
        <w:pStyle w:val="2"/>
        <w:rPr>
          <w:rFonts w:ascii="方正小标宋简体" w:hAnsi="宋体" w:eastAsia="方正小标宋简体"/>
          <w:color w:val="000000"/>
          <w:sz w:val="36"/>
          <w:szCs w:val="36"/>
        </w:rPr>
      </w:pPr>
    </w:p>
    <w:p>
      <w:pPr>
        <w:rPr>
          <w:rFonts w:ascii="方正小标宋简体" w:hAnsi="宋体" w:eastAsia="方正小标宋简体"/>
          <w:color w:val="000000"/>
          <w:sz w:val="36"/>
          <w:szCs w:val="36"/>
        </w:rPr>
      </w:pPr>
    </w:p>
    <w:p>
      <w:pPr>
        <w:pStyle w:val="2"/>
        <w:rPr>
          <w:rFonts w:ascii="方正小标宋简体" w:hAnsi="宋体" w:eastAsia="方正小标宋简体"/>
          <w:color w:val="000000"/>
          <w:sz w:val="36"/>
          <w:szCs w:val="36"/>
        </w:rPr>
      </w:pPr>
    </w:p>
    <w:p>
      <w:pPr>
        <w:rPr>
          <w:rFonts w:ascii="方正小标宋简体" w:hAnsi="宋体" w:eastAsia="方正小标宋简体"/>
          <w:color w:val="000000"/>
          <w:sz w:val="36"/>
          <w:szCs w:val="36"/>
        </w:rPr>
      </w:pPr>
    </w:p>
    <w:p>
      <w:pPr>
        <w:pStyle w:val="2"/>
      </w:pPr>
    </w:p>
    <w:p>
      <w:pPr>
        <w:rPr>
          <w:rFonts w:ascii="方正小标宋简体" w:hAnsi="宋体" w:eastAsia="方正小标宋简体"/>
          <w:color w:val="000000"/>
          <w:sz w:val="36"/>
          <w:szCs w:val="36"/>
        </w:rPr>
      </w:pPr>
    </w:p>
    <w:p>
      <w:pPr>
        <w:jc w:val="center"/>
        <w:rPr>
          <w:rFonts w:ascii="黑体" w:hAnsi="黑体" w:eastAsia="黑体"/>
          <w:color w:val="000000"/>
          <w:sz w:val="48"/>
          <w:szCs w:val="48"/>
        </w:rPr>
      </w:pPr>
      <w:r>
        <w:rPr>
          <w:rFonts w:hint="eastAsia" w:ascii="黑体" w:hAnsi="黑体" w:eastAsia="黑体" w:cs="黑体"/>
          <w:color w:val="000000"/>
          <w:sz w:val="48"/>
          <w:szCs w:val="48"/>
        </w:rPr>
        <w:t>目录</w:t>
      </w:r>
    </w:p>
    <w:p>
      <w:pPr>
        <w:widowControl/>
        <w:jc w:val="center"/>
        <w:rPr>
          <w:rFonts w:hint="eastAsia"/>
          <w:sz w:val="32"/>
          <w:szCs w:val="32"/>
        </w:rPr>
      </w:pPr>
      <w:r>
        <w:rPr>
          <w:rFonts w:hint="eastAsia"/>
          <w:sz w:val="32"/>
          <w:szCs w:val="32"/>
        </w:rPr>
        <w:t>公开时间：</w:t>
      </w:r>
      <w:r>
        <w:rPr>
          <w:sz w:val="32"/>
          <w:szCs w:val="32"/>
        </w:rPr>
        <w:t>202</w:t>
      </w:r>
      <w:r>
        <w:rPr>
          <w:rFonts w:hint="eastAsia"/>
          <w:sz w:val="32"/>
          <w:szCs w:val="32"/>
        </w:rPr>
        <w:t>1年10月20日</w:t>
      </w:r>
    </w:p>
    <w:p>
      <w:pPr>
        <w:pStyle w:val="2"/>
        <w:rPr>
          <w:rFonts w:hint="eastAsia"/>
        </w:rPr>
      </w:pPr>
    </w:p>
    <w:p>
      <w:pPr>
        <w:widowControl/>
        <w:jc w:val="both"/>
        <w:rPr>
          <w:rFonts w:cs="Times New Roman"/>
          <w:sz w:val="24"/>
          <w:szCs w:val="24"/>
        </w:rPr>
      </w:pPr>
      <w:r>
        <w:rPr>
          <w:rFonts w:hint="eastAsia" w:ascii="仿宋_GB2312" w:eastAsia="仿宋_GB2312"/>
          <w:sz w:val="24"/>
          <w:szCs w:val="24"/>
        </w:rPr>
        <w:t>第一部分 部门概况</w:t>
      </w:r>
      <w:r>
        <w:rPr>
          <w:rFonts w:hint="eastAsia"/>
          <w:sz w:val="24"/>
          <w:szCs w:val="24"/>
        </w:rPr>
        <w:t xml:space="preserve">  ...........................</w:t>
      </w:r>
      <w:r>
        <w:rPr>
          <w:rFonts w:hint="eastAsia"/>
          <w:sz w:val="24"/>
          <w:szCs w:val="24"/>
          <w:lang w:val="en-US" w:eastAsia="zh-CN"/>
        </w:rPr>
        <w:t>.............................................</w:t>
      </w:r>
      <w:r>
        <w:rPr>
          <w:rFonts w:hint="eastAsia"/>
          <w:sz w:val="24"/>
          <w:szCs w:val="24"/>
        </w:rPr>
        <w:t>...................</w:t>
      </w:r>
      <w:r>
        <w:rPr>
          <w:rFonts w:hint="eastAsia" w:ascii="仿宋_GB2312" w:eastAsia="仿宋_GB2312"/>
          <w:sz w:val="24"/>
          <w:szCs w:val="24"/>
        </w:rPr>
        <w:t>4</w:t>
      </w:r>
      <w:r>
        <w:rPr>
          <w:rFonts w:hint="eastAsia"/>
          <w:sz w:val="24"/>
          <w:szCs w:val="24"/>
        </w:rPr>
        <w:t xml:space="preserve">                                              </w:t>
      </w:r>
    </w:p>
    <w:p>
      <w:pPr>
        <w:pStyle w:val="11"/>
        <w:adjustRightInd w:val="0"/>
        <w:snapToGrid w:val="0"/>
        <w:spacing w:line="440" w:lineRule="exact"/>
        <w:ind w:left="0" w:leftChars="0"/>
        <w:jc w:val="left"/>
        <w:rPr>
          <w:rFonts w:ascii="仿宋" w:hAnsi="仿宋"/>
          <w:sz w:val="24"/>
          <w:szCs w:val="24"/>
        </w:rPr>
      </w:pPr>
      <w:r>
        <w:rPr>
          <w:rFonts w:hint="eastAsia" w:ascii="仿宋_GB2312" w:eastAsia="仿宋_GB2312" w:cs="宋体"/>
          <w:sz w:val="24"/>
          <w:szCs w:val="24"/>
        </w:rPr>
        <w:t>一、基本职能及主要工作</w:t>
      </w:r>
      <w:r>
        <w:rPr>
          <w:rFonts w:hint="eastAsia" w:cs="宋体"/>
          <w:sz w:val="24"/>
          <w:szCs w:val="24"/>
        </w:rPr>
        <w:t xml:space="preserve"> ............................................................................... ....</w:t>
      </w:r>
      <w:r>
        <w:rPr>
          <w:rFonts w:hint="eastAsia" w:ascii="仿宋_GB2312" w:eastAsia="仿宋_GB2312" w:cs="宋体"/>
          <w:sz w:val="24"/>
          <w:szCs w:val="24"/>
        </w:rPr>
        <w:t xml:space="preserve">4 </w:t>
      </w:r>
      <w:r>
        <w:rPr>
          <w:rFonts w:hint="eastAsia" w:cs="宋体"/>
          <w:sz w:val="24"/>
          <w:szCs w:val="24"/>
        </w:rPr>
        <w:t xml:space="preserve">                               </w:t>
      </w:r>
    </w:p>
    <w:p>
      <w:pPr>
        <w:pStyle w:val="11"/>
        <w:tabs>
          <w:tab w:val="right" w:pos="7886"/>
          <w:tab w:val="clear" w:pos="8296"/>
        </w:tabs>
        <w:adjustRightInd w:val="0"/>
        <w:snapToGrid w:val="0"/>
        <w:ind w:left="0" w:leftChars="0"/>
        <w:jc w:val="left"/>
        <w:rPr>
          <w:rFonts w:ascii="仿宋" w:hAnsi="仿宋"/>
          <w:sz w:val="24"/>
          <w:szCs w:val="24"/>
        </w:rPr>
      </w:pPr>
      <w:r>
        <w:rPr>
          <w:rFonts w:hint="eastAsia" w:ascii="仿宋_GB2312" w:eastAsia="仿宋_GB2312" w:cs="宋体"/>
          <w:sz w:val="24"/>
          <w:szCs w:val="24"/>
        </w:rPr>
        <w:t>二、机构设置</w:t>
      </w:r>
      <w:r>
        <w:rPr>
          <w:rFonts w:hint="eastAsia" w:cs="宋体"/>
          <w:sz w:val="24"/>
          <w:szCs w:val="24"/>
        </w:rPr>
        <w:t xml:space="preserve"> ............................................................................................... ..... ..</w:t>
      </w:r>
      <w:r>
        <w:rPr>
          <w:rFonts w:hint="eastAsia" w:ascii="仿宋_GB2312" w:eastAsia="仿宋_GB2312" w:cs="宋体"/>
          <w:sz w:val="24"/>
          <w:szCs w:val="24"/>
          <w:lang w:val="en-US" w:eastAsia="zh-CN"/>
        </w:rPr>
        <w:t>9</w:t>
      </w:r>
      <w:r>
        <w:rPr>
          <w:rFonts w:hint="eastAsia" w:ascii="仿宋_GB2312" w:eastAsia="仿宋_GB2312" w:cs="宋体"/>
          <w:sz w:val="24"/>
          <w:szCs w:val="24"/>
        </w:rPr>
        <w:t xml:space="preserve"> </w:t>
      </w:r>
      <w:r>
        <w:rPr>
          <w:rFonts w:hint="eastAsia" w:cs="宋体"/>
          <w:sz w:val="24"/>
          <w:szCs w:val="24"/>
        </w:rPr>
        <w:t xml:space="preserve">                                </w:t>
      </w:r>
    </w:p>
    <w:p>
      <w:pPr>
        <w:pStyle w:val="10"/>
        <w:adjustRightInd w:val="0"/>
        <w:snapToGrid w:val="0"/>
        <w:spacing w:before="0" w:line="440" w:lineRule="exact"/>
        <w:jc w:val="left"/>
        <w:rPr>
          <w:rFonts w:hint="default" w:eastAsia="仿宋" w:cs="Times New Roman"/>
          <w:sz w:val="24"/>
          <w:szCs w:val="24"/>
          <w:lang w:val="en-US" w:eastAsia="zh-CN"/>
        </w:rPr>
      </w:pPr>
      <w:r>
        <w:rPr>
          <w:rFonts w:hint="eastAsia" w:ascii="仿宋_GB2312" w:eastAsia="仿宋_GB2312"/>
          <w:sz w:val="24"/>
          <w:szCs w:val="24"/>
        </w:rPr>
        <w:t>第二部分度部门决算情况说明</w:t>
      </w:r>
      <w:r>
        <w:rPr>
          <w:rFonts w:hint="eastAsia"/>
          <w:sz w:val="24"/>
          <w:szCs w:val="24"/>
        </w:rPr>
        <w:t>.......................................</w:t>
      </w:r>
      <w:r>
        <w:rPr>
          <w:rFonts w:hint="eastAsia" w:ascii="仿宋_GB2312" w:hAnsi="Times New Roman" w:eastAsia="仿宋_GB2312" w:cs="宋体"/>
          <w:sz w:val="24"/>
          <w:szCs w:val="24"/>
          <w:lang w:val="en-US" w:eastAsia="zh-CN"/>
        </w:rPr>
        <w:t>11</w:t>
      </w:r>
    </w:p>
    <w:p>
      <w:pPr>
        <w:pStyle w:val="11"/>
        <w:adjustRightInd w:val="0"/>
        <w:snapToGrid w:val="0"/>
        <w:spacing w:line="440" w:lineRule="exact"/>
        <w:jc w:val="left"/>
        <w:rPr>
          <w:rFonts w:hint="default" w:ascii="仿宋" w:hAnsi="仿宋" w:eastAsia="宋体"/>
          <w:sz w:val="24"/>
          <w:szCs w:val="24"/>
          <w:lang w:val="en-US" w:eastAsia="zh-CN"/>
        </w:rPr>
      </w:pPr>
      <w:r>
        <w:rPr>
          <w:rFonts w:hint="eastAsia" w:ascii="仿宋_GB2312" w:eastAsia="仿宋_GB2312" w:cs="宋体"/>
          <w:sz w:val="24"/>
          <w:szCs w:val="24"/>
        </w:rPr>
        <w:t>一、收入支出决算总体情况说明</w:t>
      </w:r>
      <w:r>
        <w:rPr>
          <w:rFonts w:hint="eastAsia" w:cs="宋体"/>
          <w:sz w:val="24"/>
          <w:szCs w:val="24"/>
        </w:rPr>
        <w:t>............................................................... ...</w:t>
      </w:r>
      <w:r>
        <w:rPr>
          <w:rFonts w:hint="eastAsia" w:ascii="仿宋_GB2312" w:eastAsia="仿宋_GB2312" w:cs="宋体"/>
          <w:sz w:val="24"/>
          <w:szCs w:val="24"/>
          <w:lang w:val="en-US" w:eastAsia="zh-CN"/>
        </w:rPr>
        <w:t>11</w:t>
      </w:r>
    </w:p>
    <w:p>
      <w:pPr>
        <w:pStyle w:val="11"/>
        <w:adjustRightInd w:val="0"/>
        <w:snapToGrid w:val="0"/>
        <w:spacing w:line="440" w:lineRule="exact"/>
        <w:jc w:val="left"/>
        <w:rPr>
          <w:rFonts w:hint="eastAsia" w:ascii="仿宋_GB2312" w:eastAsia="仿宋_GB2312" w:cs="宋体"/>
          <w:sz w:val="24"/>
          <w:szCs w:val="24"/>
          <w:lang w:eastAsia="zh-CN"/>
        </w:rPr>
      </w:pPr>
      <w:r>
        <w:rPr>
          <w:rFonts w:hint="eastAsia" w:ascii="仿宋_GB2312" w:eastAsia="仿宋_GB2312" w:cs="宋体"/>
          <w:sz w:val="24"/>
          <w:szCs w:val="24"/>
        </w:rPr>
        <w:t>二、收入决算情况说明</w:t>
      </w:r>
      <w:r>
        <w:rPr>
          <w:rFonts w:hint="eastAsia" w:cs="宋体"/>
          <w:sz w:val="24"/>
          <w:szCs w:val="24"/>
        </w:rPr>
        <w:t>.............................................................................. ....</w:t>
      </w:r>
      <w:r>
        <w:rPr>
          <w:rFonts w:hint="eastAsia" w:ascii="仿宋_GB2312" w:eastAsia="仿宋_GB2312" w:cs="宋体"/>
          <w:sz w:val="24"/>
          <w:szCs w:val="24"/>
          <w:lang w:val="en-US" w:eastAsia="zh-CN"/>
        </w:rPr>
        <w:t>11</w:t>
      </w:r>
      <w:r>
        <w:rPr>
          <w:rFonts w:hint="eastAsia" w:ascii="仿宋_GB2312" w:eastAsia="仿宋_GB2312" w:cs="宋体"/>
          <w:sz w:val="24"/>
          <w:szCs w:val="24"/>
        </w:rPr>
        <w:t>三、支出决算情况说明</w:t>
      </w:r>
      <w:r>
        <w:rPr>
          <w:rFonts w:hint="eastAsia" w:cs="宋体"/>
          <w:sz w:val="24"/>
          <w:szCs w:val="24"/>
        </w:rPr>
        <w:t>................................................................................ ..</w:t>
      </w:r>
      <w:r>
        <w:rPr>
          <w:rFonts w:hint="eastAsia" w:ascii="仿宋_GB2312" w:eastAsia="仿宋_GB2312" w:cs="宋体"/>
          <w:sz w:val="24"/>
          <w:szCs w:val="24"/>
          <w:lang w:val="en-US" w:eastAsia="zh-CN"/>
        </w:rPr>
        <w:t>12</w:t>
      </w:r>
      <w:r>
        <w:rPr>
          <w:rFonts w:hint="eastAsia" w:ascii="仿宋_GB2312" w:eastAsia="仿宋_GB2312" w:cs="宋体"/>
          <w:sz w:val="24"/>
          <w:szCs w:val="24"/>
        </w:rPr>
        <w:t>四、财政拨款收入支出决算总体情况说明</w:t>
      </w:r>
      <w:r>
        <w:rPr>
          <w:rFonts w:hint="eastAsia" w:cs="宋体"/>
          <w:sz w:val="24"/>
          <w:szCs w:val="24"/>
        </w:rPr>
        <w:t>..................................................</w:t>
      </w:r>
      <w:r>
        <w:rPr>
          <w:rFonts w:hint="eastAsia" w:ascii="仿宋_GB2312" w:eastAsia="仿宋_GB2312" w:cs="宋体"/>
          <w:sz w:val="24"/>
          <w:szCs w:val="24"/>
        </w:rPr>
        <w:t>1</w:t>
      </w:r>
      <w:r>
        <w:rPr>
          <w:rFonts w:hint="eastAsia" w:ascii="仿宋_GB2312" w:eastAsia="仿宋_GB2312" w:cs="宋体"/>
          <w:sz w:val="24"/>
          <w:szCs w:val="24"/>
          <w:lang w:val="en-US" w:eastAsia="zh-CN"/>
        </w:rPr>
        <w:t>2</w:t>
      </w:r>
    </w:p>
    <w:p>
      <w:pPr>
        <w:pStyle w:val="11"/>
        <w:adjustRightInd w:val="0"/>
        <w:snapToGrid w:val="0"/>
        <w:spacing w:line="440" w:lineRule="exact"/>
        <w:jc w:val="left"/>
        <w:rPr>
          <w:rFonts w:hint="eastAsia" w:ascii="仿宋" w:hAnsi="仿宋" w:eastAsia="仿宋_GB2312"/>
          <w:sz w:val="24"/>
          <w:szCs w:val="24"/>
          <w:lang w:eastAsia="zh-CN"/>
        </w:rPr>
      </w:pPr>
      <w:r>
        <w:rPr>
          <w:rFonts w:hint="eastAsia" w:ascii="仿宋_GB2312" w:eastAsia="仿宋_GB2312" w:cs="宋体"/>
          <w:sz w:val="24"/>
          <w:szCs w:val="24"/>
        </w:rPr>
        <w:t>五、一般公共预算财政拨款支出决算情况说明</w:t>
      </w:r>
      <w:r>
        <w:rPr>
          <w:rFonts w:hint="eastAsia" w:cs="宋体"/>
          <w:sz w:val="24"/>
          <w:szCs w:val="24"/>
        </w:rPr>
        <w:t>....................................... ..</w:t>
      </w:r>
      <w:r>
        <w:rPr>
          <w:rFonts w:hint="eastAsia" w:ascii="仿宋_GB2312" w:eastAsia="仿宋_GB2312" w:cs="宋体"/>
          <w:sz w:val="24"/>
          <w:szCs w:val="24"/>
        </w:rPr>
        <w:t>1</w:t>
      </w:r>
      <w:r>
        <w:rPr>
          <w:rFonts w:hint="eastAsia" w:ascii="仿宋_GB2312" w:eastAsia="仿宋_GB2312" w:cs="宋体"/>
          <w:sz w:val="24"/>
          <w:szCs w:val="24"/>
          <w:lang w:val="en-US" w:eastAsia="zh-CN"/>
        </w:rPr>
        <w:t>3</w:t>
      </w:r>
    </w:p>
    <w:p>
      <w:pPr>
        <w:pStyle w:val="11"/>
        <w:adjustRightInd w:val="0"/>
        <w:snapToGrid w:val="0"/>
        <w:spacing w:line="440" w:lineRule="exact"/>
        <w:jc w:val="left"/>
        <w:rPr>
          <w:rFonts w:hint="eastAsia" w:ascii="仿宋" w:hAnsi="仿宋" w:eastAsia="仿宋_GB2312"/>
          <w:sz w:val="24"/>
          <w:szCs w:val="24"/>
          <w:lang w:eastAsia="zh-CN"/>
        </w:rPr>
      </w:pPr>
      <w:r>
        <w:rPr>
          <w:rFonts w:hint="eastAsia" w:ascii="仿宋_GB2312" w:eastAsia="仿宋_GB2312" w:cs="宋体"/>
          <w:sz w:val="24"/>
          <w:szCs w:val="24"/>
        </w:rPr>
        <w:t>六、一般公共预算财政拨款基本支出决算情况说明</w:t>
      </w:r>
      <w:r>
        <w:rPr>
          <w:rFonts w:hint="eastAsia" w:cs="宋体"/>
          <w:sz w:val="24"/>
          <w:szCs w:val="24"/>
        </w:rPr>
        <w:t>..................................</w:t>
      </w:r>
      <w:r>
        <w:rPr>
          <w:rFonts w:hint="eastAsia" w:ascii="仿宋_GB2312" w:eastAsia="仿宋_GB2312" w:cs="宋体"/>
          <w:sz w:val="24"/>
          <w:szCs w:val="24"/>
        </w:rPr>
        <w:t>1</w:t>
      </w:r>
      <w:r>
        <w:rPr>
          <w:rFonts w:hint="eastAsia" w:ascii="仿宋_GB2312" w:eastAsia="仿宋_GB2312" w:cs="宋体"/>
          <w:sz w:val="24"/>
          <w:szCs w:val="24"/>
          <w:lang w:val="en-US" w:eastAsia="zh-CN"/>
        </w:rPr>
        <w:t>8</w:t>
      </w:r>
    </w:p>
    <w:p>
      <w:pPr>
        <w:pStyle w:val="11"/>
        <w:adjustRightInd w:val="0"/>
        <w:snapToGrid w:val="0"/>
        <w:spacing w:line="440" w:lineRule="exact"/>
        <w:jc w:val="left"/>
        <w:rPr>
          <w:rFonts w:hint="eastAsia" w:ascii="仿宋" w:hAnsi="仿宋" w:eastAsia="仿宋_GB2312"/>
          <w:sz w:val="24"/>
          <w:szCs w:val="24"/>
          <w:lang w:eastAsia="zh-CN"/>
        </w:rPr>
      </w:pPr>
      <w:r>
        <w:rPr>
          <w:rFonts w:hint="eastAsia" w:ascii="仿宋_GB2312" w:eastAsia="仿宋_GB2312" w:cs="宋体"/>
          <w:sz w:val="24"/>
          <w:szCs w:val="24"/>
        </w:rPr>
        <w:t>七、</w:t>
      </w:r>
      <w:r>
        <w:rPr>
          <w:rFonts w:ascii="仿宋_GB2312" w:eastAsia="仿宋_GB2312" w:cs="宋体"/>
          <w:sz w:val="24"/>
          <w:szCs w:val="24"/>
        </w:rPr>
        <w:t>“</w:t>
      </w:r>
      <w:r>
        <w:rPr>
          <w:rFonts w:hint="eastAsia" w:ascii="仿宋_GB2312" w:eastAsia="仿宋_GB2312" w:cs="宋体"/>
          <w:sz w:val="24"/>
          <w:szCs w:val="24"/>
        </w:rPr>
        <w:t>三公”经费财政拨款支出决算情况说明</w:t>
      </w:r>
      <w:r>
        <w:rPr>
          <w:rFonts w:hint="eastAsia" w:cs="宋体"/>
          <w:sz w:val="24"/>
          <w:szCs w:val="24"/>
        </w:rPr>
        <w:t>............................................</w:t>
      </w:r>
      <w:r>
        <w:rPr>
          <w:rFonts w:hint="eastAsia" w:ascii="仿宋_GB2312" w:eastAsia="仿宋_GB2312" w:cs="宋体"/>
          <w:sz w:val="24"/>
          <w:szCs w:val="24"/>
        </w:rPr>
        <w:t>1</w:t>
      </w:r>
      <w:r>
        <w:rPr>
          <w:rFonts w:hint="eastAsia" w:ascii="仿宋_GB2312" w:eastAsia="仿宋_GB2312" w:cs="宋体"/>
          <w:sz w:val="24"/>
          <w:szCs w:val="24"/>
          <w:lang w:val="en-US" w:eastAsia="zh-CN"/>
        </w:rPr>
        <w:t>9</w:t>
      </w:r>
    </w:p>
    <w:p>
      <w:pPr>
        <w:pStyle w:val="11"/>
        <w:adjustRightInd w:val="0"/>
        <w:snapToGrid w:val="0"/>
        <w:spacing w:line="440" w:lineRule="exact"/>
        <w:jc w:val="left"/>
        <w:rPr>
          <w:rFonts w:hint="default" w:ascii="仿宋" w:hAnsi="仿宋" w:eastAsia="宋体"/>
          <w:sz w:val="24"/>
          <w:szCs w:val="24"/>
          <w:lang w:val="en-US" w:eastAsia="zh-CN"/>
        </w:rPr>
      </w:pPr>
      <w:r>
        <w:rPr>
          <w:rFonts w:hint="eastAsia" w:ascii="仿宋_GB2312" w:eastAsia="仿宋_GB2312" w:cs="宋体"/>
          <w:sz w:val="24"/>
          <w:szCs w:val="24"/>
        </w:rPr>
        <w:t>八、政府性基金预算支出决算情况说明</w:t>
      </w:r>
      <w:r>
        <w:rPr>
          <w:rFonts w:hint="eastAsia" w:cs="宋体"/>
          <w:sz w:val="24"/>
          <w:szCs w:val="24"/>
        </w:rPr>
        <w:t>......................................................</w:t>
      </w:r>
      <w:r>
        <w:rPr>
          <w:rFonts w:hint="eastAsia" w:ascii="仿宋_GB2312" w:eastAsia="仿宋_GB2312" w:cs="宋体"/>
          <w:sz w:val="24"/>
          <w:szCs w:val="24"/>
          <w:lang w:val="en-US" w:eastAsia="zh-CN"/>
        </w:rPr>
        <w:t>21</w:t>
      </w:r>
    </w:p>
    <w:p>
      <w:pPr>
        <w:pStyle w:val="11"/>
        <w:adjustRightInd w:val="0"/>
        <w:snapToGrid w:val="0"/>
        <w:spacing w:line="440" w:lineRule="exact"/>
        <w:ind w:leftChars="0"/>
        <w:jc w:val="left"/>
        <w:rPr>
          <w:rFonts w:hint="default" w:ascii="仿宋" w:hAnsi="仿宋" w:eastAsia="宋体"/>
          <w:sz w:val="24"/>
          <w:szCs w:val="24"/>
          <w:lang w:val="en-US" w:eastAsia="zh-CN"/>
        </w:rPr>
      </w:pPr>
      <w:r>
        <w:rPr>
          <w:rStyle w:val="16"/>
          <w:rFonts w:hint="eastAsia" w:ascii="仿宋_GB2312" w:eastAsia="仿宋_GB2312"/>
          <w:color w:val="000000"/>
          <w:u w:val="none"/>
        </w:rPr>
        <w:t>九、</w:t>
      </w:r>
      <w:r>
        <w:rPr>
          <w:rStyle w:val="16"/>
          <w:rFonts w:ascii="仿宋_GB2312" w:hAnsi="仿宋" w:eastAsia="仿宋_GB2312" w:cs="仿宋"/>
          <w:color w:val="000000"/>
          <w:u w:val="none"/>
        </w:rPr>
        <w:t xml:space="preserve"> </w:t>
      </w:r>
      <w:r>
        <w:rPr>
          <w:rStyle w:val="16"/>
          <w:rFonts w:hint="eastAsia" w:ascii="仿宋_GB2312" w:hAnsi="仿宋" w:eastAsia="仿宋_GB2312" w:cs="仿宋"/>
          <w:color w:val="000000"/>
          <w:u w:val="none"/>
        </w:rPr>
        <w:t>国有资本经营预算支出决算情况说明</w:t>
      </w:r>
      <w:r>
        <w:rPr>
          <w:rFonts w:hint="eastAsia" w:cs="宋体"/>
          <w:sz w:val="24"/>
          <w:szCs w:val="24"/>
        </w:rPr>
        <w:t>............................................. .... .......</w:t>
      </w:r>
      <w:r>
        <w:rPr>
          <w:rFonts w:hint="eastAsia" w:ascii="仿宋_GB2312" w:eastAsia="仿宋_GB2312" w:cs="宋体"/>
          <w:sz w:val="24"/>
          <w:szCs w:val="24"/>
          <w:lang w:val="en-US" w:eastAsia="zh-CN"/>
        </w:rPr>
        <w:t>21</w:t>
      </w:r>
    </w:p>
    <w:p>
      <w:pPr>
        <w:adjustRightInd w:val="0"/>
        <w:snapToGrid w:val="0"/>
        <w:spacing w:line="440" w:lineRule="exact"/>
        <w:ind w:firstLine="480" w:firstLineChars="200"/>
        <w:jc w:val="left"/>
        <w:rPr>
          <w:rFonts w:ascii="仿宋" w:hAnsi="仿宋" w:eastAsia="仿宋"/>
          <w:sz w:val="24"/>
          <w:szCs w:val="24"/>
        </w:rPr>
      </w:pPr>
      <w:r>
        <w:rPr>
          <w:rStyle w:val="16"/>
          <w:rFonts w:hint="eastAsia" w:ascii="仿宋_GB2312" w:hAnsi="仿宋" w:eastAsia="仿宋_GB2312" w:cs="仿宋"/>
          <w:color w:val="000000"/>
          <w:sz w:val="24"/>
          <w:szCs w:val="24"/>
          <w:u w:val="none"/>
        </w:rPr>
        <w:t>十、</w:t>
      </w:r>
      <w:r>
        <w:rPr>
          <w:rFonts w:hint="eastAsia" w:ascii="仿宋_GB2312" w:eastAsia="仿宋_GB2312" w:cs="宋体"/>
          <w:sz w:val="24"/>
          <w:szCs w:val="24"/>
        </w:rPr>
        <w:t>其他重要事项的情况说明</w:t>
      </w:r>
      <w:r>
        <w:rPr>
          <w:rFonts w:hint="eastAsia" w:cs="宋体"/>
          <w:sz w:val="24"/>
          <w:szCs w:val="24"/>
        </w:rPr>
        <w:t>......................................................................</w:t>
      </w:r>
      <w:r>
        <w:rPr>
          <w:rFonts w:hint="eastAsia" w:ascii="仿宋_GB2312" w:eastAsia="仿宋_GB2312" w:cs="宋体"/>
          <w:sz w:val="24"/>
          <w:szCs w:val="24"/>
          <w:lang w:val="en-US" w:eastAsia="zh-CN"/>
        </w:rPr>
        <w:t>21</w:t>
      </w:r>
      <w:r>
        <w:rPr>
          <w:rFonts w:ascii="仿宋" w:hAnsi="仿宋" w:eastAsia="仿宋"/>
          <w:sz w:val="24"/>
          <w:szCs w:val="24"/>
        </w:rPr>
        <w:tab/>
      </w:r>
    </w:p>
    <w:p>
      <w:pPr>
        <w:pStyle w:val="10"/>
        <w:adjustRightInd w:val="0"/>
        <w:snapToGrid w:val="0"/>
        <w:spacing w:before="0" w:line="440" w:lineRule="exact"/>
        <w:jc w:val="left"/>
        <w:rPr>
          <w:rFonts w:hint="eastAsia" w:eastAsia="仿宋_GB2312" w:cs="Times New Roman"/>
          <w:sz w:val="24"/>
          <w:szCs w:val="24"/>
          <w:lang w:eastAsia="zh-CN"/>
        </w:rPr>
      </w:pPr>
      <w:r>
        <w:rPr>
          <w:rFonts w:hint="eastAsia" w:ascii="仿宋_GB2312" w:eastAsia="仿宋_GB2312"/>
          <w:sz w:val="24"/>
          <w:szCs w:val="24"/>
        </w:rPr>
        <w:t>第三部分</w:t>
      </w:r>
      <w:r>
        <w:rPr>
          <w:rFonts w:ascii="仿宋_GB2312" w:eastAsia="仿宋_GB2312"/>
          <w:sz w:val="24"/>
          <w:szCs w:val="24"/>
        </w:rPr>
        <w:t xml:space="preserve"> </w:t>
      </w:r>
      <w:r>
        <w:rPr>
          <w:rFonts w:hint="eastAsia" w:ascii="仿宋_GB2312" w:eastAsia="仿宋_GB2312"/>
          <w:sz w:val="24"/>
          <w:szCs w:val="24"/>
        </w:rPr>
        <w:t>名词解释</w:t>
      </w:r>
      <w:r>
        <w:rPr>
          <w:rFonts w:hint="eastAsia"/>
          <w:sz w:val="24"/>
          <w:szCs w:val="24"/>
        </w:rPr>
        <w:t>................................................</w:t>
      </w:r>
      <w:r>
        <w:rPr>
          <w:rFonts w:hint="eastAsia" w:ascii="仿宋_GB2312" w:hAnsi="Times New Roman" w:eastAsia="仿宋_GB2312" w:cs="宋体"/>
          <w:sz w:val="24"/>
          <w:szCs w:val="24"/>
        </w:rPr>
        <w:t>2</w:t>
      </w:r>
      <w:r>
        <w:rPr>
          <w:rFonts w:hint="eastAsia" w:ascii="仿宋_GB2312" w:hAnsi="Times New Roman" w:eastAsia="仿宋_GB2312" w:cs="宋体"/>
          <w:sz w:val="24"/>
          <w:szCs w:val="24"/>
          <w:lang w:val="en-US" w:eastAsia="zh-CN"/>
        </w:rPr>
        <w:t>8</w:t>
      </w:r>
    </w:p>
    <w:p>
      <w:pPr>
        <w:pStyle w:val="10"/>
        <w:adjustRightInd w:val="0"/>
        <w:snapToGrid w:val="0"/>
        <w:spacing w:before="0" w:line="440" w:lineRule="exact"/>
        <w:jc w:val="left"/>
        <w:rPr>
          <w:rFonts w:hint="default" w:eastAsia="仿宋" w:cs="Times New Roman"/>
          <w:sz w:val="24"/>
          <w:szCs w:val="24"/>
          <w:lang w:val="en-US" w:eastAsia="zh-CN"/>
        </w:rPr>
      </w:pPr>
      <w:r>
        <w:rPr>
          <w:rFonts w:hint="eastAsia" w:ascii="仿宋_GB2312" w:eastAsia="仿宋_GB2312"/>
          <w:sz w:val="24"/>
          <w:szCs w:val="24"/>
        </w:rPr>
        <w:t>第四部分</w:t>
      </w:r>
      <w:r>
        <w:rPr>
          <w:rFonts w:ascii="仿宋_GB2312" w:eastAsia="仿宋_GB2312"/>
          <w:sz w:val="24"/>
          <w:szCs w:val="24"/>
        </w:rPr>
        <w:t xml:space="preserve"> </w:t>
      </w:r>
      <w:r>
        <w:rPr>
          <w:rFonts w:hint="eastAsia" w:ascii="仿宋_GB2312" w:eastAsia="仿宋_GB2312"/>
          <w:sz w:val="24"/>
          <w:szCs w:val="24"/>
        </w:rPr>
        <w:t>附件</w:t>
      </w:r>
      <w:r>
        <w:rPr>
          <w:rFonts w:hint="eastAsia"/>
          <w:sz w:val="24"/>
          <w:szCs w:val="24"/>
        </w:rPr>
        <w:t>....................................................</w:t>
      </w:r>
      <w:r>
        <w:rPr>
          <w:rFonts w:hint="eastAsia" w:ascii="仿宋_GB2312" w:hAnsi="Times New Roman" w:eastAsia="仿宋_GB2312" w:cs="宋体"/>
          <w:sz w:val="24"/>
          <w:szCs w:val="24"/>
          <w:lang w:val="en-US" w:eastAsia="zh-CN"/>
        </w:rPr>
        <w:t>30</w:t>
      </w:r>
    </w:p>
    <w:p>
      <w:pPr>
        <w:pStyle w:val="11"/>
        <w:adjustRightInd w:val="0"/>
        <w:snapToGrid w:val="0"/>
        <w:spacing w:line="440" w:lineRule="exact"/>
        <w:jc w:val="left"/>
        <w:rPr>
          <w:rFonts w:hint="default" w:ascii="仿宋" w:hAnsi="仿宋" w:eastAsia="宋体"/>
          <w:sz w:val="24"/>
          <w:szCs w:val="24"/>
          <w:lang w:val="en-US" w:eastAsia="zh-CN"/>
        </w:rPr>
      </w:pPr>
      <w:r>
        <w:rPr>
          <w:rFonts w:hint="eastAsia" w:ascii="仿宋_GB2312" w:eastAsia="仿宋_GB2312" w:cs="宋体"/>
          <w:sz w:val="24"/>
          <w:szCs w:val="24"/>
        </w:rPr>
        <w:t>附件</w:t>
      </w:r>
      <w:r>
        <w:rPr>
          <w:rFonts w:hint="eastAsia" w:ascii="仿宋_GB2312" w:eastAsia="仿宋_GB2312"/>
          <w:sz w:val="24"/>
          <w:szCs w:val="24"/>
        </w:rPr>
        <w:t>1</w:t>
      </w:r>
      <w:r>
        <w:rPr>
          <w:rFonts w:hint="eastAsia"/>
          <w:sz w:val="24"/>
          <w:szCs w:val="24"/>
        </w:rPr>
        <w:t>................................................................................................................</w:t>
      </w:r>
      <w:r>
        <w:rPr>
          <w:rFonts w:hint="eastAsia" w:ascii="仿宋_GB2312" w:eastAsia="仿宋_GB2312" w:cs="宋体"/>
          <w:sz w:val="24"/>
          <w:szCs w:val="24"/>
          <w:lang w:val="en-US" w:eastAsia="zh-CN"/>
        </w:rPr>
        <w:t>30</w:t>
      </w:r>
    </w:p>
    <w:p>
      <w:pPr>
        <w:pStyle w:val="10"/>
        <w:adjustRightInd w:val="0"/>
        <w:snapToGrid w:val="0"/>
        <w:spacing w:before="0" w:line="440" w:lineRule="exact"/>
        <w:jc w:val="left"/>
        <w:rPr>
          <w:rFonts w:hint="default" w:eastAsia="仿宋" w:cs="Times New Roman"/>
          <w:sz w:val="24"/>
          <w:szCs w:val="24"/>
          <w:lang w:val="en-US" w:eastAsia="zh-CN"/>
        </w:rPr>
      </w:pPr>
      <w:r>
        <w:rPr>
          <w:rFonts w:hint="eastAsia" w:ascii="仿宋_GB2312" w:eastAsia="仿宋_GB2312"/>
          <w:sz w:val="24"/>
          <w:szCs w:val="24"/>
        </w:rPr>
        <w:t>第五部分</w:t>
      </w:r>
      <w:r>
        <w:rPr>
          <w:rFonts w:ascii="仿宋_GB2312" w:eastAsia="仿宋_GB2312"/>
          <w:sz w:val="24"/>
          <w:szCs w:val="24"/>
        </w:rPr>
        <w:t xml:space="preserve"> </w:t>
      </w:r>
      <w:r>
        <w:rPr>
          <w:rFonts w:hint="eastAsia" w:ascii="仿宋_GB2312" w:eastAsia="仿宋_GB2312"/>
          <w:sz w:val="24"/>
          <w:szCs w:val="24"/>
        </w:rPr>
        <w:t>附表</w:t>
      </w:r>
      <w:r>
        <w:rPr>
          <w:rFonts w:hint="eastAsia"/>
          <w:sz w:val="24"/>
          <w:szCs w:val="24"/>
        </w:rPr>
        <w:t>....................................................</w:t>
      </w:r>
      <w:r>
        <w:rPr>
          <w:rFonts w:hint="eastAsia" w:ascii="仿宋_GB2312" w:hAnsi="Times New Roman"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一、收入支出决算总表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二、收入决算表………………………………………………………………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三、支出决算表………………………………………………………………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四、财政拨款收入支出决算总表……………………………………………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五、财政拨款支出决算明细表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六、一般公共预算财政拨款支出决算表……………………………………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七、一般公共预算财政拨款支出决算明细…………………………………</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hAnsi="仿宋" w:eastAsia="仿宋_GB2312"/>
          <w:sz w:val="24"/>
          <w:szCs w:val="24"/>
          <w:lang w:val="en-US" w:eastAsia="zh-CN"/>
        </w:rPr>
      </w:pPr>
      <w:r>
        <w:rPr>
          <w:rFonts w:hint="eastAsia" w:ascii="仿宋_GB2312" w:eastAsia="仿宋_GB2312" w:cs="宋体"/>
          <w:sz w:val="24"/>
          <w:szCs w:val="24"/>
        </w:rPr>
        <w:t>八、一般公共预算财政拨款基本支出决算表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九、一般公共预算财政拨款项目支出决算表…………………………………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 w:hAnsi="仿宋" w:eastAsia="仿宋" w:cs="仿宋"/>
          <w:sz w:val="24"/>
          <w:szCs w:val="24"/>
        </w:rPr>
        <w:t>十</w:t>
      </w:r>
      <w:r>
        <w:rPr>
          <w:rFonts w:hint="eastAsia" w:ascii="仿宋_GB2312" w:eastAsia="仿宋_GB2312" w:cs="宋体"/>
          <w:sz w:val="24"/>
          <w:szCs w:val="24"/>
        </w:rPr>
        <w:t>、一般公共预算财政拨款“三公”经费支出决算…………………………</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十一、政府性基金预算财政拨款收入支出决算表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十二、政府性基金预算财政拨款“三公”经费支出决算表</w:t>
      </w:r>
      <w:r>
        <w:rPr>
          <w:rFonts w:hint="eastAsia" w:ascii="仿宋_GB2312" w:eastAsia="仿宋_GB2312" w:cs="宋体"/>
          <w:sz w:val="24"/>
          <w:szCs w:val="24"/>
          <w:lang w:val="en-US" w:eastAsia="zh-CN"/>
        </w:rPr>
        <w:t>.………………39</w:t>
      </w:r>
    </w:p>
    <w:p>
      <w:pPr>
        <w:pStyle w:val="11"/>
        <w:adjustRightInd w:val="0"/>
        <w:snapToGrid w:val="0"/>
        <w:spacing w:line="440" w:lineRule="exact"/>
        <w:jc w:val="left"/>
        <w:rPr>
          <w:rFonts w:hint="default" w:ascii="仿宋_GB2312" w:eastAsia="仿宋_GB2312" w:cs="宋体"/>
          <w:sz w:val="24"/>
          <w:szCs w:val="24"/>
          <w:lang w:val="en-US" w:eastAsia="zh-CN"/>
        </w:rPr>
      </w:pPr>
      <w:r>
        <w:rPr>
          <w:rFonts w:hint="eastAsia" w:ascii="仿宋_GB2312" w:eastAsia="仿宋_GB2312" w:cs="宋体"/>
          <w:sz w:val="24"/>
          <w:szCs w:val="24"/>
        </w:rPr>
        <w:t>十三、国有资本经营预算支出决算表</w:t>
      </w:r>
      <w:r>
        <w:rPr>
          <w:rFonts w:hint="eastAsia" w:ascii="仿宋_GB2312" w:eastAsia="仿宋_GB2312" w:cs="宋体"/>
          <w:sz w:val="24"/>
          <w:szCs w:val="24"/>
          <w:lang w:val="en-US" w:eastAsia="zh-CN"/>
        </w:rPr>
        <w:t>.………………………………………39</w:t>
      </w:r>
    </w:p>
    <w:p>
      <w:pPr>
        <w:widowControl/>
        <w:spacing w:line="440" w:lineRule="exact"/>
        <w:jc w:val="left"/>
        <w:rPr>
          <w:rFonts w:ascii="仿宋" w:hAnsi="仿宋" w:eastAsia="仿宋"/>
          <w:kern w:val="44"/>
          <w:sz w:val="24"/>
          <w:szCs w:val="24"/>
        </w:rPr>
      </w:pPr>
      <w:bookmarkStart w:id="12" w:name="_Toc15377196"/>
      <w:bookmarkStart w:id="13" w:name="_Toc15396599"/>
      <w:r>
        <w:rPr>
          <w:rFonts w:ascii="仿宋" w:hAnsi="仿宋" w:eastAsia="仿宋"/>
          <w:b/>
          <w:bCs/>
          <w:sz w:val="24"/>
          <w:szCs w:val="24"/>
        </w:rPr>
        <w:br w:type="page"/>
      </w:r>
    </w:p>
    <w:p>
      <w:pPr>
        <w:pStyle w:val="3"/>
        <w:jc w:val="center"/>
        <w:rPr>
          <w:rStyle w:val="17"/>
          <w:rFonts w:ascii="黑体" w:hAnsi="黑体" w:eastAsia="黑体"/>
          <w:b/>
          <w:bCs/>
        </w:rPr>
      </w:pPr>
      <w:r>
        <w:rPr>
          <w:rFonts w:hint="eastAsia" w:ascii="黑体" w:hAnsi="黑体" w:eastAsia="黑体" w:cs="黑体"/>
          <w:b w:val="0"/>
          <w:bCs w:val="0"/>
        </w:rPr>
        <w:t>第一部分</w:t>
      </w:r>
      <w:r>
        <w:rPr>
          <w:rFonts w:ascii="黑体" w:hAnsi="黑体" w:eastAsia="黑体" w:cs="黑体"/>
          <w:b w:val="0"/>
          <w:bCs w:val="0"/>
        </w:rPr>
        <w:t xml:space="preserve"> </w:t>
      </w:r>
      <w:r>
        <w:rPr>
          <w:rStyle w:val="17"/>
          <w:rFonts w:hint="eastAsia" w:ascii="黑体" w:hAnsi="黑体" w:eastAsia="黑体" w:cs="黑体"/>
          <w:b w:val="0"/>
          <w:bCs w:val="0"/>
        </w:rPr>
        <w:t>部门概况</w:t>
      </w:r>
      <w:bookmarkEnd w:id="12"/>
      <w:bookmarkEnd w:id="13"/>
    </w:p>
    <w:p>
      <w:pPr>
        <w:pStyle w:val="2"/>
        <w:rPr>
          <w:rStyle w:val="18"/>
          <w:rFonts w:ascii="仿宋" w:hAnsi="仿宋" w:eastAsia="仿宋" w:cs="Times New Roman"/>
          <w:b w:val="0"/>
          <w:bCs w:val="0"/>
        </w:rPr>
      </w:pPr>
      <w:bookmarkStart w:id="14" w:name="_Toc15377197"/>
      <w:bookmarkStart w:id="15" w:name="_Toc15396600"/>
      <w:r>
        <w:rPr>
          <w:rFonts w:hint="eastAsia" w:ascii="黑体" w:hAnsi="黑体" w:eastAsia="黑体" w:cs="黑体"/>
          <w:b w:val="0"/>
          <w:bCs w:val="0"/>
          <w:color w:val="000000"/>
        </w:rPr>
        <w:t>一、基</w:t>
      </w:r>
      <w:r>
        <w:rPr>
          <w:rStyle w:val="18"/>
          <w:rFonts w:hint="eastAsia" w:ascii="黑体" w:hAnsi="黑体" w:eastAsia="黑体" w:cs="黑体"/>
          <w:b w:val="0"/>
          <w:bCs w:val="0"/>
        </w:rPr>
        <w:t>本职能及主要工作</w:t>
      </w:r>
      <w:bookmarkEnd w:id="14"/>
      <w:bookmarkEnd w:id="15"/>
    </w:p>
    <w:p>
      <w:pPr>
        <w:ind w:firstLine="320" w:firstLineChars="100"/>
        <w:rPr>
          <w:rFonts w:ascii="楷体_GB2312" w:hAnsi="宋体" w:eastAsia="楷体_GB2312" w:cs="黑体"/>
          <w:sz w:val="32"/>
          <w:szCs w:val="32"/>
        </w:rPr>
      </w:pPr>
      <w:r>
        <w:rPr>
          <w:rFonts w:hint="eastAsia" w:ascii="KBAEUV+FangSong_GB2312" w:hAnsi="KBAEUV+FangSong_GB2312" w:cs="KBAEUV+FangSong_GB2312"/>
          <w:color w:val="000000"/>
          <w:sz w:val="32"/>
        </w:rPr>
        <w:t>　</w:t>
      </w:r>
      <w:r>
        <w:rPr>
          <w:rFonts w:hint="eastAsia" w:ascii="楷体_GB2312" w:eastAsia="楷体_GB2312" w:cs="宋体"/>
          <w:sz w:val="32"/>
          <w:szCs w:val="32"/>
        </w:rPr>
        <w:t>（一）</w:t>
      </w:r>
      <w:r>
        <w:rPr>
          <w:rFonts w:hint="eastAsia" w:ascii="楷体_GB2312" w:eastAsia="楷体_GB2312" w:cs="宋体"/>
          <w:color w:val="000000"/>
          <w:sz w:val="32"/>
          <w:szCs w:val="32"/>
        </w:rPr>
        <w:t>基</w:t>
      </w:r>
      <w:r>
        <w:rPr>
          <w:rFonts w:hint="eastAsia" w:ascii="楷体_GB2312" w:hAnsi="宋体" w:eastAsia="楷体_GB2312" w:cs="黑体"/>
          <w:sz w:val="32"/>
          <w:szCs w:val="32"/>
        </w:rPr>
        <w:t>本职能</w:t>
      </w:r>
    </w:p>
    <w:p>
      <w:pPr>
        <w:ind w:firstLine="640" w:firstLineChars="200"/>
        <w:rPr>
          <w:rFonts w:ascii="仿宋_GB2312" w:eastAsia="仿宋_GB2312"/>
          <w:sz w:val="32"/>
          <w:szCs w:val="32"/>
        </w:rPr>
      </w:pPr>
      <w:r>
        <w:rPr>
          <w:rFonts w:hint="eastAsia" w:ascii="仿宋_GB2312" w:hAnsi="仿宋" w:eastAsia="仿宋_GB2312" w:cs="仿宋"/>
          <w:sz w:val="32"/>
          <w:szCs w:val="32"/>
        </w:rPr>
        <w:t>1.负责贯彻执行党和国家的路线方针政策、法律法规规章，执行区委、区政府的决定，研究决定辖区内政治、经济、文化、社会、生态文明等领域事业发展的重大事项并组织实施。</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2.落实全面从严治党主体责任，负责加强基层党组织建设和基层政权建设，巩固党的执政基础；负责党风廉政建设和反腐败工作；负责统一战线工作；统筹协调辖区内各领域党建工作，推进社区党建、单位党建、行业党建和区域化党建互联互动，统筹抓好新领域新业态新群体党建工作。</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3.加强基层宣传思想文化工作，推进基层精神文明建设，培养和弘扬社会主义核心价值观，创造良好社会环境。负责指导机关、群团组织和其他各类组织依法依规履行职责。</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4.负责拟定经济发展规划并组织实施。指导经济发展，推进产业结构调整，促进经济增长方式转变，促进农民增收。</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5.负责拟定社会事业发展规划并组织实施。负责教育、科技、文化旅游、体育、广播电视、民政、卫生健康、医疗保障、残疾人保障、社会保障、退役军人服务、拥军优属、优抚安置等工作，推进便民服务中心规范化建设，落实与群众密切相关的各项公共服务政策。</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6.负责拟定乡村振兴发展规划并组织实施，负责农业产业升级转型、美丽乡村建设、农村文化生活繁荣、农村基础设施和公共服务能力提升、农村综合改革、脱贫攻坚等工作。</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7.负责城乡基层治理工作，深化党建引领城乡基层治理，形成共建共治共享的城乡基层治理工作格局，推进和谐宜居乡村建设；加强社会主义民主法治建设和精神文明建设，承担社会治理、信访维稳、法治建设、防邪、禁毒、民族宗教等工作。</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Times New Roman"/>
          <w:b w:val="0"/>
          <w:color w:val="000000"/>
          <w:shd w:val="clear" w:color="auto" w:fill="FFFFFF"/>
        </w:rPr>
      </w:pPr>
      <w:r>
        <w:rPr>
          <w:rFonts w:hint="eastAsia" w:ascii="仿宋_GB2312" w:hAnsi="仿宋" w:eastAsia="仿宋_GB2312" w:cs="仿宋"/>
          <w:b w:val="0"/>
          <w:shd w:val="clear" w:color="auto" w:fill="FFFFFF"/>
        </w:rPr>
        <w:t>8.负责辖区公共事务综合管理，参与辖区规划建设，负责拟定村镇国土空间规划并组织实施，承担重点工程建设、乡村道路建设及公共设施等管理工作，对辖区事关群众利益的重大决策和重大项目提出建议。</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9.负责统筹协调综合执法、城镇和市场监管工作，统筹组织协调指挥辖区内派驻和基层执法力量。</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10.负责应急管理和安全生产工作，落实安全生产责任制，建立健全应对突发紧急事件的处置管理机制，构建公共安全防控体系。</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11.负责自然资源、生态环境保护工作，做好网格化环境监管，开展自然资源、环境保护隐患排查和治理，配合有关部门查处自然资源、环境违法行为。</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Times New Roman"/>
          <w:b w:val="0"/>
          <w:color w:val="000000"/>
          <w:shd w:val="clear" w:color="auto" w:fill="FFFFFF"/>
        </w:rPr>
      </w:pPr>
      <w:r>
        <w:rPr>
          <w:rFonts w:hint="eastAsia" w:ascii="仿宋_GB2312" w:hAnsi="仿宋" w:eastAsia="仿宋_GB2312" w:cs="仿宋"/>
          <w:b w:val="0"/>
          <w:shd w:val="clear" w:color="auto" w:fill="FFFFFF"/>
        </w:rPr>
        <w:t>12.负责推进基层民主法治建设，加强普法依法治理，维护群众合法权益。负责协助武装部门做好辖区民兵训练和公民服兵役工作。</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13.按照干部管理权限，负责对干部的教育、培训、选拔、考核和监督工作。</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14.负责编制和执行本级预算、决算。加强本级财政、所属事业机构以及村（社区）财务的核算和监督。</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仿宋"/>
          <w:b w:val="0"/>
          <w:shd w:val="clear" w:color="auto" w:fill="FFFFFF"/>
        </w:rPr>
      </w:pPr>
      <w:r>
        <w:rPr>
          <w:rFonts w:hint="eastAsia" w:ascii="仿宋_GB2312" w:hAnsi="仿宋" w:eastAsia="仿宋_GB2312" w:cs="仿宋"/>
          <w:b w:val="0"/>
          <w:shd w:val="clear" w:color="auto" w:fill="FFFFFF"/>
        </w:rPr>
        <w:t>15.根据法定职责或受委托承担辖区内审批服务、公共服务、各类社会事务服务等职责。负责制定完善权力清单、责任清单、公共服务事项清单，建立清单动态调整和公示机制，推进党务政务公开，接受群众监督，增加公信力。</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Times New Roman"/>
          <w:b w:val="0"/>
          <w:color w:val="000000"/>
          <w:shd w:val="clear" w:color="auto" w:fill="FFFFFF"/>
        </w:rPr>
      </w:pPr>
      <w:r>
        <w:rPr>
          <w:rFonts w:hint="eastAsia" w:ascii="仿宋_GB2312" w:hAnsi="仿宋" w:eastAsia="仿宋_GB2312" w:cs="仿宋"/>
          <w:b w:val="0"/>
          <w:shd w:val="clear" w:color="auto" w:fill="FFFFFF"/>
        </w:rPr>
        <w:t>16.履行法律、法规、规章规定的其他职责，承办区委、区政府交办的其他工作。</w:t>
      </w:r>
    </w:p>
    <w:p>
      <w:pPr>
        <w:pStyle w:val="2"/>
        <w:widowControl/>
        <w:ind w:firstLine="640" w:firstLineChars="200"/>
        <w:rPr>
          <w:rFonts w:ascii="楷体_GB2312" w:hAnsi="宋体" w:eastAsia="楷体_GB2312" w:cs="黑体"/>
          <w:b w:val="0"/>
          <w:color w:val="000000"/>
        </w:rPr>
      </w:pPr>
      <w:r>
        <w:rPr>
          <w:rFonts w:hint="eastAsia" w:ascii="楷体_GB2312" w:hAnsi="宋体" w:eastAsia="楷体_GB2312" w:cs="黑体"/>
          <w:b w:val="0"/>
          <w:color w:val="000000"/>
        </w:rPr>
        <w:t>（二） 2020年重点工作完成情况。</w:t>
      </w:r>
    </w:p>
    <w:p>
      <w:pPr>
        <w:pStyle w:val="2"/>
        <w:keepNext w:val="0"/>
        <w:keepLines w:val="0"/>
        <w:widowControl/>
        <w:shd w:val="clear" w:color="auto" w:fill="FFFFFF"/>
        <w:autoSpaceDE w:val="0"/>
        <w:spacing w:before="0" w:after="0" w:line="560" w:lineRule="exact"/>
        <w:ind w:firstLine="640" w:firstLineChars="200"/>
        <w:jc w:val="left"/>
        <w:rPr>
          <w:rFonts w:ascii="仿宋_GB2312" w:hAnsi="仿宋" w:eastAsia="仿宋_GB2312" w:cs="Times New Roman"/>
          <w:b w:val="0"/>
          <w:color w:val="000000"/>
          <w:shd w:val="clear" w:color="auto" w:fill="FFFFFF"/>
        </w:rPr>
      </w:pPr>
      <w:r>
        <w:rPr>
          <w:rFonts w:hint="eastAsia" w:ascii="仿宋_GB2312" w:hAnsi="仿宋" w:eastAsia="仿宋_GB2312" w:cs="Times New Roman"/>
          <w:b w:val="0"/>
          <w:color w:val="000000"/>
          <w:shd w:val="clear" w:color="auto" w:fill="FFFFFF"/>
        </w:rPr>
        <w:t>2020年是全面建成小康社会目标实现之年，是全面打赢脱贫攻坚战收官之年。剑峰镇在区委、区政府和镇党委的正确领导下，在镇人大的监督支持下，坚持以习近平新时代中国特色社会主义思想为指导，深入贯彻学习党的十九大和十九届二中、三中、四中、五中全会精神，众志成城、同舟共济，围绕“六稳六保”，保持社会经济稳定发展。一年来，我们重点围绕以下六个方面开展工作。</w:t>
      </w:r>
    </w:p>
    <w:p>
      <w:pPr>
        <w:autoSpaceDE w:val="0"/>
        <w:spacing w:line="560" w:lineRule="exact"/>
        <w:ind w:firstLine="640" w:firstLineChars="200"/>
        <w:rPr>
          <w:rFonts w:ascii="仿宋_GB2312" w:hAnsi="仿宋" w:eastAsia="仿宋_GB2312" w:cs="仿宋"/>
          <w:color w:val="000000"/>
          <w:sz w:val="32"/>
          <w:szCs w:val="32"/>
        </w:rPr>
      </w:pPr>
      <w:r>
        <w:rPr>
          <w:rFonts w:hint="eastAsia" w:ascii="仿宋_GB2312" w:hAnsi="宋体" w:eastAsia="仿宋_GB2312" w:cs="黑体"/>
          <w:color w:val="000000"/>
          <w:sz w:val="32"/>
          <w:szCs w:val="32"/>
        </w:rPr>
        <w:t>1.脱贫攻坚成效显现。</w:t>
      </w:r>
      <w:r>
        <w:rPr>
          <w:rFonts w:hint="eastAsia" w:ascii="仿宋_GB2312" w:hAnsi="仿宋" w:eastAsia="仿宋_GB2312" w:cs="仿宋"/>
          <w:color w:val="000000"/>
          <w:sz w:val="32"/>
          <w:szCs w:val="32"/>
        </w:rPr>
        <w:t>通过以党建引领脱贫攻坚、突出重点、多措并举，扎实有效开展脱贫攻坚工作，圆满完成东旗、群团、四家沟市级脱贫攻坚成效考核项目专项检查和东旗村、五星村省级脱贫攻坚成效交叉考核工作。2020年先后开展了三次贫困人口动态调整工作，新增3人、减少了28人，截止目前全镇共有建档立卡贫困户345户777人，完成贫困户“一超六有”普查均达标，贫困户认可率100%。全镇293户建档立卡贫困户发放“奋进计划”奖励51.06万元；新增小额信贷44户贷款87.23万元，用于贫困户发展产业项目。</w:t>
      </w:r>
    </w:p>
    <w:p>
      <w:pPr>
        <w:autoSpaceDE w:val="0"/>
        <w:spacing w:line="560" w:lineRule="exact"/>
        <w:ind w:firstLine="640" w:firstLineChars="200"/>
        <w:jc w:val="left"/>
        <w:rPr>
          <w:rFonts w:ascii="仿宋_GB2312" w:hAnsi="仿宋" w:eastAsia="仿宋_GB2312" w:cs="仿宋"/>
          <w:color w:val="000000"/>
          <w:sz w:val="32"/>
          <w:szCs w:val="32"/>
        </w:rPr>
      </w:pPr>
      <w:r>
        <w:rPr>
          <w:rFonts w:hint="eastAsia" w:ascii="仿宋_GB2312" w:hAnsi="宋体" w:eastAsia="仿宋_GB2312" w:cs="黑体"/>
          <w:color w:val="000000"/>
          <w:sz w:val="32"/>
          <w:szCs w:val="32"/>
        </w:rPr>
        <w:t>2.疫情防控有序有力。</w:t>
      </w:r>
      <w:r>
        <w:rPr>
          <w:rFonts w:hint="eastAsia" w:ascii="仿宋_GB2312" w:hAnsi="仿宋" w:eastAsia="仿宋_GB2312" w:cs="仿宋"/>
          <w:color w:val="000000"/>
          <w:sz w:val="32"/>
          <w:szCs w:val="32"/>
        </w:rPr>
        <w:t>面对突如其来的新冠肺炎疫情，认真贯彻落实中央、省、市、区关于疫情防控工作的重要部署和指示精神，及时落实各项防控措施，为全镇打好这场疫情防控阻击战筑起牢固防线。制定《剑峰镇疫情防控期间企业复工复产指南》，助推企业复工复产，采取“线上+线下”的方式积极推荐群众就业。组织镇村社干部100余人开展了5次全覆盖、地毯式大排查，累计摸排重点地区返乡人员312户，487人，全部纳入“四包一”，实行网格化管理。充分运用大喇叭、抖音视频等形式，广泛宣传防疫知识，进一步提升群众疫情防控能力。</w:t>
      </w:r>
    </w:p>
    <w:p>
      <w:pPr>
        <w:autoSpaceDE w:val="0"/>
        <w:spacing w:line="560" w:lineRule="exact"/>
        <w:ind w:firstLine="640" w:firstLineChars="200"/>
        <w:jc w:val="left"/>
        <w:rPr>
          <w:rFonts w:ascii="仿宋_GB2312" w:hAnsi="仿宋" w:eastAsia="仿宋_GB2312" w:cs="仿宋"/>
          <w:color w:val="000000"/>
          <w:sz w:val="32"/>
          <w:szCs w:val="32"/>
        </w:rPr>
      </w:pPr>
      <w:r>
        <w:rPr>
          <w:rFonts w:hint="eastAsia" w:ascii="仿宋_GB2312" w:hAnsi="宋体" w:eastAsia="仿宋_GB2312" w:cs="黑体"/>
          <w:color w:val="000000"/>
          <w:sz w:val="32"/>
          <w:szCs w:val="32"/>
        </w:rPr>
        <w:t>3.民生保障全面落实。</w:t>
      </w:r>
      <w:r>
        <w:rPr>
          <w:rFonts w:hint="eastAsia" w:ascii="仿宋_GB2312" w:hAnsi="仿宋" w:eastAsia="仿宋_GB2312" w:cs="仿宋"/>
          <w:color w:val="000000"/>
          <w:sz w:val="32"/>
          <w:szCs w:val="32"/>
        </w:rPr>
        <w:t>坚持以人民为中心的发展理念，共享发展成果，不断满足人民群众对美好生活的向往。2020年城乡居民养老保险参保5189人、城乡居民医疗保险参保10265人；新增就业102人、城镇失业人员再就业12人、就业困难人员就业6人，城镇登记失业率低于4.4%；提供公益性岗位54个，精准扶贫劳动力培训101人；发放低保、特困、临时救助等资金310.26万元；发放独生子女奖励金4.7万元、卫生扶贫救助金3.65万元、教育扶贫基金12.35万元、雨露计划金额1.05万元；接受群众咨询3344件，其中村便民服务站1376件，乡便民服务中心1968件，办结率达到100%；完成厕所新改建3个（其中政府机关1个、群团村1个、共和村改建1个）的用地选址、测绘和设计和招投标；完成农村土坯房改造7户（其中4户新建、3户维修加固）；争取上级资金32.36万元用于沟渠和道路修复；对农产品经营主体抽查120余次，抽取农残快检样本300例，合格率100%；定期不定期检查镇内企业（发现问题2家），发现一般安全隐患16起整改16起，2020年剑峰镇无一起安全生产事故发生。人口普查工作全面完成。</w:t>
      </w:r>
    </w:p>
    <w:p>
      <w:pPr>
        <w:autoSpaceDE w:val="0"/>
        <w:spacing w:line="560" w:lineRule="exact"/>
        <w:ind w:firstLine="640" w:firstLineChars="200"/>
        <w:rPr>
          <w:rFonts w:ascii="仿宋_GB2312" w:hAnsi="仿宋" w:eastAsia="仿宋_GB2312" w:cs="仿宋"/>
          <w:color w:val="000000"/>
          <w:sz w:val="32"/>
          <w:szCs w:val="32"/>
        </w:rPr>
      </w:pPr>
      <w:r>
        <w:rPr>
          <w:rFonts w:hint="eastAsia" w:ascii="仿宋_GB2312" w:hAnsi="宋体" w:eastAsia="仿宋_GB2312" w:cs="黑体"/>
          <w:color w:val="000000"/>
          <w:sz w:val="32"/>
          <w:szCs w:val="32"/>
        </w:rPr>
        <w:t>4.农业产业稳步提升。</w:t>
      </w:r>
      <w:r>
        <w:rPr>
          <w:rFonts w:hint="eastAsia" w:ascii="仿宋_GB2312" w:hAnsi="仿宋" w:eastAsia="仿宋_GB2312" w:cs="仿宋"/>
          <w:color w:val="000000"/>
          <w:sz w:val="32"/>
          <w:szCs w:val="32"/>
        </w:rPr>
        <w:t>发放耕地地力补贴113.42万元、稻谷补贴25.38万元、新增能繁母猪补贴34.38万元、农机购机补贴2.02万元；完成水稻和玉米投保3979.56亩、林地投保3297亩、能繁母猪投保832头、育肥猪投保1738头，水稻理赔面积436.48亩、玉米理赔面积12.3亩、林地176.7亩；完成巨星公司30万头育肥场800余亩土地协调、流转工作;牛心-健丰两座水库除险加固顺利推进。</w:t>
      </w:r>
    </w:p>
    <w:p>
      <w:pPr>
        <w:autoSpaceDE w:val="0"/>
        <w:spacing w:line="560" w:lineRule="exact"/>
        <w:ind w:firstLine="640" w:firstLineChars="200"/>
        <w:jc w:val="left"/>
        <w:rPr>
          <w:rFonts w:ascii="仿宋_GB2312" w:hAnsi="仿宋" w:eastAsia="仿宋_GB2312" w:cs="仿宋"/>
          <w:color w:val="000000"/>
          <w:sz w:val="32"/>
          <w:szCs w:val="32"/>
        </w:rPr>
      </w:pPr>
      <w:r>
        <w:rPr>
          <w:rFonts w:hint="eastAsia" w:ascii="仿宋_GB2312" w:hAnsi="宋体" w:eastAsia="仿宋_GB2312" w:cs="黑体"/>
          <w:color w:val="000000"/>
          <w:sz w:val="32"/>
          <w:szCs w:val="32"/>
        </w:rPr>
        <w:t>5.人居环境明显改善</w:t>
      </w:r>
      <w:r>
        <w:rPr>
          <w:rFonts w:hint="eastAsia" w:ascii="仿宋_GB2312" w:hAnsi="仿宋_GB2312" w:eastAsia="仿宋_GB2312" w:cs="宋体"/>
          <w:color w:val="000000"/>
          <w:sz w:val="32"/>
          <w:szCs w:val="32"/>
        </w:rPr>
        <w:t>。</w:t>
      </w:r>
      <w:r>
        <w:rPr>
          <w:rFonts w:hint="eastAsia" w:ascii="仿宋_GB2312" w:hAnsi="仿宋" w:eastAsia="仿宋_GB2312" w:cs="仿宋"/>
          <w:color w:val="000000"/>
          <w:sz w:val="32"/>
          <w:szCs w:val="32"/>
        </w:rPr>
        <w:t>有序推进“四清四拆”工作，清理生活垃圾1500余吨，拆除废旧房屋17处，清理农村杂草220处。新建垃圾台107个，新购置垃圾桶285个，7个村共收取卫生费15.7万元。积极推进“厕污共治”，全年完成490户厕所改造任务，健全集镇公厕管护制度。大力落实河长制工作，按照清河护岸、净水保水的思路，清理河道漂浮物、白色垃圾等14吨，加强对剑峰河的日常巡查和面源污染防治力度。新建农贸市场项目已完成社保安置8人，正对青苗补偿和两补费进行财评。</w:t>
      </w:r>
    </w:p>
    <w:p>
      <w:pPr>
        <w:autoSpaceDE w:val="0"/>
        <w:spacing w:line="560" w:lineRule="exact"/>
        <w:ind w:firstLine="592" w:firstLineChars="185"/>
        <w:rPr>
          <w:rFonts w:ascii="仿宋_GB2312" w:hAnsi="仿宋" w:eastAsia="仿宋_GB2312" w:cs="仿宋"/>
          <w:color w:val="000000"/>
          <w:sz w:val="32"/>
          <w:szCs w:val="32"/>
        </w:rPr>
      </w:pPr>
      <w:r>
        <w:rPr>
          <w:rFonts w:hint="eastAsia" w:ascii="仿宋_GB2312" w:hAnsi="宋体" w:eastAsia="仿宋_GB2312" w:cs="黑体"/>
          <w:color w:val="000000"/>
          <w:sz w:val="32"/>
          <w:szCs w:val="32"/>
        </w:rPr>
        <w:t>6.基层治理更加科学。</w:t>
      </w:r>
      <w:r>
        <w:rPr>
          <w:rFonts w:hint="eastAsia" w:ascii="仿宋_GB2312" w:hAnsi="仿宋" w:eastAsia="仿宋_GB2312" w:cs="仿宋"/>
          <w:color w:val="000000"/>
          <w:sz w:val="32"/>
          <w:szCs w:val="32"/>
        </w:rPr>
        <w:t>镇村干部坚持会前学法，办事依法、遇事找法、解决问题用法、化解矛盾靠法，法治建设体系更加健全。建立健全群众信访机制，拓宽群众诉求渠道，回复心连心热线124起，为群众提供法律援助咨询的有60起，邻里环境纠纷33起、赡养老人纠纷2起、土地流转纠纷1起等调解工作。</w:t>
      </w:r>
    </w:p>
    <w:p>
      <w:pPr>
        <w:autoSpaceDE w:val="0"/>
        <w:spacing w:line="560" w:lineRule="exact"/>
        <w:ind w:firstLine="640" w:firstLineChars="200"/>
        <w:jc w:val="left"/>
        <w:rPr>
          <w:rFonts w:ascii="仿宋_GB2312" w:eastAsia="仿宋_GB2312" w:cs="仿宋_GB2312"/>
          <w:color w:val="000000"/>
          <w:sz w:val="32"/>
          <w:szCs w:val="32"/>
        </w:rPr>
      </w:pPr>
      <w:r>
        <w:rPr>
          <w:rFonts w:hint="eastAsia" w:ascii="仿宋_GB2312" w:hAnsi="宋体" w:eastAsia="仿宋_GB2312" w:cs="黑体"/>
          <w:color w:val="000000"/>
          <w:sz w:val="32"/>
          <w:szCs w:val="32"/>
        </w:rPr>
        <w:t>7.政府建设持续加强。</w:t>
      </w:r>
      <w:r>
        <w:rPr>
          <w:rFonts w:hint="eastAsia" w:ascii="仿宋_GB2312" w:hAnsi="仿宋" w:eastAsia="仿宋_GB2312" w:cs="仿宋"/>
          <w:color w:val="000000"/>
          <w:sz w:val="32"/>
          <w:szCs w:val="32"/>
        </w:rPr>
        <w:t>坚持把党的领导贯穿政府工作全过程，坚决落实全面从严治党主体责任，坚决服从区委区政府和镇党委的领导，自觉接受人大和社会各界监督。严格落实廉政建设责任制和主体责任，强化“一岗双责”，加强监督问责，实现干部清正、政府清廉、政治清明。全面完成了村级建制调整，全镇由原来的9个行政村减少为7个，99个经济社减少为44个。</w:t>
      </w:r>
    </w:p>
    <w:p>
      <w:pPr>
        <w:pStyle w:val="2"/>
        <w:widowControl/>
        <w:ind w:firstLine="640" w:firstLineChars="200"/>
        <w:rPr>
          <w:b w:val="0"/>
          <w:sz w:val="44"/>
          <w:szCs w:val="44"/>
        </w:rPr>
      </w:pPr>
      <w:r>
        <w:rPr>
          <w:rFonts w:hint="eastAsia" w:ascii="黑体" w:hAnsi="宋体" w:eastAsia="黑体" w:cs="黑体"/>
          <w:b w:val="0"/>
          <w:color w:val="000000"/>
        </w:rPr>
        <w:t>二、</w:t>
      </w:r>
      <w:r>
        <w:rPr>
          <w:rStyle w:val="37"/>
          <w:rFonts w:hint="eastAsia" w:ascii="黑体" w:hAnsi="宋体" w:cs="宋体"/>
          <w:b/>
          <w:sz w:val="32"/>
          <w:szCs w:val="32"/>
        </w:rPr>
        <w:t>机</w:t>
      </w:r>
      <w:r>
        <w:rPr>
          <w:rStyle w:val="37"/>
          <w:rFonts w:hint="eastAsia" w:ascii="黑体" w:hAnsi="宋体" w:eastAsia="黑体" w:cs="黑体"/>
          <w:b w:val="0"/>
          <w:sz w:val="32"/>
          <w:szCs w:val="32"/>
        </w:rPr>
        <w:t>构设置</w:t>
      </w:r>
    </w:p>
    <w:p>
      <w:pPr>
        <w:spacing w:line="560" w:lineRule="exact"/>
        <w:ind w:firstLine="640" w:firstLineChars="200"/>
        <w:jc w:val="left"/>
        <w:outlineLvl w:val="0"/>
        <w:rPr>
          <w:rFonts w:ascii="仿宋_GB2312" w:hAnsi="仿宋" w:eastAsia="仿宋_GB2312" w:cs="仿宋"/>
          <w:color w:val="000000"/>
        </w:rPr>
      </w:pPr>
      <w:r>
        <w:rPr>
          <w:rFonts w:hint="eastAsia" w:ascii="仿宋_GB2312" w:hAnsi="仿宋" w:eastAsia="仿宋_GB2312" w:cs="仿宋"/>
          <w:color w:val="000000"/>
          <w:sz w:val="32"/>
          <w:szCs w:val="32"/>
        </w:rPr>
        <w:t>乐山市市中区剑峰镇人民政府纳入2020年决算单位1个。</w:t>
      </w:r>
    </w:p>
    <w:p>
      <w:pPr>
        <w:spacing w:line="560" w:lineRule="exact"/>
        <w:ind w:firstLine="640" w:firstLineChars="200"/>
        <w:jc w:val="left"/>
        <w:outlineLvl w:val="0"/>
        <w:rPr>
          <w:rFonts w:ascii="仿宋_GB2312" w:hAnsi="仿宋" w:eastAsia="仿宋_GB2312" w:cs="仿宋"/>
          <w:color w:val="000000" w:themeColor="text1"/>
          <w:sz w:val="32"/>
          <w:szCs w:val="32"/>
        </w:rPr>
      </w:pPr>
      <w:r>
        <w:rPr>
          <w:rFonts w:hint="eastAsia" w:ascii="仿宋_GB2312" w:hAnsi="仿宋" w:eastAsia="仿宋_GB2312" w:cs="仿宋"/>
          <w:color w:val="000000"/>
          <w:sz w:val="32"/>
          <w:szCs w:val="32"/>
        </w:rPr>
        <w:t>（一）镇政府机关综合机构为党政办公室（挂党建办公室牌子）、社会事务办公室（挂社会治理办公室牌子）、综合执法办公室（挂规划建设管理办公室牌子）、乡村振兴办公室（挂脱贫攻坚办公室牌子），剑峰镇政府行政编制20名（含行政工人1名），剑峰镇党委、纪委、人大、政府领导班子科级领导职数为11名，包括镇党委书记、镇长（兼副书记）、人大主席、副书记、纪委书记、组织委员（兼职统战委员）、宣传委员（兼职人大副主席）、政法委员各1名；副镇长（其中一名兼职武装部长）3名。</w:t>
      </w:r>
      <w:r>
        <w:rPr>
          <w:rFonts w:hint="eastAsia" w:ascii="仿宋_GB2312" w:hAnsi="仿宋" w:eastAsia="仿宋_GB2312" w:cs="仿宋"/>
          <w:color w:val="000000" w:themeColor="text1"/>
          <w:sz w:val="32"/>
          <w:szCs w:val="32"/>
        </w:rPr>
        <w:t>中层职数6名。</w:t>
      </w:r>
    </w:p>
    <w:p>
      <w:pPr>
        <w:pStyle w:val="12"/>
        <w:adjustRightInd w:val="0"/>
        <w:snapToGrid w:val="0"/>
        <w:spacing w:beforeLines="30" w:afterAutospacing="1" w:line="600" w:lineRule="exact"/>
        <w:ind w:firstLine="672" w:firstLineChars="210"/>
        <w:outlineLvl w:val="2"/>
        <w:rPr>
          <w:rFonts w:ascii="仿宋_GB2312" w:hAnsi="仿宋" w:eastAsia="仿宋_GB2312" w:cs="仿宋"/>
          <w:color w:val="000000"/>
          <w:sz w:val="32"/>
          <w:szCs w:val="32"/>
        </w:rPr>
      </w:pPr>
      <w:r>
        <w:rPr>
          <w:rFonts w:hint="eastAsia" w:ascii="仿宋_GB2312" w:hAnsi="仿宋" w:eastAsia="仿宋_GB2312" w:cs="仿宋"/>
          <w:color w:val="000000"/>
          <w:kern w:val="0"/>
          <w:sz w:val="32"/>
          <w:szCs w:val="32"/>
        </w:rPr>
        <w:t>（二）剑峰镇直属事业机构编制9名。镇政府直属事业机构为便民服务中心（挂退役军人服务站、人力资源和社会保障服务所、农民工服务中心牌子）编制6名、农业综合服务中心（挂畜牧兽医站、村〈社区〉治理服务中心牌子）编制4名（兽防3名）、文化旅游服务中心编制2名。</w:t>
      </w:r>
    </w:p>
    <w:p>
      <w:pPr>
        <w:pStyle w:val="12"/>
        <w:adjustRightInd w:val="0"/>
        <w:snapToGrid w:val="0"/>
        <w:spacing w:beforeLines="30" w:afterAutospacing="1" w:line="600" w:lineRule="exact"/>
        <w:ind w:firstLine="672" w:firstLineChars="210"/>
        <w:outlineLvl w:val="2"/>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共计编制29名，实有人员32名。</w:t>
      </w:r>
    </w:p>
    <w:p>
      <w:pPr>
        <w:pStyle w:val="12"/>
        <w:adjustRightInd w:val="0"/>
        <w:snapToGrid w:val="0"/>
        <w:spacing w:beforeLines="30" w:afterAutospacing="1" w:line="600" w:lineRule="exact"/>
        <w:ind w:firstLine="672" w:firstLineChars="210"/>
        <w:outlineLvl w:val="2"/>
        <w:rPr>
          <w:rFonts w:hint="eastAsia" w:ascii="仿宋_GB2312" w:hAnsi="仿宋" w:eastAsia="仿宋_GB2312" w:cs="仿宋"/>
          <w:color w:val="000000"/>
          <w:sz w:val="32"/>
          <w:szCs w:val="32"/>
        </w:rPr>
      </w:pPr>
    </w:p>
    <w:p>
      <w:pPr>
        <w:pStyle w:val="12"/>
        <w:adjustRightInd w:val="0"/>
        <w:snapToGrid w:val="0"/>
        <w:spacing w:beforeLines="30" w:afterAutospacing="1" w:line="600" w:lineRule="exact"/>
        <w:ind w:firstLine="672" w:firstLineChars="210"/>
        <w:outlineLvl w:val="2"/>
        <w:rPr>
          <w:rFonts w:hint="eastAsia" w:ascii="仿宋_GB2312" w:hAnsi="仿宋" w:eastAsia="仿宋_GB2312" w:cs="仿宋"/>
          <w:color w:val="000000"/>
          <w:sz w:val="32"/>
          <w:szCs w:val="32"/>
        </w:rPr>
      </w:pPr>
    </w:p>
    <w:p>
      <w:pPr>
        <w:pStyle w:val="12"/>
        <w:adjustRightInd w:val="0"/>
        <w:snapToGrid w:val="0"/>
        <w:spacing w:beforeLines="30" w:afterAutospacing="1" w:line="600" w:lineRule="exact"/>
        <w:ind w:firstLine="672" w:firstLineChars="210"/>
        <w:outlineLvl w:val="2"/>
        <w:rPr>
          <w:rFonts w:hint="eastAsia" w:ascii="仿宋_GB2312" w:hAnsi="仿宋" w:eastAsia="仿宋_GB2312" w:cs="仿宋"/>
          <w:color w:val="000000"/>
          <w:sz w:val="32"/>
          <w:szCs w:val="32"/>
        </w:rPr>
      </w:pPr>
    </w:p>
    <w:p>
      <w:pPr>
        <w:pStyle w:val="12"/>
        <w:adjustRightInd w:val="0"/>
        <w:snapToGrid w:val="0"/>
        <w:spacing w:beforeLines="30" w:afterAutospacing="1" w:line="600" w:lineRule="exact"/>
        <w:ind w:firstLine="672" w:firstLineChars="210"/>
        <w:outlineLvl w:val="2"/>
        <w:rPr>
          <w:rFonts w:hint="eastAsia" w:ascii="仿宋_GB2312" w:hAnsi="仿宋" w:eastAsia="仿宋_GB2312" w:cs="仿宋"/>
          <w:color w:val="000000"/>
          <w:sz w:val="32"/>
          <w:szCs w:val="32"/>
        </w:rPr>
      </w:pPr>
    </w:p>
    <w:p>
      <w:pPr>
        <w:pStyle w:val="12"/>
        <w:adjustRightInd w:val="0"/>
        <w:snapToGrid w:val="0"/>
        <w:spacing w:beforeLines="30" w:afterAutospacing="1" w:line="600" w:lineRule="exact"/>
        <w:ind w:firstLine="672" w:firstLineChars="210"/>
        <w:outlineLvl w:val="2"/>
        <w:rPr>
          <w:rFonts w:hint="eastAsia" w:ascii="仿宋_GB2312" w:hAnsi="仿宋" w:eastAsia="仿宋_GB2312" w:cs="仿宋"/>
          <w:color w:val="000000"/>
          <w:sz w:val="32"/>
          <w:szCs w:val="32"/>
        </w:rPr>
      </w:pPr>
    </w:p>
    <w:p>
      <w:pPr>
        <w:pStyle w:val="12"/>
        <w:adjustRightInd w:val="0"/>
        <w:snapToGrid w:val="0"/>
        <w:spacing w:beforeLines="30" w:afterAutospacing="1" w:line="600" w:lineRule="exact"/>
        <w:ind w:firstLine="672" w:firstLineChars="210"/>
        <w:outlineLvl w:val="2"/>
        <w:rPr>
          <w:rFonts w:hint="eastAsia" w:ascii="仿宋_GB2312" w:hAnsi="仿宋" w:eastAsia="仿宋_GB2312" w:cs="仿宋"/>
          <w:color w:val="000000"/>
          <w:sz w:val="32"/>
          <w:szCs w:val="32"/>
        </w:rPr>
      </w:pPr>
    </w:p>
    <w:p>
      <w:pPr>
        <w:widowControl/>
        <w:jc w:val="left"/>
        <w:rPr>
          <w:rFonts w:ascii="仿宋" w:hAnsi="仿宋" w:eastAsia="仿宋"/>
          <w:color w:val="000000"/>
          <w:kern w:val="0"/>
          <w:sz w:val="32"/>
          <w:szCs w:val="32"/>
        </w:rPr>
      </w:pPr>
    </w:p>
    <w:p>
      <w:pPr>
        <w:pStyle w:val="3"/>
        <w:ind w:right="440"/>
        <w:jc w:val="right"/>
        <w:rPr>
          <w:rStyle w:val="17"/>
          <w:rFonts w:ascii="黑体" w:hAnsi="黑体" w:eastAsia="黑体"/>
          <w:b w:val="0"/>
          <w:bCs w:val="0"/>
        </w:rPr>
      </w:pPr>
      <w:bookmarkStart w:id="16" w:name="_Toc15396602"/>
      <w:bookmarkStart w:id="17" w:name="_Toc15377204"/>
      <w:r>
        <w:rPr>
          <w:rFonts w:hint="eastAsia" w:ascii="黑体" w:hAnsi="黑体" w:eastAsia="黑体" w:cs="黑体"/>
          <w:b w:val="0"/>
          <w:bCs w:val="0"/>
          <w:color w:val="000000"/>
        </w:rPr>
        <w:t>第二部分</w:t>
      </w:r>
      <w:r>
        <w:rPr>
          <w:rFonts w:ascii="黑体" w:hAnsi="黑体" w:eastAsia="黑体" w:cs="黑体"/>
          <w:color w:val="000000"/>
        </w:rPr>
        <w:t xml:space="preserve"> </w:t>
      </w:r>
      <w:r>
        <w:rPr>
          <w:rStyle w:val="17"/>
          <w:rFonts w:hint="eastAsia" w:ascii="黑体" w:hAnsi="黑体" w:eastAsia="黑体" w:cs="黑体"/>
          <w:b w:val="0"/>
          <w:bCs w:val="0"/>
        </w:rPr>
        <w:t>2020年度部门决算情况说明</w:t>
      </w:r>
      <w:bookmarkEnd w:id="16"/>
      <w:bookmarkEnd w:id="17"/>
    </w:p>
    <w:p/>
    <w:p>
      <w:pPr>
        <w:pStyle w:val="28"/>
        <w:numPr>
          <w:ilvl w:val="0"/>
          <w:numId w:val="1"/>
        </w:numPr>
        <w:spacing w:line="600" w:lineRule="exact"/>
        <w:ind w:firstLineChars="0"/>
        <w:outlineLvl w:val="1"/>
        <w:rPr>
          <w:rStyle w:val="18"/>
          <w:rFonts w:ascii="黑体" w:hAnsi="黑体" w:eastAsia="黑体" w:cs="Times New Roman"/>
          <w:b w:val="0"/>
          <w:bCs w:val="0"/>
        </w:rPr>
      </w:pPr>
      <w:bookmarkStart w:id="18" w:name="_Toc15396603"/>
      <w:bookmarkStart w:id="19" w:name="_Toc15377205"/>
      <w:r>
        <w:rPr>
          <w:rFonts w:hint="eastAsia" w:ascii="黑体" w:hAnsi="黑体" w:eastAsia="黑体" w:cs="黑体"/>
          <w:color w:val="000000"/>
          <w:sz w:val="32"/>
          <w:szCs w:val="32"/>
        </w:rPr>
        <w:t>收</w:t>
      </w:r>
      <w:r>
        <w:rPr>
          <w:rStyle w:val="18"/>
          <w:rFonts w:hint="eastAsia" w:ascii="黑体" w:hAnsi="黑体" w:eastAsia="黑体" w:cs="黑体"/>
          <w:b w:val="0"/>
          <w:bCs w:val="0"/>
        </w:rPr>
        <w:t>入支出决算总体情况说明</w:t>
      </w:r>
      <w:bookmarkEnd w:id="18"/>
      <w:bookmarkEnd w:id="19"/>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
          <w:color w:val="000000"/>
          <w:sz w:val="32"/>
          <w:szCs w:val="32"/>
        </w:rPr>
        <w:t>2020年度收、支总计952.04万元。与2019年905.85万元相比，收、支总计增加46.19万元，增长0.2%。主要因机构改革，人员增加9人，相应增加工资、保险、福利等，预算外增加巨星大型养猪场项目建设。</w:t>
      </w:r>
    </w:p>
    <w:p>
      <w:pPr>
        <w:spacing w:line="600" w:lineRule="exact"/>
        <w:ind w:firstLine="640" w:firstLineChars="200"/>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drawing>
          <wp:anchor distT="0" distB="0" distL="114300" distR="114300" simplePos="0" relativeHeight="251659264" behindDoc="0" locked="0" layoutInCell="1" allowOverlap="1">
            <wp:simplePos x="0" y="0"/>
            <wp:positionH relativeFrom="column">
              <wp:posOffset>466725</wp:posOffset>
            </wp:positionH>
            <wp:positionV relativeFrom="paragraph">
              <wp:posOffset>-2514600</wp:posOffset>
            </wp:positionV>
            <wp:extent cx="4543425" cy="2743200"/>
            <wp:effectExtent l="57150" t="0" r="66675" b="7620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6"/>
                    <a:srcRect/>
                    <a:stretch>
                      <a:fillRect/>
                    </a:stretch>
                  </pic:blipFill>
                  <pic:spPr>
                    <a:xfrm>
                      <a:off x="0" y="0"/>
                      <a:ext cx="4543425" cy="2743200"/>
                    </a:xfrm>
                    <a:prstGeom prst="rect">
                      <a:avLst/>
                    </a:prstGeom>
                    <a:noFill/>
                    <a:ln w="9525">
                      <a:noFill/>
                      <a:miter lim="800000"/>
                      <a:headEnd/>
                      <a:tailEnd/>
                    </a:ln>
                    <a:effectLst>
                      <a:outerShdw blurRad="50800" dist="50800" dir="5400000" algn="ctr" rotWithShape="0">
                        <a:srgbClr val="000000">
                          <a:alpha val="81000"/>
                        </a:srgbClr>
                      </a:outerShdw>
                    </a:effectLst>
                  </pic:spPr>
                </pic:pic>
              </a:graphicData>
            </a:graphic>
          </wp:anchor>
        </w:drawing>
      </w:r>
    </w:p>
    <w:p>
      <w:pPr>
        <w:spacing w:line="600" w:lineRule="exact"/>
        <w:ind w:firstLine="640" w:firstLineChars="200"/>
        <w:jc w:val="left"/>
        <w:rPr>
          <w:rFonts w:ascii="仿宋_GB2312" w:eastAsia="仿宋_GB2312"/>
          <w:color w:val="000000"/>
          <w:sz w:val="32"/>
          <w:szCs w:val="32"/>
        </w:rPr>
      </w:pPr>
    </w:p>
    <w:p>
      <w:pPr>
        <w:pStyle w:val="28"/>
        <w:numPr>
          <w:ilvl w:val="0"/>
          <w:numId w:val="1"/>
        </w:numPr>
        <w:spacing w:line="600" w:lineRule="exact"/>
        <w:ind w:firstLineChars="0"/>
        <w:outlineLvl w:val="1"/>
        <w:rPr>
          <w:rStyle w:val="18"/>
          <w:rFonts w:ascii="黑体" w:hAnsi="黑体" w:eastAsia="黑体" w:cs="Times New Roman"/>
          <w:b w:val="0"/>
          <w:bCs w:val="0"/>
        </w:rPr>
      </w:pPr>
      <w:bookmarkStart w:id="20" w:name="_Toc15396604"/>
      <w:bookmarkStart w:id="21" w:name="_Toc15377206"/>
      <w:r>
        <w:rPr>
          <w:rFonts w:hint="eastAsia" w:ascii="黑体" w:hAnsi="黑体" w:eastAsia="黑体" w:cs="黑体"/>
          <w:color w:val="000000"/>
          <w:sz w:val="32"/>
          <w:szCs w:val="32"/>
        </w:rPr>
        <w:t>收</w:t>
      </w:r>
      <w:r>
        <w:rPr>
          <w:rStyle w:val="18"/>
          <w:rFonts w:hint="eastAsia" w:ascii="黑体" w:hAnsi="黑体" w:eastAsia="黑体" w:cs="黑体"/>
          <w:b w:val="0"/>
          <w:bCs w:val="0"/>
        </w:rPr>
        <w:t>入决算情况说明</w:t>
      </w:r>
      <w:bookmarkEnd w:id="20"/>
      <w:bookmarkEnd w:id="21"/>
    </w:p>
    <w:p>
      <w:pPr>
        <w:spacing w:line="600" w:lineRule="exact"/>
        <w:ind w:firstLine="640" w:firstLineChars="200"/>
        <w:outlineLvl w:val="1"/>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2020年本年收入合计921.03万元，其中：一般公共预算财政拨款收入897.73万元，占97%；政府性基金预算财政拨款收入8万元，占1%；上级补助收入0万元，占0%；事业收入0万元，占0%；经营收入0万元，占0%；附属单位上缴收入0万元，占0%；其他收入15.3万元，占2%。</w:t>
      </w:r>
    </w:p>
    <w:p>
      <w:pPr>
        <w:spacing w:line="600" w:lineRule="exact"/>
        <w:ind w:firstLine="640" w:firstLineChars="200"/>
        <w:outlineLvl w:val="1"/>
        <w:rPr>
          <w:rFonts w:ascii="仿宋" w:hAnsi="仿宋" w:eastAsia="仿宋" w:cs="仿宋"/>
          <w:color w:val="000000"/>
          <w:sz w:val="32"/>
          <w:szCs w:val="32"/>
        </w:rPr>
      </w:pPr>
    </w:p>
    <w:p>
      <w:pPr>
        <w:spacing w:line="600" w:lineRule="exact"/>
        <w:ind w:firstLine="640" w:firstLineChars="200"/>
        <w:outlineLvl w:val="1"/>
        <w:rPr>
          <w:rFonts w:ascii="仿宋" w:hAnsi="仿宋" w:eastAsia="仿宋" w:cs="仿宋"/>
          <w:color w:val="000000"/>
          <w:sz w:val="32"/>
          <w:szCs w:val="32"/>
        </w:rPr>
      </w:pPr>
    </w:p>
    <w:p>
      <w:pPr>
        <w:spacing w:line="600" w:lineRule="exact"/>
        <w:ind w:firstLine="640" w:firstLineChars="200"/>
        <w:outlineLvl w:val="1"/>
        <w:rPr>
          <w:rFonts w:ascii="仿宋" w:hAnsi="仿宋" w:eastAsia="仿宋" w:cs="仿宋"/>
          <w:color w:val="000000"/>
          <w:sz w:val="32"/>
          <w:szCs w:val="32"/>
        </w:rPr>
      </w:pPr>
    </w:p>
    <w:p>
      <w:pPr>
        <w:spacing w:line="600" w:lineRule="exact"/>
        <w:ind w:firstLine="640" w:firstLineChars="200"/>
        <w:outlineLvl w:val="1"/>
        <w:rPr>
          <w:rFonts w:ascii="仿宋" w:hAnsi="仿宋" w:eastAsia="仿宋" w:cs="仿宋"/>
          <w:color w:val="000000"/>
          <w:sz w:val="32"/>
          <w:szCs w:val="32"/>
        </w:rPr>
      </w:pPr>
    </w:p>
    <w:p>
      <w:pPr>
        <w:spacing w:line="600" w:lineRule="exact"/>
        <w:ind w:firstLine="640" w:firstLineChars="200"/>
        <w:outlineLvl w:val="1"/>
        <w:rPr>
          <w:rFonts w:ascii="仿宋" w:hAnsi="仿宋" w:eastAsia="仿宋" w:cs="仿宋"/>
          <w:color w:val="000000"/>
          <w:sz w:val="32"/>
          <w:szCs w:val="32"/>
        </w:rPr>
      </w:pPr>
    </w:p>
    <w:p>
      <w:pPr>
        <w:spacing w:line="600" w:lineRule="exact"/>
        <w:ind w:firstLine="640" w:firstLineChars="200"/>
        <w:outlineLvl w:val="1"/>
        <w:rPr>
          <w:rFonts w:ascii="仿宋" w:hAnsi="仿宋" w:eastAsia="仿宋" w:cs="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_GB2312" w:eastAsia="仿宋_GB2312"/>
          <w:color w:val="FF0000"/>
          <w:sz w:val="32"/>
          <w:szCs w:val="32"/>
        </w:rPr>
      </w:pPr>
      <w:r>
        <w:rPr>
          <w:rFonts w:ascii="仿宋" w:hAnsi="仿宋" w:eastAsia="仿宋" w:cs="仿宋"/>
          <w:color w:val="000000"/>
          <w:sz w:val="32"/>
          <w:szCs w:val="32"/>
        </w:rPr>
        <w:drawing>
          <wp:anchor distT="0" distB="0" distL="114300" distR="114300" simplePos="0" relativeHeight="251660288" behindDoc="0" locked="0" layoutInCell="1" allowOverlap="1">
            <wp:simplePos x="0" y="0"/>
            <wp:positionH relativeFrom="column">
              <wp:posOffset>428625</wp:posOffset>
            </wp:positionH>
            <wp:positionV relativeFrom="paragraph">
              <wp:posOffset>-2876550</wp:posOffset>
            </wp:positionV>
            <wp:extent cx="5274310" cy="3181350"/>
            <wp:effectExtent l="19050" t="0" r="2540" b="0"/>
            <wp:wrapSquare wrapText="bothSides"/>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noChangeArrowheads="1"/>
                    </pic:cNvPicPr>
                  </pic:nvPicPr>
                  <pic:blipFill>
                    <a:blip r:embed="rId7"/>
                    <a:srcRect/>
                    <a:stretch>
                      <a:fillRect/>
                    </a:stretch>
                  </pic:blipFill>
                  <pic:spPr>
                    <a:xfrm>
                      <a:off x="0" y="0"/>
                      <a:ext cx="5274310" cy="3181350"/>
                    </a:xfrm>
                    <a:prstGeom prst="rect">
                      <a:avLst/>
                    </a:prstGeom>
                    <a:noFill/>
                    <a:ln w="9525">
                      <a:noFill/>
                      <a:miter lim="800000"/>
                      <a:headEnd/>
                      <a:tailEnd/>
                    </a:ln>
                  </pic:spPr>
                </pic:pic>
              </a:graphicData>
            </a:graphic>
          </wp:anchor>
        </w:drawing>
      </w:r>
    </w:p>
    <w:p>
      <w:pPr>
        <w:pStyle w:val="28"/>
        <w:numPr>
          <w:ilvl w:val="0"/>
          <w:numId w:val="1"/>
        </w:numPr>
        <w:spacing w:line="600" w:lineRule="exact"/>
        <w:ind w:firstLineChars="0"/>
        <w:outlineLvl w:val="1"/>
        <w:rPr>
          <w:rStyle w:val="18"/>
          <w:rFonts w:ascii="黑体" w:hAnsi="黑体" w:eastAsia="黑体" w:cs="Times New Roman"/>
          <w:b w:val="0"/>
          <w:bCs w:val="0"/>
        </w:rPr>
      </w:pPr>
      <w:bookmarkStart w:id="22" w:name="_Toc15396605"/>
      <w:bookmarkStart w:id="23" w:name="_Toc15377207"/>
      <w:r>
        <w:rPr>
          <w:rFonts w:hint="eastAsia" w:ascii="黑体" w:hAnsi="黑体" w:eastAsia="黑体" w:cs="黑体"/>
          <w:color w:val="000000"/>
          <w:sz w:val="32"/>
          <w:szCs w:val="32"/>
        </w:rPr>
        <w:t>支</w:t>
      </w:r>
      <w:r>
        <w:rPr>
          <w:rStyle w:val="18"/>
          <w:rFonts w:hint="eastAsia" w:ascii="黑体" w:hAnsi="黑体" w:eastAsia="黑体" w:cs="黑体"/>
          <w:b w:val="0"/>
          <w:bCs w:val="0"/>
        </w:rPr>
        <w:t>出决算情况说明</w:t>
      </w:r>
      <w:bookmarkEnd w:id="22"/>
      <w:bookmarkEnd w:id="23"/>
    </w:p>
    <w:p>
      <w:pPr>
        <w:spacing w:line="600" w:lineRule="exact"/>
        <w:ind w:firstLine="640" w:firstLineChars="200"/>
        <w:outlineLvl w:val="1"/>
        <w:rPr>
          <w:rFonts w:ascii="仿宋_GB2312" w:hAnsi="仿宋" w:eastAsia="仿宋_GB2312" w:cs="仿宋"/>
          <w:color w:val="000000"/>
          <w:sz w:val="32"/>
          <w:szCs w:val="32"/>
        </w:rPr>
      </w:pPr>
      <w:r>
        <w:rPr>
          <w:rFonts w:hint="eastAsia" w:ascii="仿宋_GB2312" w:hAnsi="仿宋" w:eastAsia="仿宋_GB2312" w:cs="仿宋"/>
          <w:color w:val="000000"/>
          <w:sz w:val="32"/>
          <w:szCs w:val="32"/>
        </w:rPr>
        <w:drawing>
          <wp:anchor distT="0" distB="0" distL="114300" distR="114300" simplePos="0" relativeHeight="251661312" behindDoc="0" locked="0" layoutInCell="1" allowOverlap="1">
            <wp:simplePos x="0" y="0"/>
            <wp:positionH relativeFrom="column">
              <wp:posOffset>209550</wp:posOffset>
            </wp:positionH>
            <wp:positionV relativeFrom="paragraph">
              <wp:posOffset>1657350</wp:posOffset>
            </wp:positionV>
            <wp:extent cx="4781550" cy="3114675"/>
            <wp:effectExtent l="19050" t="0" r="0" b="0"/>
            <wp:wrapSquare wrapText="bothSides"/>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noChangeArrowheads="1"/>
                    </pic:cNvPicPr>
                  </pic:nvPicPr>
                  <pic:blipFill>
                    <a:blip r:embed="rId8"/>
                    <a:srcRect/>
                    <a:stretch>
                      <a:fillRect/>
                    </a:stretch>
                  </pic:blipFill>
                  <pic:spPr>
                    <a:xfrm>
                      <a:off x="0" y="0"/>
                      <a:ext cx="4781550" cy="3114675"/>
                    </a:xfrm>
                    <a:prstGeom prst="rect">
                      <a:avLst/>
                    </a:prstGeom>
                    <a:noFill/>
                    <a:ln w="9525">
                      <a:noFill/>
                      <a:miter lim="800000"/>
                      <a:headEnd/>
                      <a:tailEnd/>
                    </a:ln>
                  </pic:spPr>
                </pic:pic>
              </a:graphicData>
            </a:graphic>
          </wp:anchor>
        </w:drawing>
      </w:r>
      <w:r>
        <w:rPr>
          <w:rFonts w:hint="eastAsia" w:ascii="仿宋_GB2312" w:hAnsi="仿宋" w:eastAsia="仿宋_GB2312" w:cs="仿宋"/>
          <w:color w:val="000000"/>
          <w:sz w:val="32"/>
          <w:szCs w:val="32"/>
        </w:rPr>
        <w:t>2020年本年支出合计919.09万元，其中：基本支出355.05万元，占39%；项目支</w:t>
      </w:r>
      <w:bookmarkStart w:id="68" w:name="_GoBack"/>
      <w:bookmarkEnd w:id="68"/>
      <w:r>
        <w:rPr>
          <w:rFonts w:hint="eastAsia" w:ascii="仿宋_GB2312" w:hAnsi="仿宋" w:eastAsia="仿宋_GB2312" w:cs="仿宋"/>
          <w:color w:val="000000"/>
          <w:sz w:val="32"/>
          <w:szCs w:val="32"/>
        </w:rPr>
        <w:t>出564.04万元，占</w:t>
      </w:r>
      <w:r>
        <w:rPr>
          <w:rFonts w:hint="eastAsia" w:ascii="仿宋_GB2312" w:hAnsi="仿宋" w:eastAsia="仿宋_GB2312" w:cs="仿宋"/>
          <w:color w:val="000000"/>
          <w:sz w:val="32"/>
          <w:szCs w:val="32"/>
          <w:lang w:val="en-US" w:eastAsia="zh-CN"/>
        </w:rPr>
        <w:t>61</w:t>
      </w:r>
      <w:r>
        <w:rPr>
          <w:rFonts w:hint="eastAsia" w:ascii="仿宋_GB2312" w:hAnsi="仿宋" w:eastAsia="仿宋_GB2312" w:cs="仿宋"/>
          <w:color w:val="000000"/>
          <w:sz w:val="32"/>
          <w:szCs w:val="32"/>
        </w:rPr>
        <w:t>%；上缴上级支出0万元，占0%；经营支出0万元，占0%；对附属单位补助支出0万元，占0%。</w:t>
      </w:r>
    </w:p>
    <w:p>
      <w:pPr>
        <w:spacing w:line="600" w:lineRule="exact"/>
        <w:ind w:firstLine="320" w:firstLineChars="100"/>
        <w:outlineLvl w:val="1"/>
        <w:rPr>
          <w:rStyle w:val="18"/>
          <w:rFonts w:ascii="黑体" w:hAnsi="黑体" w:eastAsia="黑体" w:cs="Times New Roman"/>
          <w:b w:val="0"/>
          <w:bCs w:val="0"/>
        </w:rPr>
      </w:pPr>
      <w:bookmarkStart w:id="24" w:name="_Toc15377208"/>
      <w:bookmarkStart w:id="25" w:name="_Toc15396606"/>
      <w:r>
        <w:rPr>
          <w:rFonts w:hint="eastAsia" w:ascii="黑体" w:hAnsi="黑体" w:eastAsia="黑体" w:cs="黑体"/>
          <w:color w:val="000000"/>
          <w:sz w:val="32"/>
          <w:szCs w:val="32"/>
        </w:rPr>
        <w:t>四、财</w:t>
      </w:r>
      <w:r>
        <w:rPr>
          <w:rStyle w:val="18"/>
          <w:rFonts w:hint="eastAsia" w:ascii="黑体" w:hAnsi="黑体" w:eastAsia="黑体" w:cs="黑体"/>
          <w:b w:val="0"/>
          <w:bCs w:val="0"/>
        </w:rPr>
        <w:t>政拨款收入支出决算总体情况说明</w:t>
      </w:r>
      <w:bookmarkEnd w:id="24"/>
      <w:bookmarkEnd w:id="25"/>
    </w:p>
    <w:p>
      <w:pPr>
        <w:spacing w:line="600" w:lineRule="exact"/>
        <w:ind w:firstLine="641"/>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2020年财政拨款收、支总计926.17万元。与2019年890.1万元相比，财政拨款收、支总计各增加36.07万元，增长4%。主要变动原因是人员增加9人，相应工资及福利相应增加，同时增加了防疫经费8万元。</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438150</wp:posOffset>
            </wp:positionH>
            <wp:positionV relativeFrom="paragraph">
              <wp:posOffset>66675</wp:posOffset>
            </wp:positionV>
            <wp:extent cx="4705350" cy="2133600"/>
            <wp:effectExtent l="19050" t="0" r="0" b="0"/>
            <wp:wrapSquare wrapText="bothSides"/>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noChangeArrowheads="1"/>
                    </pic:cNvPicPr>
                  </pic:nvPicPr>
                  <pic:blipFill>
                    <a:blip r:embed="rId9"/>
                    <a:srcRect/>
                    <a:stretch>
                      <a:fillRect/>
                    </a:stretch>
                  </pic:blipFill>
                  <pic:spPr>
                    <a:xfrm>
                      <a:off x="0" y="0"/>
                      <a:ext cx="4705350" cy="2133600"/>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s="仿宋"/>
          <w:color w:val="000000"/>
          <w:sz w:val="32"/>
          <w:szCs w:val="32"/>
        </w:rPr>
      </w:pPr>
    </w:p>
    <w:p>
      <w:pPr>
        <w:spacing w:line="600" w:lineRule="exact"/>
        <w:ind w:firstLine="640"/>
        <w:rPr>
          <w:rFonts w:ascii="仿宋" w:hAnsi="仿宋" w:eastAsia="仿宋" w:cs="仿宋"/>
          <w:color w:val="000000"/>
          <w:sz w:val="32"/>
          <w:szCs w:val="32"/>
        </w:rPr>
      </w:pPr>
    </w:p>
    <w:p>
      <w:pPr>
        <w:spacing w:line="600" w:lineRule="exact"/>
        <w:ind w:firstLine="640"/>
        <w:rPr>
          <w:rFonts w:ascii="仿宋" w:hAnsi="仿宋" w:eastAsia="仿宋" w:cs="仿宋"/>
          <w:color w:val="000000"/>
          <w:sz w:val="32"/>
          <w:szCs w:val="32"/>
        </w:rPr>
      </w:pPr>
    </w:p>
    <w:p>
      <w:pPr>
        <w:spacing w:line="600" w:lineRule="exact"/>
        <w:ind w:firstLine="640" w:firstLineChars="200"/>
        <w:outlineLvl w:val="1"/>
        <w:rPr>
          <w:rFonts w:hint="eastAsia" w:ascii="黑体" w:hAnsi="黑体" w:eastAsia="黑体" w:cs="黑体"/>
          <w:color w:val="000000"/>
          <w:sz w:val="32"/>
          <w:szCs w:val="32"/>
        </w:rPr>
      </w:pPr>
      <w:bookmarkStart w:id="26" w:name="_Toc15396607"/>
      <w:bookmarkStart w:id="27" w:name="_Toc15377209"/>
    </w:p>
    <w:p>
      <w:pPr>
        <w:spacing w:line="600" w:lineRule="exact"/>
        <w:ind w:firstLine="640" w:firstLineChars="200"/>
        <w:outlineLvl w:val="1"/>
        <w:rPr>
          <w:rFonts w:hint="eastAsia" w:ascii="黑体" w:hAnsi="黑体" w:eastAsia="黑体" w:cs="黑体"/>
          <w:color w:val="000000"/>
          <w:sz w:val="32"/>
          <w:szCs w:val="32"/>
        </w:rPr>
      </w:pPr>
    </w:p>
    <w:p>
      <w:pPr>
        <w:spacing w:line="600" w:lineRule="exact"/>
        <w:outlineLvl w:val="1"/>
        <w:rPr>
          <w:rStyle w:val="18"/>
          <w:rFonts w:ascii="黑体" w:hAnsi="黑体" w:eastAsia="黑体" w:cs="Times New Roman"/>
          <w:b w:val="0"/>
          <w:bCs w:val="0"/>
        </w:rPr>
      </w:pPr>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18"/>
          <w:rFonts w:hint="eastAsia" w:ascii="黑体" w:hAnsi="黑体" w:eastAsia="黑体" w:cs="黑体"/>
          <w:b w:val="0"/>
          <w:bCs w:val="0"/>
        </w:rPr>
        <w:t>般公共预算财政拨款支出决算情况说明</w:t>
      </w:r>
      <w:bookmarkEnd w:id="26"/>
      <w:bookmarkEnd w:id="27"/>
    </w:p>
    <w:p>
      <w:pPr>
        <w:spacing w:line="600" w:lineRule="exact"/>
        <w:ind w:firstLine="640" w:firstLineChars="200"/>
        <w:outlineLvl w:val="2"/>
        <w:rPr>
          <w:rFonts w:ascii="楷体_GB2312" w:hAnsi="仿宋" w:eastAsia="楷体_GB2312"/>
          <w:bCs/>
          <w:color w:val="000000"/>
          <w:sz w:val="32"/>
          <w:szCs w:val="32"/>
        </w:rPr>
      </w:pPr>
      <w:bookmarkStart w:id="28" w:name="_Toc15377210"/>
      <w:r>
        <w:rPr>
          <w:rFonts w:hint="eastAsia" w:ascii="楷体_GB2312" w:hAnsi="仿宋" w:eastAsia="楷体_GB2312" w:cs="仿宋"/>
          <w:bCs/>
          <w:color w:val="000000"/>
          <w:sz w:val="32"/>
          <w:szCs w:val="32"/>
        </w:rPr>
        <w:t>（一）一般公共预算财政拨款支出决算总体情况</w:t>
      </w:r>
      <w:bookmarkEnd w:id="28"/>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
          <w:color w:val="000000"/>
          <w:sz w:val="32"/>
          <w:szCs w:val="32"/>
        </w:rPr>
        <w:drawing>
          <wp:anchor distT="0" distB="0" distL="114300" distR="114300" simplePos="0" relativeHeight="251663360" behindDoc="0" locked="0" layoutInCell="1" allowOverlap="1">
            <wp:simplePos x="0" y="0"/>
            <wp:positionH relativeFrom="column">
              <wp:posOffset>285750</wp:posOffset>
            </wp:positionH>
            <wp:positionV relativeFrom="paragraph">
              <wp:posOffset>2019300</wp:posOffset>
            </wp:positionV>
            <wp:extent cx="5248275" cy="2181225"/>
            <wp:effectExtent l="19050" t="0" r="9525" b="0"/>
            <wp:wrapSquare wrapText="bothSides"/>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noChangeArrowheads="1"/>
                    </pic:cNvPicPr>
                  </pic:nvPicPr>
                  <pic:blipFill>
                    <a:blip r:embed="rId10"/>
                    <a:srcRect/>
                    <a:stretch>
                      <a:fillRect/>
                    </a:stretch>
                  </pic:blipFill>
                  <pic:spPr>
                    <a:xfrm>
                      <a:off x="0" y="0"/>
                      <a:ext cx="5248275" cy="2181225"/>
                    </a:xfrm>
                    <a:prstGeom prst="rect">
                      <a:avLst/>
                    </a:prstGeom>
                    <a:noFill/>
                    <a:ln w="9525">
                      <a:noFill/>
                      <a:miter lim="800000"/>
                      <a:headEnd/>
                      <a:tailEnd/>
                    </a:ln>
                  </pic:spPr>
                </pic:pic>
              </a:graphicData>
            </a:graphic>
          </wp:anchor>
        </w:drawing>
      </w:r>
      <w:r>
        <w:rPr>
          <w:rFonts w:hint="eastAsia" w:ascii="仿宋_GB2312" w:hAnsi="仿宋" w:eastAsia="仿宋_GB2312" w:cs="仿宋"/>
          <w:color w:val="000000"/>
          <w:sz w:val="32"/>
          <w:szCs w:val="32"/>
        </w:rPr>
        <w:t>2020年一般公共预算财政拨款支出910.84万元，占本年合计支出919.09万元的99%。与2019年869.66万元相比，一般公共预算财政拨款增加42.18万元，增长4%。主要变动原因是人员增加9人，相应工资及福利相应增加，同时增加了防疫经费8万元。</w:t>
      </w:r>
    </w:p>
    <w:p>
      <w:pPr>
        <w:spacing w:line="600" w:lineRule="exact"/>
        <w:outlineLvl w:val="2"/>
        <w:rPr>
          <w:rFonts w:ascii="楷体_GB2312" w:hAnsi="仿宋" w:eastAsia="楷体_GB2312"/>
          <w:bCs/>
          <w:color w:val="000000"/>
          <w:sz w:val="32"/>
          <w:szCs w:val="32"/>
        </w:rPr>
      </w:pPr>
      <w:bookmarkStart w:id="29" w:name="_Toc15377211"/>
      <w:r>
        <w:rPr>
          <w:rFonts w:hint="eastAsia" w:ascii="楷体_GB2312" w:hAnsi="仿宋" w:eastAsia="楷体_GB2312" w:cs="仿宋"/>
          <w:bCs/>
          <w:color w:val="000000"/>
          <w:sz w:val="32"/>
          <w:szCs w:val="32"/>
        </w:rPr>
        <w:t>（二）一般公共预算财政拨款支出决算结构情况</w:t>
      </w:r>
      <w:bookmarkEnd w:id="29"/>
    </w:p>
    <w:p>
      <w:pPr>
        <w:spacing w:line="60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drawing>
          <wp:anchor distT="0" distB="0" distL="114300" distR="114300" simplePos="0" relativeHeight="251664384" behindDoc="0" locked="0" layoutInCell="1" allowOverlap="1">
            <wp:simplePos x="0" y="0"/>
            <wp:positionH relativeFrom="column">
              <wp:posOffset>-142875</wp:posOffset>
            </wp:positionH>
            <wp:positionV relativeFrom="paragraph">
              <wp:posOffset>3533775</wp:posOffset>
            </wp:positionV>
            <wp:extent cx="5657850" cy="4733925"/>
            <wp:effectExtent l="19050" t="0" r="0" b="0"/>
            <wp:wrapSquare wrapText="bothSides"/>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noChangeArrowheads="1"/>
                    </pic:cNvPicPr>
                  </pic:nvPicPr>
                  <pic:blipFill>
                    <a:blip r:embed="rId11"/>
                    <a:srcRect/>
                    <a:stretch>
                      <a:fillRect/>
                    </a:stretch>
                  </pic:blipFill>
                  <pic:spPr>
                    <a:xfrm>
                      <a:off x="0" y="0"/>
                      <a:ext cx="5657850" cy="4733925"/>
                    </a:xfrm>
                    <a:prstGeom prst="rect">
                      <a:avLst/>
                    </a:prstGeom>
                    <a:noFill/>
                    <a:ln w="9525">
                      <a:noFill/>
                      <a:miter lim="800000"/>
                      <a:headEnd/>
                      <a:tailEnd/>
                    </a:ln>
                  </pic:spPr>
                </pic:pic>
              </a:graphicData>
            </a:graphic>
          </wp:anchor>
        </w:drawing>
      </w:r>
      <w:r>
        <w:rPr>
          <w:rFonts w:hint="eastAsia" w:ascii="仿宋_GB2312" w:hAnsi="仿宋" w:eastAsia="仿宋_GB2312" w:cs="仿宋"/>
          <w:color w:val="000000"/>
          <w:sz w:val="32"/>
          <w:szCs w:val="32"/>
        </w:rPr>
        <w:t>2020年一般公共预算财政拨款支出910.84万元，主要用于以下方面:</w:t>
      </w:r>
      <w:r>
        <w:rPr>
          <w:rFonts w:hint="eastAsia" w:ascii="仿宋_GB2312" w:hAnsi="仿宋" w:eastAsia="仿宋_GB2312" w:cs="仿宋"/>
          <w:b/>
          <w:bCs/>
          <w:color w:val="000000"/>
          <w:sz w:val="32"/>
          <w:szCs w:val="32"/>
        </w:rPr>
        <w:t>一般公共服务（类）</w:t>
      </w:r>
      <w:r>
        <w:rPr>
          <w:rFonts w:hint="eastAsia" w:ascii="仿宋_GB2312" w:hAnsi="仿宋" w:eastAsia="仿宋_GB2312" w:cs="仿宋"/>
          <w:color w:val="000000"/>
          <w:sz w:val="32"/>
          <w:szCs w:val="32"/>
        </w:rPr>
        <w:t>支出305.89万元，占33.58%；</w:t>
      </w:r>
      <w:r>
        <w:rPr>
          <w:rFonts w:hint="eastAsia" w:ascii="仿宋_GB2312" w:hAnsi="仿宋" w:eastAsia="仿宋_GB2312" w:cs="仿宋"/>
          <w:b/>
          <w:bCs/>
          <w:color w:val="000000"/>
          <w:sz w:val="32"/>
          <w:szCs w:val="32"/>
        </w:rPr>
        <w:t>公共安全支出（类）</w:t>
      </w:r>
      <w:r>
        <w:rPr>
          <w:rFonts w:hint="eastAsia" w:ascii="仿宋_GB2312" w:hAnsi="仿宋" w:eastAsia="仿宋_GB2312" w:cs="仿宋"/>
          <w:color w:val="000000"/>
          <w:sz w:val="32"/>
          <w:szCs w:val="32"/>
        </w:rPr>
        <w:t>1.26万元，占0.14%；</w:t>
      </w:r>
      <w:r>
        <w:rPr>
          <w:rFonts w:hint="eastAsia" w:ascii="仿宋_GB2312" w:hAnsi="仿宋" w:eastAsia="仿宋_GB2312" w:cs="仿宋"/>
          <w:b/>
          <w:bCs/>
          <w:color w:val="000000"/>
          <w:sz w:val="32"/>
          <w:szCs w:val="32"/>
        </w:rPr>
        <w:t>文化旅游体育与传媒（类）</w:t>
      </w:r>
      <w:r>
        <w:rPr>
          <w:rFonts w:hint="eastAsia" w:ascii="仿宋_GB2312" w:hAnsi="仿宋" w:eastAsia="仿宋_GB2312" w:cs="仿宋"/>
          <w:color w:val="000000"/>
          <w:sz w:val="32"/>
          <w:szCs w:val="32"/>
        </w:rPr>
        <w:t>支出7.27万元，占0.8%；</w:t>
      </w:r>
      <w:r>
        <w:rPr>
          <w:rFonts w:hint="eastAsia" w:ascii="仿宋_GB2312" w:hAnsi="仿宋" w:eastAsia="仿宋_GB2312" w:cs="仿宋"/>
          <w:b/>
          <w:bCs/>
          <w:color w:val="000000"/>
          <w:sz w:val="32"/>
          <w:szCs w:val="32"/>
        </w:rPr>
        <w:t>社会保障和就业（类）</w:t>
      </w:r>
      <w:r>
        <w:rPr>
          <w:rFonts w:hint="eastAsia" w:ascii="仿宋_GB2312" w:hAnsi="仿宋" w:eastAsia="仿宋_GB2312" w:cs="仿宋"/>
          <w:color w:val="000000"/>
          <w:sz w:val="32"/>
          <w:szCs w:val="32"/>
        </w:rPr>
        <w:t>支出98.14万元，占10.77%；</w:t>
      </w:r>
      <w:r>
        <w:rPr>
          <w:rFonts w:hint="eastAsia" w:ascii="仿宋_GB2312" w:hAnsi="仿宋" w:eastAsia="仿宋_GB2312" w:cs="仿宋"/>
          <w:b/>
          <w:bCs/>
          <w:color w:val="000000"/>
          <w:sz w:val="32"/>
          <w:szCs w:val="32"/>
        </w:rPr>
        <w:t>卫生健康支出（类）</w:t>
      </w:r>
      <w:r>
        <w:rPr>
          <w:rFonts w:hint="eastAsia" w:ascii="仿宋_GB2312" w:hAnsi="仿宋" w:eastAsia="仿宋_GB2312" w:cs="仿宋"/>
          <w:color w:val="000000"/>
          <w:sz w:val="32"/>
          <w:szCs w:val="32"/>
        </w:rPr>
        <w:t>支出12.98万元，占1.43%；</w:t>
      </w:r>
      <w:r>
        <w:rPr>
          <w:rFonts w:hint="eastAsia" w:ascii="仿宋_GB2312" w:hAnsi="仿宋" w:eastAsia="仿宋_GB2312" w:cs="仿宋"/>
          <w:b/>
          <w:bCs/>
          <w:color w:val="000000"/>
          <w:sz w:val="32"/>
          <w:szCs w:val="32"/>
        </w:rPr>
        <w:t>农林水支出（类）</w:t>
      </w:r>
      <w:r>
        <w:rPr>
          <w:rFonts w:hint="eastAsia" w:ascii="仿宋_GB2312" w:hAnsi="仿宋" w:eastAsia="仿宋_GB2312" w:cs="仿宋"/>
          <w:color w:val="000000"/>
          <w:sz w:val="32"/>
          <w:szCs w:val="32"/>
        </w:rPr>
        <w:t>支出419.21万元，占46.02%；</w:t>
      </w:r>
      <w:r>
        <w:rPr>
          <w:rFonts w:hint="eastAsia" w:ascii="仿宋_GB2312" w:hAnsi="仿宋" w:eastAsia="仿宋_GB2312" w:cs="仿宋"/>
          <w:b/>
          <w:bCs/>
          <w:color w:val="000000"/>
          <w:sz w:val="32"/>
          <w:szCs w:val="32"/>
        </w:rPr>
        <w:t>住房保障支出（类）</w:t>
      </w:r>
      <w:r>
        <w:rPr>
          <w:rFonts w:hint="eastAsia" w:ascii="仿宋_GB2312" w:hAnsi="仿宋" w:eastAsia="仿宋_GB2312" w:cs="仿宋"/>
          <w:color w:val="000000"/>
          <w:sz w:val="32"/>
          <w:szCs w:val="32"/>
        </w:rPr>
        <w:t>支出38.23万元，占4.2%；</w:t>
      </w:r>
      <w:r>
        <w:rPr>
          <w:rFonts w:hint="eastAsia" w:ascii="仿宋_GB2312" w:hAnsi="仿宋" w:eastAsia="仿宋_GB2312" w:cs="仿宋"/>
          <w:b/>
          <w:bCs/>
          <w:color w:val="000000"/>
          <w:sz w:val="32"/>
          <w:szCs w:val="32"/>
        </w:rPr>
        <w:t>灾害防治及应急管理支出（类）</w:t>
      </w:r>
      <w:r>
        <w:rPr>
          <w:rFonts w:hint="eastAsia" w:ascii="仿宋_GB2312" w:hAnsi="仿宋" w:eastAsia="仿宋_GB2312" w:cs="仿宋"/>
          <w:color w:val="000000"/>
          <w:sz w:val="32"/>
          <w:szCs w:val="32"/>
        </w:rPr>
        <w:t>支出19.86万元，占2.18%；</w:t>
      </w:r>
      <w:r>
        <w:rPr>
          <w:rFonts w:hint="eastAsia" w:ascii="仿宋_GB2312" w:hAnsi="仿宋" w:eastAsia="仿宋_GB2312" w:cs="仿宋"/>
          <w:b/>
          <w:bCs/>
          <w:color w:val="000000"/>
          <w:sz w:val="32"/>
          <w:szCs w:val="32"/>
        </w:rPr>
        <w:t>抗疫特别国债安排的支出（类）</w:t>
      </w:r>
      <w:r>
        <w:rPr>
          <w:rFonts w:hint="eastAsia" w:ascii="仿宋_GB2312" w:hAnsi="仿宋" w:eastAsia="仿宋_GB2312" w:cs="仿宋"/>
          <w:color w:val="000000"/>
          <w:sz w:val="32"/>
          <w:szCs w:val="32"/>
        </w:rPr>
        <w:t>支出8万元，占0.88%。</w:t>
      </w:r>
    </w:p>
    <w:p>
      <w:pPr>
        <w:spacing w:line="600" w:lineRule="exact"/>
        <w:outlineLvl w:val="2"/>
        <w:rPr>
          <w:rFonts w:ascii="楷体_GB2312" w:hAnsi="仿宋" w:eastAsia="楷体_GB2312"/>
          <w:bCs/>
          <w:color w:val="000000"/>
          <w:sz w:val="32"/>
          <w:szCs w:val="32"/>
        </w:rPr>
      </w:pPr>
      <w:bookmarkStart w:id="30" w:name="_Toc15377212"/>
      <w:r>
        <w:rPr>
          <w:rFonts w:hint="eastAsia" w:ascii="楷体_GB2312" w:hAnsi="仿宋" w:eastAsia="楷体_GB2312" w:cs="仿宋"/>
          <w:bCs/>
          <w:color w:val="000000"/>
          <w:sz w:val="32"/>
          <w:szCs w:val="32"/>
        </w:rPr>
        <w:t>（三）一般公共预算财政拨款支出决算具体情况</w:t>
      </w:r>
      <w:bookmarkEnd w:id="30"/>
    </w:p>
    <w:p>
      <w:pPr>
        <w:spacing w:line="600" w:lineRule="exact"/>
        <w:ind w:firstLine="640" w:firstLineChars="200"/>
        <w:outlineLvl w:val="2"/>
        <w:rPr>
          <w:rStyle w:val="15"/>
          <w:rFonts w:ascii="仿宋_GB2312" w:hAnsi="仿宋" w:eastAsia="仿宋_GB2312" w:cs="仿宋"/>
          <w:b w:val="0"/>
          <w:color w:val="000000"/>
          <w:sz w:val="32"/>
          <w:szCs w:val="32"/>
        </w:rPr>
      </w:pPr>
      <w:bookmarkStart w:id="31" w:name="_Toc15377444"/>
      <w:bookmarkStart w:id="32" w:name="_Toc15377213"/>
      <w:bookmarkStart w:id="33" w:name="_Toc15378460"/>
      <w:r>
        <w:rPr>
          <w:rFonts w:hint="eastAsia" w:ascii="仿宋_GB2312" w:hAnsi="仿宋" w:eastAsia="仿宋_GB2312" w:cs="仿宋"/>
          <w:bCs/>
          <w:color w:val="000000"/>
          <w:sz w:val="32"/>
          <w:szCs w:val="32"/>
        </w:rPr>
        <w:t>2020年</w:t>
      </w:r>
      <w:bookmarkEnd w:id="31"/>
      <w:bookmarkEnd w:id="32"/>
      <w:bookmarkEnd w:id="33"/>
      <w:r>
        <w:rPr>
          <w:rFonts w:hint="eastAsia" w:ascii="仿宋_GB2312" w:hAnsi="仿宋" w:eastAsia="仿宋_GB2312" w:cs="仿宋"/>
          <w:bCs/>
          <w:color w:val="000000"/>
          <w:sz w:val="32"/>
          <w:szCs w:val="32"/>
        </w:rPr>
        <w:t>般公共预算支出决算数为919.09万元</w:t>
      </w:r>
      <w:r>
        <w:rPr>
          <w:rFonts w:hint="eastAsia" w:ascii="仿宋_GB2312" w:hAnsi="仿宋" w:eastAsia="仿宋_GB2312" w:cs="仿宋"/>
          <w:color w:val="000000"/>
          <w:sz w:val="32"/>
          <w:szCs w:val="32"/>
        </w:rPr>
        <w:t>，</w:t>
      </w:r>
      <w:r>
        <w:rPr>
          <w:rStyle w:val="15"/>
          <w:rFonts w:hint="eastAsia" w:ascii="仿宋_GB2312" w:hAnsi="仿宋" w:eastAsia="仿宋_GB2312" w:cs="仿宋"/>
          <w:b w:val="0"/>
          <w:color w:val="000000"/>
          <w:sz w:val="32"/>
          <w:szCs w:val="32"/>
        </w:rPr>
        <w:t>完成预算100%。其中：</w:t>
      </w:r>
    </w:p>
    <w:tbl>
      <w:tblPr>
        <w:tblStyle w:val="13"/>
        <w:tblW w:w="8188" w:type="dxa"/>
        <w:tblInd w:w="-199" w:type="dxa"/>
        <w:tblLayout w:type="fixed"/>
        <w:tblCellMar>
          <w:top w:w="0" w:type="dxa"/>
          <w:left w:w="0" w:type="dxa"/>
          <w:bottom w:w="0" w:type="dxa"/>
          <w:right w:w="0" w:type="dxa"/>
        </w:tblCellMar>
      </w:tblPr>
      <w:tblGrid>
        <w:gridCol w:w="191"/>
        <w:gridCol w:w="301"/>
        <w:gridCol w:w="301"/>
        <w:gridCol w:w="302"/>
        <w:gridCol w:w="4378"/>
        <w:gridCol w:w="690"/>
        <w:gridCol w:w="853"/>
        <w:gridCol w:w="1087"/>
        <w:gridCol w:w="85"/>
      </w:tblGrid>
      <w:tr>
        <w:tblPrEx>
          <w:tblCellMar>
            <w:top w:w="0" w:type="dxa"/>
            <w:left w:w="0" w:type="dxa"/>
            <w:bottom w:w="0" w:type="dxa"/>
            <w:right w:w="0" w:type="dxa"/>
          </w:tblCellMar>
        </w:tblPrEx>
        <w:trPr>
          <w:gridBefore w:val="1"/>
          <w:gridAfter w:val="1"/>
          <w:wBefore w:w="199" w:type="dxa"/>
          <w:wAfter w:w="88" w:type="dxa"/>
          <w:trHeight w:val="285" w:hRule="atLeast"/>
        </w:trPr>
        <w:tc>
          <w:tcPr>
            <w:tcW w:w="6181" w:type="dxa"/>
            <w:gridSpan w:val="5"/>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部门：四川省乐山市市中区剑峰镇人民政府</w:t>
            </w:r>
          </w:p>
        </w:tc>
        <w:tc>
          <w:tcPr>
            <w:tcW w:w="88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125"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0" w:type="dxa"/>
            <w:bottom w:w="0" w:type="dxa"/>
            <w:right w:w="0" w:type="dxa"/>
          </w:tblCellMar>
        </w:tblPrEx>
        <w:trPr>
          <w:gridBefore w:val="1"/>
          <w:gridAfter w:val="1"/>
          <w:wBefore w:w="199" w:type="dxa"/>
          <w:wAfter w:w="88" w:type="dxa"/>
          <w:trHeight w:val="312" w:hRule="atLeast"/>
        </w:trPr>
        <w:tc>
          <w:tcPr>
            <w:tcW w:w="931"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4537" w:type="dxa"/>
            <w:vMerge w:val="restart"/>
            <w:tcBorders>
              <w:top w:val="single" w:color="000000"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713" w:type="dxa"/>
            <w:vMerge w:val="restart"/>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882" w:type="dxa"/>
            <w:vMerge w:val="restart"/>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125" w:type="dxa"/>
            <w:vMerge w:val="restart"/>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tblPrEx>
          <w:tblCellMar>
            <w:top w:w="0" w:type="dxa"/>
            <w:left w:w="0" w:type="dxa"/>
            <w:bottom w:w="0" w:type="dxa"/>
            <w:right w:w="0" w:type="dxa"/>
          </w:tblCellMar>
        </w:tblPrEx>
        <w:trPr>
          <w:gridBefore w:val="1"/>
          <w:gridAfter w:val="1"/>
          <w:wBefore w:w="199" w:type="dxa"/>
          <w:wAfter w:w="88" w:type="dxa"/>
          <w:trHeight w:val="312" w:hRule="atLeast"/>
        </w:trPr>
        <w:tc>
          <w:tcPr>
            <w:tcW w:w="931"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4537" w:type="dxa"/>
            <w:vMerge w:val="continue"/>
            <w:tcBorders>
              <w:top w:val="single" w:color="000000"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713"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882"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112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gridBefore w:val="1"/>
          <w:gridAfter w:val="1"/>
          <w:wBefore w:w="199" w:type="dxa"/>
          <w:wAfter w:w="88" w:type="dxa"/>
          <w:trHeight w:val="312" w:hRule="atLeast"/>
        </w:trPr>
        <w:tc>
          <w:tcPr>
            <w:tcW w:w="931"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4537" w:type="dxa"/>
            <w:vMerge w:val="continue"/>
            <w:tcBorders>
              <w:top w:val="single" w:color="000000"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713"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882"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112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gridBefore w:val="1"/>
          <w:gridAfter w:val="1"/>
          <w:wBefore w:w="199" w:type="dxa"/>
          <w:wAfter w:w="88" w:type="dxa"/>
          <w:trHeight w:val="312" w:hRule="atLeast"/>
        </w:trPr>
        <w:tc>
          <w:tcPr>
            <w:tcW w:w="931"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4537" w:type="dxa"/>
            <w:vMerge w:val="continue"/>
            <w:tcBorders>
              <w:top w:val="single" w:color="000000"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713"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882"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112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gridBefore w:val="1"/>
          <w:gridAfter w:val="1"/>
          <w:wBefore w:w="199" w:type="dxa"/>
          <w:wAfter w:w="88" w:type="dxa"/>
          <w:trHeight w:val="285" w:hRule="atLeast"/>
        </w:trPr>
        <w:tc>
          <w:tcPr>
            <w:tcW w:w="310" w:type="dxa"/>
            <w:vMerge w:val="restar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类</w:t>
            </w:r>
          </w:p>
        </w:tc>
        <w:tc>
          <w:tcPr>
            <w:tcW w:w="31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款</w:t>
            </w:r>
          </w:p>
        </w:tc>
        <w:tc>
          <w:tcPr>
            <w:tcW w:w="311"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45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71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88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310" w:type="dxa"/>
            <w:vMerge w:val="continue"/>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31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31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45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919.09</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355.05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564.04</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一般公共服务支出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314.15</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260.15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人大事务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10.64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10.64</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2010102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2.16</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2010108</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代表工作</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8.48</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8.48</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政府办公厅（室）及相关机构事务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278.35</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260.15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18.20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186.13</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186.13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18.20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18.20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2010350</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事业运行</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65.76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65.76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其他政府办公厅（室）及相关机构事务支出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20105</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统计信息事务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3.15</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3.15</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2010507</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专项普查活动</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3.15</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3.15</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20110</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人力资源事务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18.56</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2011099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其他人力资源事务支出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18.56</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20111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纪检监察事务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2011102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20129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群众团体事务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2012902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公共安全支出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公安</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2040299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其他公安支出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20406</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司法</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0.24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0.24</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2040610</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社区矫正</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0.24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0.24</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文化旅游体育与传媒支出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7.27</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7.27</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文化和旅游</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2070199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其他文化和旅游支出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20708</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广播电视</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2070899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其他广播电视支出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98.14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45.86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52.28</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民政管理事务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39.64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39.64</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2080208</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基层政权建设和社区治理</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39.64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39.64</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41.41</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41.41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27.45</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27.45</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13.96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13.96</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抚恤</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其他优抚支出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20811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残疾人事业</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2.91</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2081199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其他残疾人事业支出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2.91</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20820</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临时救助</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12.64</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2082001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临时救助支出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12.64</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12.64</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12.98</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10.81</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10.81</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7.53</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事业单位医疗</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3.28</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3.28</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其他卫生健康支出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2109901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其他卫生健康支出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农林水支出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419.20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419.20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农业农村</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12.57</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12.57</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其他农业农村支出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12.57</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12.57</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扶贫</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30.50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30.50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其他扶贫支出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30.50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30.50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21307</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农村综合改革</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376.13</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376.13</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2130705</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对村民委员会和村党支部的补助</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376.13</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376.13</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224</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灾害防治及应急管理支出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22401</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应急管理事务</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2240108</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应急救援</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234</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抗疫特别国债安排的支出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23402</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抗疫相关支出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r>
      <w:tr>
        <w:tblPrEx>
          <w:tblCellMar>
            <w:top w:w="0" w:type="dxa"/>
            <w:left w:w="0" w:type="dxa"/>
            <w:bottom w:w="0" w:type="dxa"/>
            <w:right w:w="0" w:type="dxa"/>
          </w:tblCellMar>
        </w:tblPrEx>
        <w:trPr>
          <w:gridBefore w:val="1"/>
          <w:gridAfter w:val="1"/>
          <w:wBefore w:w="199" w:type="dxa"/>
          <w:wAfter w:w="88" w:type="dxa"/>
          <w:trHeight w:val="285" w:hRule="atLeast"/>
        </w:trPr>
        <w:tc>
          <w:tcPr>
            <w:tcW w:w="931"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2340299</w:t>
            </w:r>
          </w:p>
        </w:tc>
        <w:tc>
          <w:tcPr>
            <w:tcW w:w="4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其他抗疫相关支出</w:t>
            </w:r>
          </w:p>
        </w:tc>
        <w:tc>
          <w:tcPr>
            <w:tcW w:w="7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trPr>
        <w:tc>
          <w:tcPr>
            <w:tcW w:w="8002" w:type="dxa"/>
            <w:gridSpan w:val="9"/>
            <w:tcBorders>
              <w:top w:val="nil"/>
              <w:left w:val="nil"/>
              <w:bottom w:val="single" w:color="000000" w:sz="4" w:space="0"/>
              <w:right w:val="nil"/>
            </w:tcBorders>
            <w:shd w:val="clear" w:color="auto" w:fill="auto"/>
            <w:noWrap/>
            <w:vAlign w:val="center"/>
          </w:tcPr>
          <w:p>
            <w:pPr>
              <w:widowControl/>
              <w:jc w:val="center"/>
            </w:pPr>
            <w:r>
              <w:rPr>
                <w:rFonts w:hint="eastAsia"/>
              </w:rPr>
              <w:t>一般公共预算财政拨款支出情况表</w:t>
            </w:r>
            <w:r>
              <w:t xml:space="preserve"> </w:t>
            </w:r>
            <w:r>
              <w:rPr>
                <w:rFonts w:hint="eastAsia"/>
              </w:rPr>
              <w:t>单位：万元</w:t>
            </w:r>
          </w:p>
          <w:tbl>
            <w:tblPr>
              <w:tblStyle w:val="13"/>
              <w:tblW w:w="7959" w:type="dxa"/>
              <w:tblInd w:w="0" w:type="dxa"/>
              <w:tblLayout w:type="fixed"/>
              <w:tblCellMar>
                <w:top w:w="0" w:type="dxa"/>
                <w:left w:w="0" w:type="dxa"/>
                <w:bottom w:w="0" w:type="dxa"/>
                <w:right w:w="0" w:type="dxa"/>
              </w:tblCellMar>
            </w:tblPr>
            <w:tblGrid>
              <w:gridCol w:w="340"/>
              <w:gridCol w:w="340"/>
              <w:gridCol w:w="340"/>
              <w:gridCol w:w="4430"/>
              <w:gridCol w:w="919"/>
              <w:gridCol w:w="825"/>
              <w:gridCol w:w="765"/>
            </w:tblGrid>
            <w:tr>
              <w:tblPrEx>
                <w:tblCellMar>
                  <w:top w:w="0" w:type="dxa"/>
                  <w:left w:w="0" w:type="dxa"/>
                  <w:bottom w:w="0" w:type="dxa"/>
                  <w:right w:w="0" w:type="dxa"/>
                </w:tblCellMar>
              </w:tblPrEx>
              <w:trPr>
                <w:trHeight w:val="312" w:hRule="atLeast"/>
              </w:trPr>
              <w:tc>
                <w:tcPr>
                  <w:tcW w:w="1020"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4430" w:type="dxa"/>
                  <w:vMerge w:val="restart"/>
                  <w:tcBorders>
                    <w:top w:val="single" w:color="000000"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919" w:type="dxa"/>
                  <w:vMerge w:val="restart"/>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决算金额</w:t>
                  </w:r>
                </w:p>
              </w:tc>
              <w:tc>
                <w:tcPr>
                  <w:tcW w:w="825" w:type="dxa"/>
                  <w:vMerge w:val="restart"/>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预算金额</w:t>
                  </w:r>
                </w:p>
              </w:tc>
              <w:tc>
                <w:tcPr>
                  <w:tcW w:w="765" w:type="dxa"/>
                  <w:vMerge w:val="restart"/>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完成预算任务的%</w:t>
                  </w:r>
                </w:p>
              </w:tc>
            </w:tr>
            <w:tr>
              <w:tblPrEx>
                <w:tblCellMar>
                  <w:top w:w="0" w:type="dxa"/>
                  <w:left w:w="0" w:type="dxa"/>
                  <w:bottom w:w="0" w:type="dxa"/>
                  <w:right w:w="0" w:type="dxa"/>
                </w:tblCellMar>
              </w:tblPrEx>
              <w:trPr>
                <w:trHeight w:val="312" w:hRule="atLeast"/>
              </w:trPr>
              <w:tc>
                <w:tcPr>
                  <w:tcW w:w="1020"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4430" w:type="dxa"/>
                  <w:vMerge w:val="continue"/>
                  <w:tcBorders>
                    <w:top w:val="single" w:color="000000"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919"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76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12" w:hRule="atLeast"/>
              </w:trPr>
              <w:tc>
                <w:tcPr>
                  <w:tcW w:w="1020"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4430" w:type="dxa"/>
                  <w:vMerge w:val="continue"/>
                  <w:tcBorders>
                    <w:top w:val="single" w:color="000000"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919"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76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12" w:hRule="atLeast"/>
              </w:trPr>
              <w:tc>
                <w:tcPr>
                  <w:tcW w:w="1020"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4430" w:type="dxa"/>
                  <w:vMerge w:val="continue"/>
                  <w:tcBorders>
                    <w:top w:val="single" w:color="000000" w:sz="4" w:space="0"/>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919"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82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c>
                <w:tcPr>
                  <w:tcW w:w="765" w:type="dxa"/>
                  <w:vMerge w:val="continue"/>
                  <w:tcBorders>
                    <w:top w:val="single" w:color="000000" w:sz="4" w:space="0"/>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285" w:hRule="atLeast"/>
              </w:trPr>
              <w:tc>
                <w:tcPr>
                  <w:tcW w:w="340" w:type="dxa"/>
                  <w:vMerge w:val="restart"/>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类</w:t>
                  </w:r>
                </w:p>
              </w:tc>
              <w:tc>
                <w:tcPr>
                  <w:tcW w:w="34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款</w:t>
                  </w:r>
                </w:p>
              </w:tc>
              <w:tc>
                <w:tcPr>
                  <w:tcW w:w="34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4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9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8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7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tblCellMar>
                  <w:top w:w="0" w:type="dxa"/>
                  <w:left w:w="0" w:type="dxa"/>
                  <w:bottom w:w="0" w:type="dxa"/>
                  <w:right w:w="0" w:type="dxa"/>
                </w:tblCellMar>
              </w:tblPrEx>
              <w:trPr>
                <w:trHeight w:val="285" w:hRule="atLeast"/>
              </w:trPr>
              <w:tc>
                <w:tcPr>
                  <w:tcW w:w="340" w:type="dxa"/>
                  <w:vMerge w:val="continue"/>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34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34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cs="宋体"/>
                      <w:color w:val="000000"/>
                      <w:sz w:val="22"/>
                      <w:szCs w:val="22"/>
                    </w:rPr>
                  </w:pPr>
                </w:p>
              </w:tc>
              <w:tc>
                <w:tcPr>
                  <w:tcW w:w="4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919.09</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919.09</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一般公共服务支出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314.15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314.15</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人大事务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10.64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10.64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2010102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2010108</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代表工作</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8.48</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8.48</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政府办公厅（室）及相关机构事务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278.35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278.35</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186.13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186.13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18.20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18.20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2010350</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事业运行</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65.76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65.76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其他政府办公厅（室）及相关机构事务支出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8.26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20105</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统计信息事务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3.15</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2010507</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专项普查活动</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3.15</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20110</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人力资源事务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2011099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其他人力资源事务支出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18.56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20111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纪检监察事务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2011102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2.55</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20129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群众团体事务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2012902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0.90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公共安全支出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公安</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2040299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其他公安支出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1.02</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20406</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司法</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0.24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0.24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2040610</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社区矫正</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0.24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0.24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文化旅游体育与传媒支出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7.27</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文化和旅游</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2070199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其他文化和旅游支出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20708</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广播电视</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2070899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其他广播电视支出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1.27</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98.14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98.14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民政管理事务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39.64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39.64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2080208</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基层政权建设和社区治理</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39.64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39.64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41.41</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41.41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27.45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27.45</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13.96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13.96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抚恤</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2080899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其他优抚支出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20811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残疾人事业</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2.91</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2081199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其他残疾人事业支出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2.91</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20820</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临时救助</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2082001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临时救助支出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12.64</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12.98</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12.98</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10.81</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10.81</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7.53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事业单位医疗</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3.28</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3.28</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其他卫生健康支出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2109901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其他卫生健康支出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2.17</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农林水支出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419.20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419.20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农业农村</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12.57</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2130199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其他农业农村支出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12.57</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扶贫</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30.50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30.50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2130599</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其他扶贫支出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30.50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30.50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21307</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农村综合改革</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376.13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376.13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2130705</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对村民委员会和村党支部的补助</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376.13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376.13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38.23</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224</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灾害防治及应急管理支出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22401</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应急管理事务</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2240108</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应急救援</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19.86</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234</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抗疫特别国债安排的支出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23402</w:t>
                  </w: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抗疫相关支出</w:t>
                  </w: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2340299</w:t>
                  </w:r>
                </w:p>
              </w:tc>
              <w:tc>
                <w:tcPr>
                  <w:tcW w:w="4430" w:type="dxa"/>
                  <w:tcBorders>
                    <w:top w:val="nil"/>
                    <w:left w:val="nil"/>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其他抗疫相关支出</w:t>
                  </w:r>
                </w:p>
              </w:tc>
              <w:tc>
                <w:tcPr>
                  <w:tcW w:w="919" w:type="dxa"/>
                  <w:tcBorders>
                    <w:top w:val="nil"/>
                    <w:left w:val="nil"/>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825" w:type="dxa"/>
                  <w:tcBorders>
                    <w:top w:val="nil"/>
                    <w:left w:val="nil"/>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765" w:type="dxa"/>
                  <w:tcBorders>
                    <w:top w:val="nil"/>
                    <w:left w:val="nil"/>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100%</w:t>
                  </w:r>
                </w:p>
              </w:tc>
            </w:tr>
            <w:tr>
              <w:tblPrEx>
                <w:tblCellMar>
                  <w:top w:w="0" w:type="dxa"/>
                  <w:left w:w="0" w:type="dxa"/>
                  <w:bottom w:w="0" w:type="dxa"/>
                  <w:right w:w="0" w:type="dxa"/>
                </w:tblCellMar>
              </w:tblPrEx>
              <w:trPr>
                <w:trHeight w:val="285"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2"/>
                      <w:szCs w:val="22"/>
                    </w:rPr>
                  </w:pPr>
                </w:p>
              </w:tc>
              <w:tc>
                <w:tcPr>
                  <w:tcW w:w="4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2"/>
                      <w:szCs w:val="22"/>
                    </w:rPr>
                  </w:pPr>
                </w:p>
              </w:tc>
              <w:tc>
                <w:tcPr>
                  <w:tcW w:w="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c>
                <w:tcPr>
                  <w:tcW w:w="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kern w:val="0"/>
                      <w:sz w:val="22"/>
                      <w:szCs w:val="22"/>
                    </w:rPr>
                  </w:pPr>
                </w:p>
              </w:tc>
            </w:tr>
          </w:tbl>
          <w:p/>
        </w:tc>
      </w:tr>
    </w:tbl>
    <w:p>
      <w:pPr>
        <w:tabs>
          <w:tab w:val="right" w:pos="8306"/>
        </w:tabs>
        <w:spacing w:line="600" w:lineRule="exact"/>
        <w:ind w:firstLine="640"/>
        <w:outlineLvl w:val="1"/>
        <w:rPr>
          <w:rStyle w:val="18"/>
        </w:rPr>
      </w:pPr>
      <w:bookmarkStart w:id="34" w:name="_Toc15377214"/>
      <w:bookmarkStart w:id="35" w:name="_Toc15396608"/>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18"/>
          <w:rFonts w:hint="eastAsia" w:ascii="黑体" w:hAnsi="黑体" w:eastAsia="黑体" w:cs="黑体"/>
          <w:b w:val="0"/>
          <w:bCs w:val="0"/>
        </w:rPr>
        <w:t>般公共预算财政拨款基本支出决算情况说明</w:t>
      </w:r>
      <w:bookmarkEnd w:id="34"/>
      <w:bookmarkEnd w:id="35"/>
      <w:r>
        <w:rPr>
          <w:rStyle w:val="18"/>
          <w:rFonts w:ascii="黑体" w:hAnsi="黑体" w:eastAsia="黑体" w:cs="Times New Roman"/>
          <w:b w:val="0"/>
          <w:bCs w:val="0"/>
        </w:rPr>
        <w:tab/>
      </w:r>
    </w:p>
    <w:p>
      <w:pPr>
        <w:spacing w:line="600" w:lineRule="exact"/>
        <w:ind w:firstLine="645"/>
        <w:rPr>
          <w:rFonts w:ascii="仿宋_GB2312" w:hAnsi="仿宋" w:eastAsia="仿宋_GB2312"/>
          <w:color w:val="000000"/>
          <w:sz w:val="32"/>
          <w:szCs w:val="32"/>
        </w:rPr>
      </w:pPr>
      <w:r>
        <w:rPr>
          <w:rFonts w:hint="eastAsia" w:ascii="仿宋_GB2312" w:hAnsi="仿宋" w:eastAsia="仿宋_GB2312" w:cs="仿宋"/>
          <w:color w:val="000000"/>
          <w:sz w:val="32"/>
          <w:szCs w:val="32"/>
        </w:rPr>
        <w:t>2020年一般公共预算财政拨款基本支出346.79万元，其中：</w:t>
      </w:r>
    </w:p>
    <w:p>
      <w:pPr>
        <w:spacing w:line="600" w:lineRule="exact"/>
        <w:ind w:firstLine="645"/>
        <w:rPr>
          <w:rFonts w:ascii="仿宋_GB2312" w:hAnsi="仿宋" w:eastAsia="仿宋_GB2312"/>
          <w:color w:val="FF0000"/>
          <w:sz w:val="32"/>
          <w:szCs w:val="32"/>
        </w:rPr>
      </w:pPr>
      <w:r>
        <w:rPr>
          <w:rFonts w:hint="eastAsia" w:ascii="仿宋_GB2312" w:hAnsi="仿宋" w:eastAsia="仿宋_GB2312" w:cs="仿宋"/>
          <w:color w:val="000000" w:themeColor="text1"/>
          <w:sz w:val="32"/>
          <w:szCs w:val="32"/>
        </w:rPr>
        <w:t>人员经费289.89万元，主要包括：基本工资91.58万元、津贴补贴52.28万元、奖金5.57万元、伙食补助费7万元、绩效工资37.1万元、机关事业单位基本养老保险缴费27.45万元、职业年金缴费13.96万元、职工基本医疗缴费10.81万元、其他社会保障缴费4.28万元、抚恤金1.54万元、奖励金0.09万元、住房公积金38.24万元等。（合计是289.9万元）</w:t>
      </w:r>
      <w:r>
        <w:rPr>
          <w:rFonts w:hint="eastAsia" w:ascii="仿宋_GB2312" w:hAnsi="仿宋" w:eastAsia="仿宋_GB2312" w:cs="仿宋"/>
          <w:color w:val="000000" w:themeColor="text1"/>
          <w:sz w:val="32"/>
          <w:szCs w:val="32"/>
        </w:rPr>
        <w:br w:type="textWrapping"/>
      </w:r>
      <w:r>
        <w:rPr>
          <w:rFonts w:hint="eastAsia" w:ascii="仿宋_GB2312" w:hAnsi="仿宋" w:eastAsia="仿宋_GB2312" w:cs="仿宋"/>
          <w:color w:val="000000"/>
          <w:sz w:val="32"/>
          <w:szCs w:val="32"/>
        </w:rPr>
        <w:t>　　</w:t>
      </w:r>
      <w:r>
        <w:rPr>
          <w:rFonts w:hint="eastAsia" w:ascii="仿宋_GB2312" w:hAnsi="仿宋" w:eastAsia="仿宋_GB2312" w:cs="仿宋"/>
          <w:color w:val="000000" w:themeColor="text1"/>
          <w:sz w:val="32"/>
          <w:szCs w:val="32"/>
        </w:rPr>
        <w:t>公用经费56.9万元，主要包括：办公费2.1万元、水费0.8万元、电费2.77万元、邮电费2.02万元、差旅费16.52万元、维修（护）费1.38万元、会议费2万元、培训费0万元、公务接待费1.59万元、劳务费0.23万元、工会经费3.52万元、福利费4.18万元、公务用车运行维护费2.68万元、其他交通费12.51万元、其他商品和服务支出4.6万元、其他资本性支出0万元等。（合计是52.72万元）</w:t>
      </w:r>
    </w:p>
    <w:p>
      <w:pPr>
        <w:spacing w:line="600" w:lineRule="exact"/>
        <w:ind w:firstLine="640"/>
        <w:outlineLvl w:val="1"/>
        <w:rPr>
          <w:rStyle w:val="18"/>
          <w:rFonts w:ascii="黑体" w:hAnsi="黑体" w:eastAsia="黑体" w:cs="Times New Roman"/>
          <w:b w:val="0"/>
          <w:bCs w:val="0"/>
        </w:rPr>
      </w:pPr>
      <w:bookmarkStart w:id="36" w:name="_Toc15377215"/>
      <w:bookmarkStart w:id="37" w:name="_Toc15396609"/>
      <w:r>
        <w:rPr>
          <w:rFonts w:hint="eastAsia" w:ascii="黑体" w:eastAsia="黑体" w:cs="黑体"/>
          <w:color w:val="000000"/>
          <w:sz w:val="32"/>
          <w:szCs w:val="32"/>
        </w:rPr>
        <w:t>七、</w:t>
      </w:r>
      <w:r>
        <w:rPr>
          <w:rStyle w:val="18"/>
          <w:rFonts w:hint="eastAsia" w:ascii="黑体" w:hAnsi="黑体" w:eastAsia="黑体" w:cs="黑体"/>
        </w:rPr>
        <w:t>“</w:t>
      </w:r>
      <w:r>
        <w:rPr>
          <w:rStyle w:val="18"/>
          <w:rFonts w:hint="eastAsia" w:ascii="黑体" w:hAnsi="黑体" w:eastAsia="黑体" w:cs="黑体"/>
          <w:b w:val="0"/>
          <w:bCs w:val="0"/>
        </w:rPr>
        <w:t>三公”经费财政拨款支出决算情况说明</w:t>
      </w:r>
      <w:bookmarkEnd w:id="36"/>
      <w:bookmarkEnd w:id="37"/>
    </w:p>
    <w:p>
      <w:pPr>
        <w:spacing w:line="600" w:lineRule="exact"/>
        <w:ind w:firstLine="640"/>
        <w:outlineLvl w:val="2"/>
        <w:rPr>
          <w:rFonts w:ascii="楷体_GB2312" w:hAnsi="仿宋" w:eastAsia="楷体_GB2312"/>
          <w:bCs/>
          <w:color w:val="000000"/>
          <w:sz w:val="32"/>
          <w:szCs w:val="32"/>
        </w:rPr>
      </w:pPr>
      <w:bookmarkStart w:id="38" w:name="_Toc15377216"/>
      <w:r>
        <w:rPr>
          <w:rFonts w:hint="eastAsia" w:ascii="楷体_GB2312" w:hAnsi="仿宋" w:eastAsia="楷体_GB2312" w:cs="仿宋"/>
          <w:bCs/>
          <w:color w:val="000000"/>
          <w:sz w:val="32"/>
          <w:szCs w:val="32"/>
        </w:rPr>
        <w:t>（一）“三公”经费财政拨款支出决算总体情况说明</w:t>
      </w:r>
      <w:bookmarkEnd w:id="38"/>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
          <w:color w:val="000000"/>
          <w:sz w:val="32"/>
          <w:szCs w:val="32"/>
        </w:rPr>
        <w:t>2020年“三公”经费财政拨款支出决算为4.27万元，完成预算100%，与预算数持平。</w:t>
      </w:r>
    </w:p>
    <w:p>
      <w:pPr>
        <w:spacing w:line="600" w:lineRule="exact"/>
        <w:ind w:firstLine="640"/>
        <w:outlineLvl w:val="2"/>
        <w:rPr>
          <w:rFonts w:ascii="楷体_GB2312" w:hAnsi="仿宋" w:eastAsia="楷体_GB2312" w:cs="仿宋"/>
          <w:bCs/>
          <w:color w:val="000000"/>
          <w:sz w:val="32"/>
          <w:szCs w:val="32"/>
        </w:rPr>
      </w:pPr>
      <w:bookmarkStart w:id="39" w:name="_Toc15377217"/>
      <w:r>
        <w:rPr>
          <w:rFonts w:hint="eastAsia" w:ascii="楷体_GB2312" w:hAnsi="仿宋" w:eastAsia="楷体_GB2312" w:cs="仿宋"/>
          <w:bCs/>
          <w:color w:val="000000"/>
          <w:sz w:val="32"/>
          <w:szCs w:val="32"/>
        </w:rPr>
        <w:t>（二）“三公”经费财政拨款支出决算具体情况说明</w:t>
      </w:r>
      <w:bookmarkEnd w:id="39"/>
    </w:p>
    <w:p>
      <w:pPr>
        <w:spacing w:line="60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2020年“三公”经费财政拨款支出决算中，因公出国（境）费支出决算</w:t>
      </w:r>
      <w:r>
        <w:rPr>
          <w:rFonts w:ascii="仿宋_GB2312" w:hAnsi="仿宋" w:eastAsia="仿宋_GB2312" w:cs="仿宋"/>
          <w:color w:val="000000"/>
          <w:sz w:val="32"/>
          <w:szCs w:val="32"/>
        </w:rPr>
        <w:t>0</w:t>
      </w:r>
      <w:r>
        <w:rPr>
          <w:rFonts w:hint="eastAsia" w:ascii="仿宋_GB2312" w:hAnsi="仿宋" w:eastAsia="仿宋_GB2312" w:cs="仿宋"/>
          <w:color w:val="000000"/>
          <w:sz w:val="32"/>
          <w:szCs w:val="32"/>
        </w:rPr>
        <w:t>万元，占</w:t>
      </w:r>
      <w:r>
        <w:rPr>
          <w:rFonts w:ascii="仿宋_GB2312" w:hAnsi="仿宋" w:eastAsia="仿宋_GB2312" w:cs="仿宋"/>
          <w:color w:val="000000"/>
          <w:sz w:val="32"/>
          <w:szCs w:val="32"/>
        </w:rPr>
        <w:t>0%</w:t>
      </w:r>
      <w:r>
        <w:rPr>
          <w:rFonts w:hint="eastAsia" w:ascii="仿宋_GB2312" w:hAnsi="仿宋" w:eastAsia="仿宋_GB2312" w:cs="仿宋"/>
          <w:color w:val="000000"/>
          <w:sz w:val="32"/>
          <w:szCs w:val="32"/>
        </w:rPr>
        <w:t>；公务用车购置及运行维护费支出决算2.68万元，占6</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；公务接待费支出决算1.59万元，占37</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。具体情况如下：</w:t>
      </w:r>
    </w:p>
    <w:p>
      <w:pPr>
        <w:spacing w:line="600" w:lineRule="exact"/>
        <w:ind w:firstLine="640"/>
        <w:rPr>
          <w:rFonts w:ascii="仿宋_GB2312" w:eastAsia="仿宋_GB2312" w:cs="仿宋_GB2312"/>
          <w:b/>
          <w:bCs/>
          <w:color w:val="000000"/>
          <w:sz w:val="32"/>
          <w:szCs w:val="32"/>
        </w:rPr>
      </w:pPr>
      <w:r>
        <w:rPr>
          <w:rFonts w:ascii="仿宋_GB2312" w:eastAsia="仿宋_GB2312" w:cs="仿宋_GB2312"/>
          <w:b/>
          <w:bCs/>
          <w:color w:val="000000"/>
          <w:sz w:val="32"/>
          <w:szCs w:val="32"/>
        </w:rPr>
        <w:drawing>
          <wp:anchor distT="0" distB="0" distL="114300" distR="114300" simplePos="0" relativeHeight="251665408" behindDoc="0" locked="0" layoutInCell="1" allowOverlap="1">
            <wp:simplePos x="0" y="0"/>
            <wp:positionH relativeFrom="column">
              <wp:posOffset>428625</wp:posOffset>
            </wp:positionH>
            <wp:positionV relativeFrom="paragraph">
              <wp:posOffset>104775</wp:posOffset>
            </wp:positionV>
            <wp:extent cx="4667250" cy="3657600"/>
            <wp:effectExtent l="19050" t="0" r="0" b="0"/>
            <wp:wrapSquare wrapText="bothSides"/>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noChangeArrowheads="1"/>
                    </pic:cNvPicPr>
                  </pic:nvPicPr>
                  <pic:blipFill>
                    <a:blip r:embed="rId12"/>
                    <a:srcRect/>
                    <a:stretch>
                      <a:fillRect/>
                    </a:stretch>
                  </pic:blipFill>
                  <pic:spPr>
                    <a:xfrm>
                      <a:off x="0" y="0"/>
                      <a:ext cx="4667250" cy="3657600"/>
                    </a:xfrm>
                    <a:prstGeom prst="rect">
                      <a:avLst/>
                    </a:prstGeom>
                    <a:noFill/>
                    <a:ln w="9525">
                      <a:noFill/>
                      <a:miter lim="800000"/>
                      <a:headEnd/>
                      <a:tailEnd/>
                    </a:ln>
                  </pic:spPr>
                </pic:pic>
              </a:graphicData>
            </a:graphic>
          </wp:anchor>
        </w:drawing>
      </w:r>
    </w:p>
    <w:p>
      <w:pPr>
        <w:spacing w:line="600" w:lineRule="exact"/>
        <w:ind w:firstLine="640"/>
        <w:rPr>
          <w:rFonts w:ascii="仿宋_GB2312" w:eastAsia="仿宋_GB2312" w:cs="仿宋_GB2312"/>
          <w:b/>
          <w:bCs/>
          <w:color w:val="000000"/>
          <w:sz w:val="32"/>
          <w:szCs w:val="32"/>
        </w:rPr>
      </w:pPr>
    </w:p>
    <w:p>
      <w:pPr>
        <w:spacing w:line="600" w:lineRule="exact"/>
        <w:ind w:firstLine="640"/>
        <w:rPr>
          <w:rFonts w:ascii="仿宋_GB2312" w:eastAsia="仿宋_GB2312" w:cs="仿宋_GB2312"/>
          <w:b/>
          <w:bCs/>
          <w:color w:val="000000"/>
          <w:sz w:val="32"/>
          <w:szCs w:val="32"/>
        </w:rPr>
      </w:pPr>
    </w:p>
    <w:p>
      <w:pPr>
        <w:spacing w:line="600" w:lineRule="exact"/>
        <w:ind w:firstLine="640"/>
        <w:rPr>
          <w:rFonts w:ascii="仿宋_GB2312" w:eastAsia="仿宋_GB2312" w:cs="仿宋_GB2312"/>
          <w:b/>
          <w:bCs/>
          <w:color w:val="000000"/>
          <w:sz w:val="32"/>
          <w:szCs w:val="32"/>
        </w:rPr>
      </w:pPr>
    </w:p>
    <w:p>
      <w:pPr>
        <w:spacing w:line="600" w:lineRule="exact"/>
        <w:ind w:firstLine="640"/>
        <w:rPr>
          <w:rFonts w:ascii="仿宋_GB2312" w:eastAsia="仿宋_GB2312" w:cs="仿宋_GB2312"/>
          <w:b/>
          <w:bCs/>
          <w:color w:val="000000"/>
          <w:sz w:val="32"/>
          <w:szCs w:val="32"/>
        </w:rPr>
      </w:pPr>
    </w:p>
    <w:p>
      <w:pPr>
        <w:spacing w:line="600" w:lineRule="exact"/>
        <w:ind w:firstLine="640"/>
        <w:rPr>
          <w:rFonts w:ascii="仿宋_GB2312" w:eastAsia="仿宋_GB2312" w:cs="仿宋_GB2312"/>
          <w:b/>
          <w:bCs/>
          <w:color w:val="000000"/>
          <w:sz w:val="32"/>
          <w:szCs w:val="32"/>
        </w:rPr>
      </w:pPr>
    </w:p>
    <w:p>
      <w:pPr>
        <w:spacing w:line="600" w:lineRule="exact"/>
        <w:ind w:firstLine="640"/>
        <w:rPr>
          <w:rFonts w:ascii="仿宋_GB2312" w:eastAsia="仿宋_GB2312" w:cs="仿宋_GB2312"/>
          <w:b/>
          <w:bCs/>
          <w:color w:val="000000"/>
          <w:sz w:val="32"/>
          <w:szCs w:val="32"/>
        </w:rPr>
      </w:pPr>
    </w:p>
    <w:p>
      <w:pPr>
        <w:spacing w:line="600" w:lineRule="exact"/>
        <w:ind w:firstLine="640"/>
        <w:rPr>
          <w:rFonts w:ascii="仿宋_GB2312" w:eastAsia="仿宋_GB2312" w:cs="仿宋_GB2312"/>
          <w:b/>
          <w:bCs/>
          <w:color w:val="000000"/>
          <w:sz w:val="32"/>
          <w:szCs w:val="32"/>
        </w:rPr>
      </w:pPr>
    </w:p>
    <w:p>
      <w:pPr>
        <w:spacing w:line="600" w:lineRule="exact"/>
        <w:ind w:firstLine="640"/>
        <w:rPr>
          <w:rFonts w:ascii="仿宋_GB2312" w:eastAsia="仿宋_GB2312" w:cs="仿宋_GB2312"/>
          <w:b/>
          <w:bCs/>
          <w:color w:val="000000"/>
          <w:sz w:val="32"/>
          <w:szCs w:val="32"/>
        </w:rPr>
      </w:pPr>
    </w:p>
    <w:p>
      <w:pPr>
        <w:spacing w:line="600" w:lineRule="exact"/>
        <w:ind w:firstLine="640"/>
        <w:rPr>
          <w:rFonts w:hint="eastAsia" w:ascii="仿宋_GB2312" w:eastAsia="仿宋_GB2312" w:cs="仿宋_GB2312"/>
          <w:b/>
          <w:bCs/>
          <w:color w:val="000000"/>
          <w:sz w:val="32"/>
          <w:szCs w:val="32"/>
        </w:rPr>
      </w:pPr>
    </w:p>
    <w:p>
      <w:pPr>
        <w:spacing w:line="600" w:lineRule="exact"/>
        <w:ind w:firstLine="640"/>
        <w:rPr>
          <w:rFonts w:ascii="仿宋_GB2312" w:eastAsia="仿宋_GB2312"/>
          <w:b/>
          <w:bCs/>
          <w:color w:val="000000"/>
          <w:sz w:val="32"/>
          <w:szCs w:val="32"/>
        </w:rPr>
      </w:pPr>
      <w:r>
        <w:rPr>
          <w:rFonts w:hint="eastAsia" w:ascii="仿宋_GB2312" w:eastAsia="仿宋_GB2312" w:cs="仿宋_GB2312"/>
          <w:b/>
          <w:bCs/>
          <w:color w:val="000000"/>
          <w:sz w:val="32"/>
          <w:szCs w:val="32"/>
        </w:rPr>
        <w:t>1.因公出国（境）经费</w:t>
      </w:r>
      <w:r>
        <w:rPr>
          <w:rFonts w:hint="eastAsia" w:ascii="仿宋_GB2312" w:eastAsia="仿宋_GB2312" w:cs="仿宋_GB2312"/>
          <w:bCs/>
          <w:color w:val="000000"/>
          <w:sz w:val="32"/>
          <w:szCs w:val="32"/>
        </w:rPr>
        <w:t>支出</w:t>
      </w:r>
      <w:r>
        <w:rPr>
          <w:rFonts w:hint="eastAsia" w:ascii="仿宋_GB2312" w:eastAsia="仿宋_GB2312" w:cs="仿宋_GB2312"/>
          <w:color w:val="000000"/>
          <w:sz w:val="32"/>
          <w:szCs w:val="32"/>
        </w:rPr>
        <w:t>0万元，</w:t>
      </w:r>
      <w:r>
        <w:rPr>
          <w:rStyle w:val="15"/>
          <w:rFonts w:hint="eastAsia" w:ascii="仿宋_GB2312" w:hAnsi="仿宋" w:eastAsia="仿宋_GB2312" w:cs="仿宋"/>
          <w:b w:val="0"/>
          <w:bCs w:val="0"/>
          <w:color w:val="000000"/>
          <w:sz w:val="32"/>
          <w:szCs w:val="32"/>
        </w:rPr>
        <w:t>完成预算100%。</w:t>
      </w:r>
      <w:r>
        <w:rPr>
          <w:rFonts w:hint="eastAsia" w:ascii="仿宋_GB2312" w:hAnsi="仿宋" w:eastAsia="仿宋_GB2312" w:cs="仿宋"/>
          <w:color w:val="000000"/>
          <w:sz w:val="32"/>
          <w:szCs w:val="32"/>
        </w:rPr>
        <w:t>全年安排因公出国（境）团组0次，出国（境）0人。因公出国（境）支出决算比2019年增加/减少0万元，增长/下降0%。</w:t>
      </w:r>
    </w:p>
    <w:p>
      <w:pPr>
        <w:spacing w:line="600" w:lineRule="exact"/>
        <w:ind w:firstLine="640"/>
        <w:rPr>
          <w:rFonts w:ascii="仿宋_GB2312" w:eastAsia="仿宋_GB2312" w:cs="仿宋_GB2312"/>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w:t>
      </w:r>
      <w:r>
        <w:rPr>
          <w:rFonts w:hint="eastAsia" w:ascii="仿宋_GB2312" w:eastAsia="仿宋_GB2312" w:cs="仿宋_GB2312"/>
          <w:bCs/>
          <w:color w:val="000000"/>
          <w:sz w:val="32"/>
          <w:szCs w:val="32"/>
        </w:rPr>
        <w:t>支出</w:t>
      </w:r>
      <w:r>
        <w:rPr>
          <w:rFonts w:ascii="仿宋_GB2312" w:eastAsia="仿宋_GB2312" w:cs="仿宋_GB2312"/>
          <w:bCs/>
          <w:color w:val="000000"/>
          <w:sz w:val="32"/>
          <w:szCs w:val="32"/>
        </w:rPr>
        <w:t>2.</w:t>
      </w:r>
      <w:r>
        <w:rPr>
          <w:rFonts w:hint="eastAsia" w:ascii="仿宋_GB2312" w:eastAsia="仿宋_GB2312" w:cs="仿宋_GB2312"/>
          <w:bCs/>
          <w:color w:val="000000"/>
          <w:sz w:val="32"/>
          <w:szCs w:val="32"/>
        </w:rPr>
        <w:t>68万元</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完成预算</w:t>
      </w:r>
      <w:r>
        <w:rPr>
          <w:rFonts w:ascii="仿宋_GB2312" w:eastAsia="仿宋_GB2312" w:cs="仿宋_GB2312"/>
          <w:bCs/>
          <w:color w:val="000000"/>
          <w:sz w:val="32"/>
          <w:szCs w:val="32"/>
        </w:rPr>
        <w:t>100%</w:t>
      </w:r>
      <w:r>
        <w:rPr>
          <w:rFonts w:hint="eastAsia" w:ascii="仿宋_GB2312" w:eastAsia="仿宋_GB2312" w:cs="仿宋_GB2312"/>
          <w:bCs/>
          <w:color w:val="000000"/>
          <w:sz w:val="32"/>
          <w:szCs w:val="32"/>
        </w:rPr>
        <w:t>。公务用车购置及运行维护费支出决算比</w:t>
      </w:r>
      <w:r>
        <w:rPr>
          <w:rFonts w:ascii="仿宋_GB2312" w:eastAsia="仿宋_GB2312" w:cs="仿宋_GB2312"/>
          <w:bCs/>
          <w:color w:val="000000"/>
          <w:sz w:val="32"/>
          <w:szCs w:val="32"/>
        </w:rPr>
        <w:t>2018</w:t>
      </w:r>
      <w:r>
        <w:rPr>
          <w:rFonts w:hint="eastAsia" w:ascii="仿宋_GB2312" w:eastAsia="仿宋_GB2312" w:cs="仿宋_GB2312"/>
          <w:bCs/>
          <w:color w:val="000000"/>
          <w:sz w:val="32"/>
          <w:szCs w:val="32"/>
        </w:rPr>
        <w:t>年</w:t>
      </w:r>
      <w:r>
        <w:rPr>
          <w:rFonts w:ascii="仿宋_GB2312" w:eastAsia="仿宋_GB2312" w:cs="仿宋_GB2312"/>
          <w:bCs/>
          <w:color w:val="000000"/>
          <w:sz w:val="32"/>
          <w:szCs w:val="32"/>
        </w:rPr>
        <w:t>2.56</w:t>
      </w:r>
      <w:r>
        <w:rPr>
          <w:rFonts w:hint="eastAsia" w:ascii="仿宋_GB2312" w:eastAsia="仿宋_GB2312" w:cs="仿宋_GB2312"/>
          <w:bCs/>
          <w:color w:val="000000"/>
          <w:sz w:val="32"/>
          <w:szCs w:val="32"/>
        </w:rPr>
        <w:t>万元减少0.07万元，增长率3</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。主要原因是只有一辆公车，使用率较高。</w:t>
      </w:r>
    </w:p>
    <w:p>
      <w:pPr>
        <w:spacing w:line="600" w:lineRule="exact"/>
        <w:ind w:firstLine="640"/>
        <w:rPr>
          <w:rFonts w:ascii="仿宋_GB2312" w:eastAsia="仿宋_GB2312" w:cs="仿宋_GB2312"/>
          <w:bCs/>
          <w:color w:val="000000"/>
          <w:sz w:val="32"/>
          <w:szCs w:val="32"/>
        </w:rPr>
      </w:pPr>
      <w:r>
        <w:rPr>
          <w:rFonts w:hint="eastAsia" w:ascii="仿宋_GB2312" w:eastAsia="仿宋_GB2312" w:cs="仿宋_GB2312"/>
          <w:bCs/>
          <w:color w:val="000000"/>
          <w:sz w:val="32"/>
          <w:szCs w:val="32"/>
        </w:rPr>
        <w:t>其中：公务用车购置支出</w:t>
      </w:r>
      <w:r>
        <w:rPr>
          <w:rFonts w:ascii="仿宋_GB2312" w:eastAsia="仿宋_GB2312" w:cs="仿宋_GB2312"/>
          <w:bCs/>
          <w:color w:val="000000"/>
          <w:sz w:val="32"/>
          <w:szCs w:val="32"/>
        </w:rPr>
        <w:t>0</w:t>
      </w:r>
      <w:r>
        <w:rPr>
          <w:rFonts w:hint="eastAsia" w:ascii="仿宋_GB2312" w:eastAsia="仿宋_GB2312" w:cs="仿宋_GB2312"/>
          <w:bCs/>
          <w:color w:val="000000"/>
          <w:sz w:val="32"/>
          <w:szCs w:val="32"/>
        </w:rPr>
        <w:t>万元。全年按规定更新购置公务用车</w:t>
      </w:r>
      <w:r>
        <w:rPr>
          <w:rFonts w:ascii="仿宋_GB2312" w:eastAsia="仿宋_GB2312" w:cs="仿宋_GB2312"/>
          <w:bCs/>
          <w:color w:val="000000"/>
          <w:sz w:val="32"/>
          <w:szCs w:val="32"/>
        </w:rPr>
        <w:t>0</w:t>
      </w:r>
      <w:r>
        <w:rPr>
          <w:rFonts w:hint="eastAsia" w:ascii="仿宋_GB2312" w:eastAsia="仿宋_GB2312" w:cs="仿宋_GB2312"/>
          <w:bCs/>
          <w:color w:val="000000"/>
          <w:sz w:val="32"/>
          <w:szCs w:val="32"/>
        </w:rPr>
        <w:t>辆，金额</w:t>
      </w:r>
      <w:r>
        <w:rPr>
          <w:rFonts w:ascii="仿宋_GB2312" w:eastAsia="仿宋_GB2312" w:cs="仿宋_GB2312"/>
          <w:bCs/>
          <w:color w:val="000000"/>
          <w:sz w:val="32"/>
          <w:szCs w:val="32"/>
        </w:rPr>
        <w:t>0</w:t>
      </w:r>
      <w:r>
        <w:rPr>
          <w:rFonts w:hint="eastAsia" w:ascii="仿宋_GB2312" w:eastAsia="仿宋_GB2312" w:cs="仿宋_GB2312"/>
          <w:bCs/>
          <w:color w:val="000000"/>
          <w:sz w:val="32"/>
          <w:szCs w:val="32"/>
        </w:rPr>
        <w:t>元。截至2020年</w:t>
      </w:r>
      <w:r>
        <w:rPr>
          <w:rFonts w:ascii="仿宋_GB2312" w:eastAsia="仿宋_GB2312" w:cs="仿宋_GB2312"/>
          <w:bCs/>
          <w:color w:val="000000"/>
          <w:sz w:val="32"/>
          <w:szCs w:val="32"/>
        </w:rPr>
        <w:t>12</w:t>
      </w:r>
      <w:r>
        <w:rPr>
          <w:rFonts w:hint="eastAsia" w:ascii="仿宋_GB2312" w:eastAsia="仿宋_GB2312" w:cs="仿宋_GB2312"/>
          <w:bCs/>
          <w:color w:val="000000"/>
          <w:sz w:val="32"/>
          <w:szCs w:val="32"/>
        </w:rPr>
        <w:t>月底，单位共有公务用车</w:t>
      </w:r>
      <w:r>
        <w:rPr>
          <w:rFonts w:ascii="仿宋_GB2312" w:eastAsia="仿宋_GB2312" w:cs="仿宋_GB2312"/>
          <w:bCs/>
          <w:color w:val="000000"/>
          <w:sz w:val="32"/>
          <w:szCs w:val="32"/>
        </w:rPr>
        <w:t>1</w:t>
      </w:r>
      <w:r>
        <w:rPr>
          <w:rFonts w:hint="eastAsia" w:ascii="仿宋_GB2312" w:eastAsia="仿宋_GB2312" w:cs="仿宋_GB2312"/>
          <w:bCs/>
          <w:color w:val="000000"/>
          <w:sz w:val="32"/>
          <w:szCs w:val="32"/>
        </w:rPr>
        <w:t>辆，其中：主要领导干部用车</w:t>
      </w:r>
      <w:r>
        <w:rPr>
          <w:rFonts w:ascii="仿宋_GB2312" w:eastAsia="仿宋_GB2312" w:cs="仿宋_GB2312"/>
          <w:bCs/>
          <w:color w:val="000000"/>
          <w:sz w:val="32"/>
          <w:szCs w:val="32"/>
        </w:rPr>
        <w:t>0</w:t>
      </w:r>
      <w:r>
        <w:rPr>
          <w:rFonts w:hint="eastAsia" w:ascii="仿宋_GB2312" w:eastAsia="仿宋_GB2312" w:cs="仿宋_GB2312"/>
          <w:bCs/>
          <w:color w:val="000000"/>
          <w:sz w:val="32"/>
          <w:szCs w:val="32"/>
        </w:rPr>
        <w:t>辆、机要通信用车</w:t>
      </w:r>
      <w:r>
        <w:rPr>
          <w:rFonts w:ascii="仿宋_GB2312" w:eastAsia="仿宋_GB2312" w:cs="仿宋_GB2312"/>
          <w:bCs/>
          <w:color w:val="000000"/>
          <w:sz w:val="32"/>
          <w:szCs w:val="32"/>
        </w:rPr>
        <w:t>0</w:t>
      </w:r>
      <w:r>
        <w:rPr>
          <w:rFonts w:hint="eastAsia" w:ascii="仿宋_GB2312" w:eastAsia="仿宋_GB2312" w:cs="仿宋_GB2312"/>
          <w:bCs/>
          <w:color w:val="000000"/>
          <w:sz w:val="32"/>
          <w:szCs w:val="32"/>
        </w:rPr>
        <w:t>辆、应急保障用车</w:t>
      </w:r>
      <w:r>
        <w:rPr>
          <w:rFonts w:ascii="仿宋_GB2312" w:eastAsia="仿宋_GB2312" w:cs="仿宋_GB2312"/>
          <w:bCs/>
          <w:color w:val="000000"/>
          <w:sz w:val="32"/>
          <w:szCs w:val="32"/>
        </w:rPr>
        <w:t>1</w:t>
      </w:r>
      <w:r>
        <w:rPr>
          <w:rFonts w:hint="eastAsia" w:ascii="仿宋_GB2312" w:eastAsia="仿宋_GB2312" w:cs="仿宋_GB2312"/>
          <w:bCs/>
          <w:color w:val="000000"/>
          <w:sz w:val="32"/>
          <w:szCs w:val="32"/>
        </w:rPr>
        <w:t>辆、</w:t>
      </w:r>
      <w:r>
        <w:rPr>
          <w:rFonts w:ascii="仿宋_GB2312" w:eastAsia="仿宋_GB2312" w:cs="仿宋_GB2312"/>
          <w:bCs/>
          <w:color w:val="000000"/>
          <w:sz w:val="32"/>
          <w:szCs w:val="32"/>
        </w:rPr>
        <w:t xml:space="preserve"> </w:t>
      </w:r>
      <w:r>
        <w:rPr>
          <w:rFonts w:hint="eastAsia" w:ascii="仿宋_GB2312" w:eastAsia="仿宋_GB2312" w:cs="仿宋_GB2312"/>
          <w:bCs/>
          <w:color w:val="000000"/>
          <w:sz w:val="32"/>
          <w:szCs w:val="32"/>
        </w:rPr>
        <w:t>执法执勤用车</w:t>
      </w:r>
      <w:r>
        <w:rPr>
          <w:rFonts w:ascii="仿宋_GB2312" w:eastAsia="仿宋_GB2312" w:cs="仿宋_GB2312"/>
          <w:bCs/>
          <w:color w:val="000000"/>
          <w:sz w:val="32"/>
          <w:szCs w:val="32"/>
        </w:rPr>
        <w:t>0</w:t>
      </w:r>
      <w:r>
        <w:rPr>
          <w:rFonts w:hint="eastAsia" w:ascii="仿宋_GB2312" w:eastAsia="仿宋_GB2312" w:cs="仿宋_GB2312"/>
          <w:bCs/>
          <w:color w:val="000000"/>
          <w:sz w:val="32"/>
          <w:szCs w:val="32"/>
        </w:rPr>
        <w:t>辆。</w:t>
      </w:r>
    </w:p>
    <w:p>
      <w:pPr>
        <w:spacing w:line="600" w:lineRule="exact"/>
        <w:ind w:firstLine="640"/>
        <w:rPr>
          <w:rFonts w:ascii="仿宋_GB2312" w:eastAsia="仿宋_GB2312" w:cs="仿宋_GB2312"/>
          <w:bCs/>
          <w:color w:val="000000"/>
          <w:sz w:val="32"/>
          <w:szCs w:val="32"/>
        </w:rPr>
      </w:pPr>
      <w:r>
        <w:rPr>
          <w:rFonts w:hint="eastAsia" w:ascii="仿宋_GB2312" w:eastAsia="仿宋_GB2312" w:cs="仿宋_GB2312"/>
          <w:bCs/>
          <w:color w:val="000000"/>
          <w:sz w:val="32"/>
          <w:szCs w:val="32"/>
        </w:rPr>
        <w:t>公务用车运行维护费支出</w:t>
      </w:r>
      <w:r>
        <w:rPr>
          <w:rFonts w:ascii="仿宋_GB2312" w:eastAsia="仿宋_GB2312" w:cs="仿宋_GB2312"/>
          <w:bCs/>
          <w:color w:val="000000"/>
          <w:sz w:val="32"/>
          <w:szCs w:val="32"/>
        </w:rPr>
        <w:t>2.</w:t>
      </w:r>
      <w:r>
        <w:rPr>
          <w:rFonts w:hint="eastAsia" w:ascii="仿宋_GB2312" w:eastAsia="仿宋_GB2312" w:cs="仿宋_GB2312"/>
          <w:bCs/>
          <w:color w:val="000000"/>
          <w:sz w:val="32"/>
          <w:szCs w:val="32"/>
        </w:rPr>
        <w:t>68万元。主要用于行政公务如：扶贫、公文交接等所需的公务用车燃料费、维修费、过路过桥费、保险费等支出。</w:t>
      </w:r>
    </w:p>
    <w:p>
      <w:pPr>
        <w:spacing w:line="600" w:lineRule="exact"/>
        <w:ind w:firstLine="640"/>
        <w:rPr>
          <w:rFonts w:ascii="仿宋_GB2312" w:eastAsia="仿宋_GB2312" w:cs="仿宋_GB2312"/>
          <w:bCs/>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公务接待费</w:t>
      </w:r>
      <w:r>
        <w:rPr>
          <w:rFonts w:hint="eastAsia" w:ascii="仿宋_GB2312" w:eastAsia="仿宋_GB2312" w:cs="仿宋_GB2312"/>
          <w:bCs/>
          <w:color w:val="000000"/>
          <w:sz w:val="32"/>
          <w:szCs w:val="32"/>
        </w:rPr>
        <w:t>支出1.59万元，</w:t>
      </w:r>
      <w:r>
        <w:rPr>
          <w:rFonts w:hint="eastAsia" w:ascii="仿宋_GB2312" w:eastAsia="仿宋_GB2312" w:cs="仿宋_GB2312"/>
          <w:sz w:val="32"/>
          <w:szCs w:val="32"/>
        </w:rPr>
        <w:t>完成预</w:t>
      </w:r>
      <w:r>
        <w:rPr>
          <w:rFonts w:hint="eastAsia" w:ascii="仿宋_GB2312" w:eastAsia="仿宋_GB2312" w:cs="仿宋_GB2312"/>
          <w:bCs/>
          <w:color w:val="000000"/>
          <w:sz w:val="32"/>
          <w:szCs w:val="32"/>
        </w:rPr>
        <w:t>算</w:t>
      </w:r>
      <w:r>
        <w:rPr>
          <w:rFonts w:ascii="仿宋_GB2312" w:eastAsia="仿宋_GB2312" w:cs="仿宋_GB2312"/>
          <w:bCs/>
          <w:color w:val="000000"/>
          <w:sz w:val="32"/>
          <w:szCs w:val="32"/>
        </w:rPr>
        <w:t>100%</w:t>
      </w:r>
      <w:r>
        <w:rPr>
          <w:rFonts w:hint="eastAsia" w:ascii="仿宋_GB2312" w:eastAsia="仿宋_GB2312" w:cs="仿宋_GB2312"/>
          <w:bCs/>
          <w:color w:val="000000"/>
          <w:sz w:val="32"/>
          <w:szCs w:val="32"/>
        </w:rPr>
        <w:t>。公务接待费支出决算比</w:t>
      </w:r>
      <w:r>
        <w:rPr>
          <w:rFonts w:ascii="仿宋_GB2312" w:eastAsia="仿宋_GB2312" w:cs="仿宋_GB2312"/>
          <w:bCs/>
          <w:color w:val="000000"/>
          <w:sz w:val="32"/>
          <w:szCs w:val="32"/>
        </w:rPr>
        <w:t>2018</w:t>
      </w:r>
      <w:r>
        <w:rPr>
          <w:rFonts w:hint="eastAsia" w:ascii="仿宋_GB2312" w:eastAsia="仿宋_GB2312" w:cs="仿宋_GB2312"/>
          <w:bCs/>
          <w:color w:val="000000"/>
          <w:sz w:val="32"/>
          <w:szCs w:val="32"/>
        </w:rPr>
        <w:t>年</w:t>
      </w:r>
      <w:r>
        <w:rPr>
          <w:rFonts w:ascii="仿宋_GB2312" w:eastAsia="仿宋_GB2312" w:cs="仿宋_GB2312"/>
          <w:bCs/>
          <w:color w:val="000000"/>
          <w:sz w:val="32"/>
          <w:szCs w:val="32"/>
        </w:rPr>
        <w:t>0.18</w:t>
      </w:r>
      <w:r>
        <w:rPr>
          <w:rFonts w:hint="eastAsia" w:ascii="仿宋_GB2312" w:eastAsia="仿宋_GB2312" w:cs="仿宋_GB2312"/>
          <w:bCs/>
          <w:color w:val="000000"/>
          <w:sz w:val="32"/>
          <w:szCs w:val="32"/>
        </w:rPr>
        <w:t>万元增加1.41万元，增长783</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。主要原因是省市区扶贫检查工作用餐4次。</w:t>
      </w:r>
    </w:p>
    <w:p>
      <w:pPr>
        <w:spacing w:line="600" w:lineRule="exact"/>
        <w:ind w:firstLine="640"/>
        <w:rPr>
          <w:rFonts w:ascii="仿宋_GB2312" w:eastAsia="仿宋_GB2312" w:cs="仿宋_GB2312"/>
          <w:bCs/>
          <w:color w:val="000000"/>
          <w:sz w:val="32"/>
          <w:szCs w:val="32"/>
        </w:rPr>
      </w:pPr>
      <w:r>
        <w:rPr>
          <w:rFonts w:hint="eastAsia" w:ascii="仿宋_GB2312" w:eastAsia="仿宋_GB2312" w:cs="仿宋_GB2312"/>
          <w:bCs/>
          <w:color w:val="000000"/>
          <w:sz w:val="32"/>
          <w:szCs w:val="32"/>
        </w:rPr>
        <w:t>国内公务接待支出1.59万元，主要用于省市区扶贫检查工作用餐4次。国内公务接待4批次，190人次（包括陪同人员），共计支出1.59万元，具体内容包括：省市区扶贫检查工作用餐1.59万元。</w:t>
      </w:r>
    </w:p>
    <w:p>
      <w:pPr>
        <w:spacing w:line="600" w:lineRule="exact"/>
        <w:ind w:firstLine="640"/>
        <w:rPr>
          <w:rFonts w:ascii="黑体" w:eastAsia="黑体"/>
          <w:color w:val="000000"/>
          <w:sz w:val="32"/>
          <w:szCs w:val="32"/>
        </w:rPr>
      </w:pPr>
      <w:r>
        <w:rPr>
          <w:rFonts w:hint="eastAsia" w:ascii="仿宋_GB2312" w:eastAsia="仿宋_GB2312" w:cs="仿宋_GB2312"/>
          <w:color w:val="000000"/>
          <w:sz w:val="32"/>
          <w:szCs w:val="32"/>
        </w:rPr>
        <w:t>外事接待支出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万元，外事接待</w:t>
      </w:r>
      <w:r>
        <w:rPr>
          <w:rFonts w:ascii="仿宋_GB2312" w:eastAsia="仿宋_GB2312" w:cs="仿宋_GB2312"/>
          <w:color w:val="000000"/>
          <w:sz w:val="32"/>
          <w:szCs w:val="32"/>
        </w:rPr>
        <w:t>0</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bookmarkStart w:id="40" w:name="_Toc15377218"/>
      <w:bookmarkStart w:id="41" w:name="_Toc15396610"/>
    </w:p>
    <w:p>
      <w:pPr>
        <w:spacing w:line="600" w:lineRule="exact"/>
        <w:ind w:firstLine="640"/>
        <w:outlineLvl w:val="1"/>
        <w:rPr>
          <w:rStyle w:val="18"/>
          <w:rFonts w:ascii="黑体" w:hAnsi="黑体" w:eastAsia="黑体" w:cs="Times New Roman"/>
        </w:rPr>
      </w:pPr>
      <w:r>
        <w:rPr>
          <w:rFonts w:hint="eastAsia" w:ascii="黑体" w:eastAsia="黑体" w:cs="黑体"/>
          <w:color w:val="000000"/>
          <w:sz w:val="32"/>
          <w:szCs w:val="32"/>
        </w:rPr>
        <w:t>八、</w:t>
      </w:r>
      <w:r>
        <w:rPr>
          <w:rStyle w:val="18"/>
          <w:rFonts w:hint="eastAsia" w:ascii="黑体" w:hAnsi="黑体" w:eastAsia="黑体" w:cs="黑体"/>
          <w:b w:val="0"/>
          <w:bCs w:val="0"/>
        </w:rPr>
        <w:t>政府性基金预算支出决算情况说明</w:t>
      </w:r>
      <w:bookmarkEnd w:id="40"/>
      <w:bookmarkEnd w:id="41"/>
    </w:p>
    <w:p>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2020年政府性基金预算拨款支出8万元。用于疫情防控经费支出。</w:t>
      </w:r>
    </w:p>
    <w:p>
      <w:pPr>
        <w:numPr>
          <w:ilvl w:val="0"/>
          <w:numId w:val="2"/>
        </w:numPr>
        <w:spacing w:line="600" w:lineRule="exact"/>
        <w:ind w:firstLine="640"/>
        <w:outlineLvl w:val="1"/>
        <w:rPr>
          <w:rStyle w:val="18"/>
          <w:rFonts w:ascii="黑体" w:hAnsi="黑体" w:eastAsia="黑体" w:cs="Times New Roman"/>
          <w:b w:val="0"/>
          <w:bCs w:val="0"/>
        </w:rPr>
      </w:pPr>
      <w:bookmarkStart w:id="42" w:name="_Toc15377219"/>
      <w:bookmarkStart w:id="43" w:name="_Toc15396611"/>
      <w:r>
        <w:rPr>
          <w:rStyle w:val="18"/>
          <w:rFonts w:hint="eastAsia" w:ascii="黑体" w:hAnsi="黑体" w:eastAsia="黑体" w:cs="黑体"/>
          <w:b w:val="0"/>
          <w:bCs w:val="0"/>
        </w:rPr>
        <w:t>国有资本经营预算支出决算情况说明</w:t>
      </w:r>
      <w:bookmarkEnd w:id="42"/>
      <w:bookmarkEnd w:id="43"/>
    </w:p>
    <w:p>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2020年国有资本经营预算拨款支出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600" w:lineRule="exact"/>
        <w:ind w:firstLine="640" w:firstLineChars="200"/>
        <w:outlineLvl w:val="1"/>
        <w:rPr>
          <w:rStyle w:val="18"/>
          <w:rFonts w:ascii="黑体" w:hAnsi="黑体" w:eastAsia="黑体" w:cs="Times New Roman"/>
        </w:rPr>
      </w:pPr>
      <w:bookmarkStart w:id="44" w:name="_Toc15377221"/>
      <w:bookmarkStart w:id="45" w:name="_Toc15396612"/>
      <w:r>
        <w:rPr>
          <w:rFonts w:hint="eastAsia" w:ascii="黑体" w:hAnsi="黑体" w:eastAsia="黑体" w:cs="黑体"/>
          <w:color w:val="000000"/>
          <w:sz w:val="32"/>
          <w:szCs w:val="32"/>
        </w:rPr>
        <w:t>十</w:t>
      </w:r>
      <w:r>
        <w:rPr>
          <w:rStyle w:val="18"/>
          <w:rFonts w:hint="eastAsia" w:ascii="黑体" w:hAnsi="黑体" w:eastAsia="黑体" w:cs="黑体"/>
        </w:rPr>
        <w:t>、</w:t>
      </w:r>
      <w:r>
        <w:rPr>
          <w:rStyle w:val="18"/>
          <w:rFonts w:hint="eastAsia" w:ascii="黑体" w:hAnsi="黑体" w:eastAsia="黑体" w:cs="黑体"/>
          <w:b w:val="0"/>
          <w:bCs w:val="0"/>
        </w:rPr>
        <w:t>其他重要事项的情况说明</w:t>
      </w:r>
      <w:bookmarkEnd w:id="44"/>
      <w:bookmarkEnd w:id="45"/>
    </w:p>
    <w:p>
      <w:pPr>
        <w:spacing w:line="600" w:lineRule="exact"/>
        <w:ind w:firstLine="640" w:firstLineChars="200"/>
        <w:outlineLvl w:val="2"/>
        <w:rPr>
          <w:rFonts w:hint="eastAsia" w:ascii="楷体_GB2312" w:hAnsi="仿宋" w:eastAsia="楷体_GB2312"/>
          <w:color w:val="000000"/>
          <w:sz w:val="32"/>
          <w:szCs w:val="32"/>
        </w:rPr>
      </w:pPr>
      <w:bookmarkStart w:id="46" w:name="_Toc15377222"/>
      <w:r>
        <w:rPr>
          <w:rFonts w:hint="eastAsia" w:ascii="楷体_GB2312" w:hAnsi="仿宋" w:eastAsia="楷体_GB2312" w:cs="仿宋"/>
          <w:bCs/>
          <w:color w:val="000000"/>
          <w:sz w:val="32"/>
          <w:szCs w:val="32"/>
        </w:rPr>
        <w:t>（一）机关运行经费支出情况</w:t>
      </w:r>
      <w:bookmarkEnd w:id="46"/>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2020年，乐山市市中区剑峰镇人民政府机关运行经费支出56.9万元，比</w:t>
      </w:r>
      <w:r>
        <w:rPr>
          <w:rFonts w:ascii="仿宋_GB2312" w:eastAsia="仿宋_GB2312" w:cs="仿宋_GB2312"/>
          <w:color w:val="000000"/>
          <w:sz w:val="32"/>
          <w:szCs w:val="32"/>
        </w:rPr>
        <w:t>201</w:t>
      </w:r>
      <w:r>
        <w:rPr>
          <w:rFonts w:hint="eastAsia" w:ascii="仿宋_GB2312" w:eastAsia="仿宋_GB2312" w:cs="仿宋_GB2312"/>
          <w:color w:val="000000"/>
          <w:sz w:val="32"/>
          <w:szCs w:val="32"/>
        </w:rPr>
        <w:t>9年</w:t>
      </w:r>
      <w:r>
        <w:rPr>
          <w:rFonts w:ascii="仿宋_GB2312" w:eastAsia="仿宋_GB2312" w:cs="仿宋_GB2312"/>
          <w:color w:val="000000"/>
          <w:sz w:val="32"/>
          <w:szCs w:val="32"/>
        </w:rPr>
        <w:t>44.18</w:t>
      </w:r>
      <w:r>
        <w:rPr>
          <w:rFonts w:hint="eastAsia" w:ascii="仿宋_GB2312" w:eastAsia="仿宋_GB2312" w:cs="仿宋_GB2312"/>
          <w:color w:val="000000"/>
          <w:sz w:val="32"/>
          <w:szCs w:val="32"/>
        </w:rPr>
        <w:t>万元增加12.72万元，增长29</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。主要原因是机构改革，增加了编制</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名，相应增加公务费及工会福利费。</w:t>
      </w:r>
    </w:p>
    <w:p>
      <w:pPr>
        <w:spacing w:line="600" w:lineRule="exact"/>
        <w:ind w:firstLine="640" w:firstLineChars="200"/>
        <w:outlineLvl w:val="2"/>
        <w:rPr>
          <w:rFonts w:ascii="楷体_GB2312" w:hAnsi="仿宋" w:eastAsia="楷体_GB2312" w:cs="仿宋"/>
          <w:bCs/>
          <w:color w:val="000000"/>
          <w:sz w:val="32"/>
          <w:szCs w:val="32"/>
        </w:rPr>
      </w:pPr>
      <w:bookmarkStart w:id="47" w:name="_Toc15377223"/>
      <w:r>
        <w:rPr>
          <w:rFonts w:hint="eastAsia" w:ascii="楷体_GB2312" w:hAnsi="仿宋" w:eastAsia="楷体_GB2312" w:cs="仿宋"/>
          <w:bCs/>
          <w:color w:val="000000"/>
          <w:sz w:val="32"/>
          <w:szCs w:val="32"/>
        </w:rPr>
        <w:t>（二）政府采购支出情况</w:t>
      </w:r>
      <w:bookmarkEnd w:id="47"/>
    </w:p>
    <w:p>
      <w:pPr>
        <w:spacing w:line="600" w:lineRule="exact"/>
        <w:ind w:firstLine="640" w:firstLineChars="200"/>
        <w:rPr>
          <w:rFonts w:ascii="仿宋" w:hAnsi="仿宋" w:eastAsia="仿宋"/>
          <w:b/>
          <w:bCs/>
          <w:color w:val="FF0000"/>
          <w:sz w:val="32"/>
          <w:szCs w:val="32"/>
        </w:rPr>
      </w:pPr>
      <w:r>
        <w:rPr>
          <w:rFonts w:hint="eastAsia" w:ascii="仿宋_GB2312" w:eastAsia="仿宋_GB2312" w:cs="仿宋_GB2312"/>
          <w:color w:val="000000"/>
          <w:sz w:val="32"/>
          <w:szCs w:val="32"/>
        </w:rPr>
        <w:t>2020年，乐山市市中区剑峰镇人民政府政府采购支出总额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万元，其中：政府采购货物支出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600" w:lineRule="exact"/>
        <w:ind w:firstLine="640" w:firstLineChars="200"/>
        <w:outlineLvl w:val="2"/>
        <w:rPr>
          <w:rFonts w:ascii="楷体_GB2312" w:hAnsi="仿宋" w:eastAsia="楷体_GB2312" w:cs="仿宋"/>
          <w:bCs/>
          <w:color w:val="000000"/>
          <w:sz w:val="32"/>
          <w:szCs w:val="32"/>
        </w:rPr>
      </w:pPr>
      <w:bookmarkStart w:id="48" w:name="_Toc15377224"/>
      <w:r>
        <w:rPr>
          <w:rFonts w:hint="eastAsia" w:ascii="楷体_GB2312" w:hAnsi="仿宋" w:eastAsia="楷体_GB2312" w:cs="仿宋"/>
          <w:bCs/>
          <w:color w:val="000000"/>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bCs/>
          <w:color w:val="FF0000"/>
          <w:sz w:val="32"/>
          <w:szCs w:val="32"/>
        </w:rPr>
      </w:pPr>
      <w:r>
        <w:rPr>
          <w:rFonts w:hint="eastAsia" w:ascii="仿宋_GB2312" w:eastAsia="仿宋_GB2312" w:cs="仿宋_GB2312"/>
          <w:color w:val="000000"/>
          <w:sz w:val="32"/>
          <w:szCs w:val="32"/>
        </w:rPr>
        <w:t>截至2020年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日，乐山市市中区剑峰镇人民政府共有车辆</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辆、其他用车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spacing w:line="600" w:lineRule="exact"/>
        <w:ind w:firstLine="640" w:firstLineChars="200"/>
        <w:outlineLvl w:val="2"/>
        <w:rPr>
          <w:rFonts w:ascii="楷体_GB2312" w:hAnsi="仿宋" w:eastAsia="楷体_GB2312" w:cs="仿宋"/>
          <w:bCs/>
          <w:color w:val="000000"/>
          <w:sz w:val="32"/>
          <w:szCs w:val="32"/>
        </w:rPr>
      </w:pPr>
      <w:r>
        <w:rPr>
          <w:rFonts w:hint="eastAsia" w:ascii="楷体_GB2312" w:hAnsi="仿宋" w:eastAsia="楷体_GB2312" w:cs="仿宋"/>
          <w:bCs/>
          <w:color w:val="000000"/>
          <w:sz w:val="32"/>
          <w:szCs w:val="32"/>
        </w:rPr>
        <w:t>（四）预算绩效管理情况。</w:t>
      </w:r>
    </w:p>
    <w:p>
      <w:pPr>
        <w:spacing w:line="580" w:lineRule="exact"/>
        <w:ind w:firstLine="640" w:firstLineChars="200"/>
        <w:rPr>
          <w:rFonts w:hint="eastAsia" w:ascii="仿宋_GB2312" w:hAnsi="仿宋_GB2312" w:eastAsia="仿宋_GB2312"/>
          <w:sz w:val="32"/>
          <w:szCs w:val="32"/>
        </w:rPr>
      </w:pPr>
      <w:r>
        <w:rPr>
          <w:rFonts w:hint="eastAsia" w:ascii="仿宋_GB2312" w:hAnsi="仿宋" w:eastAsia="仿宋_GB2312" w:cs="仿宋"/>
          <w:color w:val="000000"/>
          <w:sz w:val="32"/>
          <w:szCs w:val="32"/>
        </w:rPr>
        <w:t>根据预算绩效管理要求，本部门（单位）在年初预算编制阶段，组织对剑峰镇2020年整体支出和2个项目开展了预算事前绩效评估，对剑峰镇2020年整体支出和2个项目编制了绩效目标，预算执行过程中，选取剑峰镇2020年整体支出和2个项目开展绩效监控，年终执行完毕后，对剑峰镇2020年整体支出和2个项目开展了绩效目标完成情况梳理填报。</w:t>
      </w:r>
    </w:p>
    <w:p>
      <w:pPr>
        <w:spacing w:line="580" w:lineRule="exact"/>
        <w:ind w:firstLine="640" w:firstLineChars="200"/>
        <w:rPr>
          <w:rFonts w:hint="eastAsia" w:ascii="仿宋_GB2312" w:hAnsi="Calibri" w:eastAsia="仿宋_GB2312"/>
          <w:kern w:val="0"/>
          <w:sz w:val="27"/>
          <w:szCs w:val="27"/>
          <w:lang w:val="zh-CN"/>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_GB2312" w:hAnsi="Calibri" w:eastAsia="仿宋_GB2312" w:cs="宋体"/>
          <w:kern w:val="0"/>
          <w:sz w:val="27"/>
          <w:szCs w:val="27"/>
          <w:lang w:val="zh-CN"/>
        </w:rPr>
        <w:t>，</w:t>
      </w:r>
      <w:r>
        <w:rPr>
          <w:rFonts w:hint="eastAsia" w:ascii="仿宋_GB2312" w:hAnsi="仿宋" w:eastAsia="仿宋_GB2312" w:cs="仿宋"/>
          <w:color w:val="000000"/>
          <w:sz w:val="32"/>
          <w:szCs w:val="32"/>
        </w:rPr>
        <w:t>我镇整体支出绩效总体良好，各项目标达到了相应时期执行进度，各项专项经费按预算实施，使财政收支预算执行都得了良好的制度保障和实施效果。我镇对我单位2020年部门整体支出绩效自评分总分为100分，自评分数为99分。</w:t>
      </w:r>
    </w:p>
    <w:tbl>
      <w:tblPr>
        <w:tblStyle w:val="13"/>
        <w:tblW w:w="8336" w:type="dxa"/>
        <w:tblInd w:w="0" w:type="dxa"/>
        <w:tblLayout w:type="fixed"/>
        <w:tblCellMar>
          <w:top w:w="0" w:type="dxa"/>
          <w:left w:w="0" w:type="dxa"/>
          <w:bottom w:w="0" w:type="dxa"/>
          <w:right w:w="0" w:type="dxa"/>
        </w:tblCellMar>
      </w:tblPr>
      <w:tblGrid>
        <w:gridCol w:w="408"/>
        <w:gridCol w:w="92"/>
        <w:gridCol w:w="615"/>
        <w:gridCol w:w="89"/>
        <w:gridCol w:w="620"/>
        <w:gridCol w:w="619"/>
        <w:gridCol w:w="378"/>
        <w:gridCol w:w="717"/>
        <w:gridCol w:w="1363"/>
        <w:gridCol w:w="137"/>
        <w:gridCol w:w="641"/>
        <w:gridCol w:w="679"/>
        <w:gridCol w:w="351"/>
        <w:gridCol w:w="429"/>
        <w:gridCol w:w="331"/>
        <w:gridCol w:w="644"/>
        <w:gridCol w:w="223"/>
      </w:tblGrid>
      <w:tr>
        <w:tblPrEx>
          <w:tblCellMar>
            <w:top w:w="0" w:type="dxa"/>
            <w:left w:w="0" w:type="dxa"/>
            <w:bottom w:w="0" w:type="dxa"/>
            <w:right w:w="0" w:type="dxa"/>
          </w:tblCellMar>
        </w:tblPrEx>
        <w:trPr>
          <w:gridAfter w:val="1"/>
          <w:wAfter w:w="223" w:type="dxa"/>
          <w:trHeight w:val="698" w:hRule="atLeast"/>
        </w:trPr>
        <w:tc>
          <w:tcPr>
            <w:tcW w:w="8113" w:type="dxa"/>
            <w:gridSpan w:val="1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48"/>
                <w:szCs w:val="48"/>
              </w:rPr>
            </w:pPr>
            <w:r>
              <w:rPr>
                <w:rFonts w:hint="eastAsia" w:ascii="宋体" w:hAnsi="宋体" w:cs="宋体"/>
                <w:b/>
                <w:color w:val="000000"/>
                <w:kern w:val="0"/>
                <w:sz w:val="48"/>
                <w:szCs w:val="48"/>
              </w:rPr>
              <w:t>2020年度部门整体绩效自评表</w:t>
            </w:r>
          </w:p>
        </w:tc>
      </w:tr>
      <w:tr>
        <w:tblPrEx>
          <w:tblCellMar>
            <w:top w:w="0" w:type="dxa"/>
            <w:left w:w="0" w:type="dxa"/>
            <w:bottom w:w="0" w:type="dxa"/>
            <w:right w:w="0" w:type="dxa"/>
          </w:tblCellMar>
        </w:tblPrEx>
        <w:trPr>
          <w:gridAfter w:val="1"/>
          <w:wAfter w:w="223" w:type="dxa"/>
          <w:trHeight w:val="580" w:hRule="atLeast"/>
        </w:trPr>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部门名称</w:t>
            </w:r>
          </w:p>
        </w:tc>
        <w:tc>
          <w:tcPr>
            <w:tcW w:w="699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乐山市市中区剑峰镇人民政府</w:t>
            </w:r>
          </w:p>
        </w:tc>
      </w:tr>
      <w:tr>
        <w:tblPrEx>
          <w:tblCellMar>
            <w:top w:w="0" w:type="dxa"/>
            <w:left w:w="0" w:type="dxa"/>
            <w:bottom w:w="0" w:type="dxa"/>
            <w:right w:w="0" w:type="dxa"/>
          </w:tblCellMar>
        </w:tblPrEx>
        <w:trPr>
          <w:gridAfter w:val="1"/>
          <w:wAfter w:w="223" w:type="dxa"/>
          <w:trHeight w:val="580" w:hRule="atLeast"/>
        </w:trPr>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机构设置</w:t>
            </w:r>
          </w:p>
        </w:tc>
        <w:tc>
          <w:tcPr>
            <w:tcW w:w="699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gridAfter w:val="1"/>
          <w:wAfter w:w="223" w:type="dxa"/>
          <w:trHeight w:val="580" w:hRule="atLeast"/>
        </w:trPr>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主要职能职责</w:t>
            </w:r>
          </w:p>
        </w:tc>
        <w:tc>
          <w:tcPr>
            <w:tcW w:w="699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gridAfter w:val="1"/>
          <w:wAfter w:w="223" w:type="dxa"/>
          <w:trHeight w:val="580" w:hRule="atLeast"/>
        </w:trPr>
        <w:tc>
          <w:tcPr>
            <w:tcW w:w="11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部门资金使用情况</w:t>
            </w:r>
            <w:r>
              <w:rPr>
                <w:rFonts w:hint="eastAsia" w:ascii="宋体" w:hAnsi="宋体" w:cs="宋体"/>
                <w:b/>
                <w:color w:val="000000"/>
                <w:kern w:val="0"/>
                <w:sz w:val="18"/>
                <w:szCs w:val="18"/>
              </w:rPr>
              <w:br w:type="textWrapping"/>
            </w:r>
            <w:r>
              <w:rPr>
                <w:rFonts w:hint="eastAsia" w:ascii="宋体" w:hAnsi="宋体" w:cs="宋体"/>
                <w:b/>
                <w:color w:val="000000"/>
                <w:kern w:val="0"/>
                <w:sz w:val="18"/>
                <w:szCs w:val="18"/>
              </w:rPr>
              <w:t>（万元）</w:t>
            </w:r>
          </w:p>
        </w:tc>
        <w:tc>
          <w:tcPr>
            <w:tcW w:w="242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预算数</w:t>
            </w:r>
          </w:p>
        </w:tc>
        <w:tc>
          <w:tcPr>
            <w:tcW w:w="28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决算数</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r>
      <w:tr>
        <w:tblPrEx>
          <w:tblCellMar>
            <w:top w:w="0" w:type="dxa"/>
            <w:left w:w="0" w:type="dxa"/>
            <w:bottom w:w="0" w:type="dxa"/>
            <w:right w:w="0" w:type="dxa"/>
          </w:tblCellMar>
        </w:tblPrEx>
        <w:trPr>
          <w:gridAfter w:val="1"/>
          <w:wAfter w:w="223" w:type="dxa"/>
          <w:trHeight w:val="580" w:hRule="atLeast"/>
        </w:trPr>
        <w:tc>
          <w:tcPr>
            <w:tcW w:w="1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42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586.15</w:t>
            </w:r>
          </w:p>
        </w:tc>
        <w:tc>
          <w:tcPr>
            <w:tcW w:w="28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585.16</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99%</w:t>
            </w:r>
          </w:p>
        </w:tc>
      </w:tr>
      <w:tr>
        <w:tblPrEx>
          <w:tblCellMar>
            <w:top w:w="0" w:type="dxa"/>
            <w:left w:w="0" w:type="dxa"/>
            <w:bottom w:w="0" w:type="dxa"/>
            <w:right w:w="0" w:type="dxa"/>
          </w:tblCellMar>
        </w:tblPrEx>
        <w:trPr>
          <w:gridAfter w:val="1"/>
          <w:wAfter w:w="223" w:type="dxa"/>
          <w:trHeight w:val="740" w:hRule="atLeast"/>
        </w:trPr>
        <w:tc>
          <w:tcPr>
            <w:tcW w:w="50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132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109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年初预期值</w:t>
            </w:r>
          </w:p>
        </w:tc>
        <w:tc>
          <w:tcPr>
            <w:tcW w:w="150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实际完成值</w:t>
            </w:r>
          </w:p>
        </w:tc>
        <w:tc>
          <w:tcPr>
            <w:tcW w:w="13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分值</w:t>
            </w:r>
          </w:p>
        </w:tc>
        <w:tc>
          <w:tcPr>
            <w:tcW w:w="78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得分</w:t>
            </w:r>
          </w:p>
        </w:tc>
        <w:tc>
          <w:tcPr>
            <w:tcW w:w="97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扣分原因分析</w:t>
            </w:r>
          </w:p>
        </w:tc>
      </w:tr>
      <w:tr>
        <w:tblPrEx>
          <w:tblCellMar>
            <w:top w:w="0" w:type="dxa"/>
            <w:left w:w="0" w:type="dxa"/>
            <w:bottom w:w="0" w:type="dxa"/>
            <w:right w:w="0" w:type="dxa"/>
          </w:tblCellMar>
        </w:tblPrEx>
        <w:trPr>
          <w:gridAfter w:val="1"/>
          <w:wAfter w:w="223" w:type="dxa"/>
          <w:trHeight w:val="480" w:hRule="atLeast"/>
        </w:trPr>
        <w:tc>
          <w:tcPr>
            <w:tcW w:w="50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绩效情况</w:t>
            </w:r>
          </w:p>
        </w:tc>
        <w:tc>
          <w:tcPr>
            <w:tcW w:w="453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得  分</w:t>
            </w:r>
          </w:p>
        </w:tc>
        <w:tc>
          <w:tcPr>
            <w:tcW w:w="1320" w:type="dxa"/>
            <w:gridSpan w:val="2"/>
            <w:tcBorders>
              <w:top w:val="nil"/>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100</w:t>
            </w:r>
          </w:p>
        </w:tc>
        <w:tc>
          <w:tcPr>
            <w:tcW w:w="780" w:type="dxa"/>
            <w:gridSpan w:val="2"/>
            <w:tcBorders>
              <w:top w:val="nil"/>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99.9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660"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预算编制合理性</w:t>
            </w:r>
          </w:p>
        </w:tc>
        <w:tc>
          <w:tcPr>
            <w:tcW w:w="259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（管理指标不设绩效指标，按指标评价内容直接评分）</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915"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预算执行率</w:t>
            </w:r>
          </w:p>
        </w:tc>
        <w:tc>
          <w:tcPr>
            <w:tcW w:w="259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预算执行率=1，得10分；预算执行率&lt;1时，按预算执行率*10计算；2&gt;预算执行率&gt;1时，按（2-预算执行率）*10计算；预算执行率≥2时，不得分。</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1名三支一扶人员于2020年10月辞职</w:t>
            </w:r>
          </w:p>
        </w:tc>
      </w:tr>
      <w:tr>
        <w:tblPrEx>
          <w:tblCellMar>
            <w:top w:w="0" w:type="dxa"/>
            <w:left w:w="0" w:type="dxa"/>
            <w:bottom w:w="0" w:type="dxa"/>
            <w:right w:w="0" w:type="dxa"/>
          </w:tblCellMar>
        </w:tblPrEx>
        <w:trPr>
          <w:gridAfter w:val="1"/>
          <w:wAfter w:w="223" w:type="dxa"/>
          <w:trHeight w:val="660"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三公经费控制率</w:t>
            </w:r>
          </w:p>
        </w:tc>
        <w:tc>
          <w:tcPr>
            <w:tcW w:w="259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（管理指标不设绩效指标，按指标评价内容直接评分）</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660"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财务管理制度健全性</w:t>
            </w:r>
          </w:p>
        </w:tc>
        <w:tc>
          <w:tcPr>
            <w:tcW w:w="259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（管理指标不设绩效指标，按指标评价内容直接评分）</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660"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资金使用合规性</w:t>
            </w:r>
          </w:p>
        </w:tc>
        <w:tc>
          <w:tcPr>
            <w:tcW w:w="259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（管理指标不设绩效指标，按指标评价内容直接评分）</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660"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政府采购规范性</w:t>
            </w:r>
          </w:p>
        </w:tc>
        <w:tc>
          <w:tcPr>
            <w:tcW w:w="259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（管理指标不设绩效指标，按指标评价内容直接评分）</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660"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资产管理有效性</w:t>
            </w:r>
          </w:p>
        </w:tc>
        <w:tc>
          <w:tcPr>
            <w:tcW w:w="259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（管理指标不设绩效指标，按指标评价内容直接评分）</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945"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履职情况</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完成情况</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（部门预期完成的收入金额、项目个数，质量，时效，成本等）</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（部门实际完成的收入金额、项目个数，质量，时效，成本等）</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945" w:hRule="atLeast"/>
        </w:trPr>
        <w:tc>
          <w:tcPr>
            <w:tcW w:w="5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效益情况</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（部门预期取得的效益及受益人员满意度等）</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（部门实际取得的效益及受益人员满意度等）</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gridAfter w:val="1"/>
          <w:wAfter w:w="223" w:type="dxa"/>
          <w:trHeight w:val="672" w:hRule="atLeast"/>
        </w:trPr>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存在问题</w:t>
            </w:r>
          </w:p>
        </w:tc>
        <w:tc>
          <w:tcPr>
            <w:tcW w:w="699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预算执行率为99%，预算精度不够；拨款进度较为迟缓，主要表现在9月时村社区干部报酬拨款未达到75%，只达到了60%、在9月时村社标本运转经费支付进度未达到75%，只达到了41%；基层事务不断增加，经费缺口仍然难以满足。</w:t>
            </w:r>
          </w:p>
        </w:tc>
      </w:tr>
      <w:tr>
        <w:tblPrEx>
          <w:tblCellMar>
            <w:top w:w="0" w:type="dxa"/>
            <w:left w:w="0" w:type="dxa"/>
            <w:bottom w:w="0" w:type="dxa"/>
            <w:right w:w="0" w:type="dxa"/>
          </w:tblCellMar>
        </w:tblPrEx>
        <w:trPr>
          <w:gridAfter w:val="1"/>
          <w:wAfter w:w="223" w:type="dxa"/>
          <w:trHeight w:val="720" w:hRule="atLeast"/>
        </w:trPr>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改进措施</w:t>
            </w:r>
          </w:p>
        </w:tc>
        <w:tc>
          <w:tcPr>
            <w:tcW w:w="699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加大预算的精度。来年加强预算管理，按每月（季）执行村社区干部报酬及基本运转经费。</w:t>
            </w:r>
          </w:p>
        </w:tc>
      </w:tr>
      <w:tr>
        <w:tblPrEx>
          <w:tblCellMar>
            <w:top w:w="0" w:type="dxa"/>
            <w:left w:w="0" w:type="dxa"/>
            <w:bottom w:w="0" w:type="dxa"/>
            <w:right w:w="0" w:type="dxa"/>
          </w:tblCellMar>
        </w:tblPrEx>
        <w:trPr>
          <w:gridAfter w:val="1"/>
          <w:wAfter w:w="223" w:type="dxa"/>
          <w:trHeight w:val="578" w:hRule="atLeast"/>
        </w:trPr>
        <w:tc>
          <w:tcPr>
            <w:tcW w:w="8113"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填报人：万年国                </w:t>
            </w:r>
          </w:p>
        </w:tc>
      </w:tr>
      <w:tr>
        <w:tblPrEx>
          <w:tblCellMar>
            <w:top w:w="0" w:type="dxa"/>
            <w:left w:w="0" w:type="dxa"/>
            <w:bottom w:w="0" w:type="dxa"/>
            <w:right w:w="0" w:type="dxa"/>
          </w:tblCellMar>
        </w:tblPrEx>
        <w:trPr>
          <w:trHeight w:val="698" w:hRule="atLeast"/>
        </w:trPr>
        <w:tc>
          <w:tcPr>
            <w:tcW w:w="8336" w:type="dxa"/>
            <w:gridSpan w:val="17"/>
            <w:tcBorders>
              <w:top w:val="nil"/>
              <w:left w:val="nil"/>
              <w:bottom w:val="nil"/>
              <w:right w:val="nil"/>
            </w:tcBorders>
            <w:shd w:val="clear" w:color="auto" w:fill="auto"/>
            <w:noWrap/>
            <w:tcMar>
              <w:top w:w="15" w:type="dxa"/>
              <w:left w:w="15" w:type="dxa"/>
              <w:right w:w="15" w:type="dxa"/>
            </w:tcMar>
            <w:vAlign w:val="center"/>
          </w:tcPr>
          <w:p>
            <w:pPr>
              <w:spacing w:line="580" w:lineRule="exact"/>
              <w:ind w:firstLine="643" w:firstLineChars="200"/>
              <w:rPr>
                <w:rFonts w:hint="eastAsia" w:ascii="仿宋_GB2312" w:hAnsi="仿宋" w:eastAsia="仿宋_GB2312"/>
                <w:color w:val="000000"/>
                <w:sz w:val="32"/>
                <w:szCs w:val="32"/>
              </w:rPr>
            </w:pPr>
            <w:r>
              <w:rPr>
                <w:rFonts w:hint="eastAsia" w:ascii="仿宋_GB2312" w:hAnsi="仿宋" w:eastAsia="仿宋_GB2312" w:cs="仿宋"/>
                <w:b/>
                <w:bCs/>
                <w:sz w:val="32"/>
                <w:szCs w:val="32"/>
              </w:rPr>
              <w:t>项目绩效目标完成情况。</w:t>
            </w:r>
            <w:r>
              <w:rPr>
                <w:rFonts w:ascii="楷体_GB2312" w:hAnsi="楷体_GB2312" w:eastAsia="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 w:eastAsia="仿宋_GB2312" w:cs="仿宋"/>
                <w:color w:val="000000"/>
                <w:sz w:val="32"/>
                <w:szCs w:val="32"/>
              </w:rPr>
              <w:t>本部门在2020年度部门决算中反映乐山市市中区剑峰镇基本运转项目、乐山市市中区剑峰镇人员经费项目2个项目绩效目标实际完成情况。</w:t>
            </w:r>
          </w:p>
          <w:p>
            <w:pPr>
              <w:numPr>
                <w:ilvl w:val="0"/>
                <w:numId w:val="3"/>
              </w:numPr>
              <w:adjustRightInd w:val="0"/>
              <w:snapToGrid w:val="0"/>
              <w:spacing w:line="600" w:lineRule="exact"/>
              <w:ind w:firstLine="72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乐山市市中区剑峰镇基本运转项目。该项目全年预算数53.66万元，执行数为53.66万元，完成预算的100%。通过项目实施，保障支持镇人大、村社区及镇机关基本运转经费保障、促进其开展乡镇及村社区工作正常进行，发现的主要问题：</w:t>
            </w:r>
            <w:r>
              <w:rPr>
                <w:rFonts w:hint="eastAsia" w:ascii="仿宋_GB2312" w:hAnsi="仿宋" w:eastAsia="仿宋_GB2312" w:cs="仿宋"/>
                <w:color w:val="000000"/>
                <w:sz w:val="32"/>
                <w:szCs w:val="32"/>
                <w:lang w:val="zh-CN"/>
              </w:rPr>
              <w:t>表现在</w:t>
            </w:r>
            <w:r>
              <w:rPr>
                <w:rFonts w:hint="eastAsia" w:ascii="仿宋_GB2312" w:hAnsi="仿宋" w:eastAsia="仿宋_GB2312" w:cs="仿宋"/>
                <w:color w:val="000000"/>
                <w:sz w:val="32"/>
                <w:szCs w:val="32"/>
              </w:rPr>
              <w:t>9月时支付进度未达到75%，只达到了41%。下一步改进措施：按季度划拨村社区办公费，提高村社区报账进度。</w:t>
            </w:r>
          </w:p>
          <w:tbl>
            <w:tblPr>
              <w:tblStyle w:val="13"/>
              <w:tblW w:w="8336" w:type="dxa"/>
              <w:tblInd w:w="0" w:type="dxa"/>
              <w:tblLayout w:type="fixed"/>
              <w:tblCellMar>
                <w:top w:w="0" w:type="dxa"/>
                <w:left w:w="0" w:type="dxa"/>
                <w:bottom w:w="0" w:type="dxa"/>
                <w:right w:w="0" w:type="dxa"/>
              </w:tblCellMar>
            </w:tblPr>
            <w:tblGrid>
              <w:gridCol w:w="408"/>
              <w:gridCol w:w="796"/>
              <w:gridCol w:w="620"/>
              <w:gridCol w:w="997"/>
              <w:gridCol w:w="2080"/>
              <w:gridCol w:w="778"/>
              <w:gridCol w:w="1030"/>
              <w:gridCol w:w="760"/>
              <w:gridCol w:w="867"/>
            </w:tblGrid>
            <w:tr>
              <w:tblPrEx>
                <w:tblCellMar>
                  <w:top w:w="0" w:type="dxa"/>
                  <w:left w:w="0" w:type="dxa"/>
                  <w:bottom w:w="0" w:type="dxa"/>
                  <w:right w:w="0" w:type="dxa"/>
                </w:tblCellMar>
              </w:tblPrEx>
              <w:trPr>
                <w:trHeight w:val="720" w:hRule="atLeast"/>
              </w:trPr>
              <w:tc>
                <w:tcPr>
                  <w:tcW w:w="8336" w:type="dxa"/>
                  <w:gridSpan w:val="9"/>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48"/>
                      <w:szCs w:val="48"/>
                    </w:rPr>
                  </w:pPr>
                  <w:r>
                    <w:rPr>
                      <w:rFonts w:hint="eastAsia" w:ascii="宋体" w:hAnsi="宋体" w:cs="宋体"/>
                      <w:b/>
                      <w:color w:val="000000"/>
                      <w:kern w:val="0"/>
                      <w:sz w:val="48"/>
                      <w:szCs w:val="48"/>
                    </w:rPr>
                    <w:t>2020年度项目支出绩效自评表</w:t>
                  </w:r>
                </w:p>
              </w:tc>
            </w:tr>
            <w:tr>
              <w:tblPrEx>
                <w:tblCellMar>
                  <w:top w:w="0" w:type="dxa"/>
                  <w:left w:w="0" w:type="dxa"/>
                  <w:bottom w:w="0" w:type="dxa"/>
                  <w:right w:w="0" w:type="dxa"/>
                </w:tblCellMar>
              </w:tblPrEx>
              <w:trPr>
                <w:trHeight w:val="720" w:hRule="atLeast"/>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主管部门</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乐山市市中区剑峰镇人民政府</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w:t>
                  </w:r>
                </w:p>
              </w:tc>
              <w:tc>
                <w:tcPr>
                  <w:tcW w:w="26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乐山市市中区剑峰镇人民政府</w:t>
                  </w:r>
                </w:p>
              </w:tc>
            </w:tr>
            <w:tr>
              <w:tblPrEx>
                <w:tblCellMar>
                  <w:top w:w="0" w:type="dxa"/>
                  <w:left w:w="0" w:type="dxa"/>
                  <w:bottom w:w="0" w:type="dxa"/>
                  <w:right w:w="0" w:type="dxa"/>
                </w:tblCellMar>
              </w:tblPrEx>
              <w:trPr>
                <w:trHeight w:val="705"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项目2</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71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剑峰镇基本运转项目工作经费</w:t>
                  </w: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项目情况概述</w:t>
                  </w:r>
                </w:p>
              </w:tc>
              <w:tc>
                <w:tcPr>
                  <w:tcW w:w="713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村（社区）办公费，乡镇工作经费，镇人大代表活动经费。</w:t>
                  </w: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资金执行情况（万元）</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预算数</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决算数</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53.66</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53.66</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9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年初预期值</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实际完成值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分值</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得分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扣分原因分析</w:t>
                  </w:r>
                </w:p>
              </w:tc>
            </w:tr>
            <w:tr>
              <w:tblPrEx>
                <w:tblCellMar>
                  <w:top w:w="0" w:type="dxa"/>
                  <w:left w:w="0" w:type="dxa"/>
                  <w:bottom w:w="0" w:type="dxa"/>
                  <w:right w:w="0" w:type="dxa"/>
                </w:tblCellMar>
              </w:tblPrEx>
              <w:trPr>
                <w:trHeight w:val="67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绩效情况</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得  分</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108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预算执行率=1，得10分；预算执行率&lt;1时，按预算执行率*10计算；2&gt;预算执行率&gt;1时，按（2-预算执行率）*10计算；预算执行率≥2时，不得分。</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财务管理制度健全性</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财务监控有效性</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项目申报规范性</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资金分配规范性</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3</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信息公开情况</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项目绩效</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完成情况</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（项目预期完成情况，含数量，质量，时效，成本等）</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（项目实际完成情况，含数量，质量，时效，成本等）</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效益情况</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（项目预期取得的效益及受益人员满意度等）</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（项目实际取得的效益及受益人员满意度等）</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存在问题</w:t>
                  </w:r>
                </w:p>
              </w:tc>
              <w:tc>
                <w:tcPr>
                  <w:tcW w:w="71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基层事务不断增加，经费缺口仍然难以满足。支付进度较为迟缓，主要表现在9月时支付进度未达到75%，只达到了41%。</w:t>
                  </w:r>
                </w:p>
              </w:tc>
            </w:tr>
            <w:tr>
              <w:tblPrEx>
                <w:tblCellMar>
                  <w:top w:w="0" w:type="dxa"/>
                  <w:left w:w="0" w:type="dxa"/>
                  <w:bottom w:w="0" w:type="dxa"/>
                  <w:right w:w="0" w:type="dxa"/>
                </w:tblCellMar>
              </w:tblPrEx>
              <w:trPr>
                <w:trHeight w:val="705"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改进措施</w:t>
                  </w:r>
                </w:p>
              </w:tc>
              <w:tc>
                <w:tcPr>
                  <w:tcW w:w="71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来年加强预算管理，按每月（季）执行村社区基本运转经费。</w:t>
                  </w:r>
                </w:p>
              </w:tc>
            </w:tr>
            <w:tr>
              <w:tblPrEx>
                <w:tblCellMar>
                  <w:top w:w="0" w:type="dxa"/>
                  <w:left w:w="0" w:type="dxa"/>
                  <w:bottom w:w="0" w:type="dxa"/>
                  <w:right w:w="0" w:type="dxa"/>
                </w:tblCellMar>
              </w:tblPrEx>
              <w:trPr>
                <w:trHeight w:val="578"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b/>
                      <w:color w:val="000000"/>
                      <w:sz w:val="18"/>
                      <w:szCs w:val="18"/>
                    </w:rPr>
                  </w:pPr>
                  <w:r>
                    <w:rPr>
                      <w:rFonts w:hint="eastAsia" w:ascii="宋体" w:hAnsi="宋体" w:cs="宋体"/>
                      <w:b/>
                      <w:color w:val="000000"/>
                      <w:kern w:val="0"/>
                      <w:sz w:val="18"/>
                      <w:szCs w:val="18"/>
                    </w:rPr>
                    <w:t xml:space="preserve"> 填报人：           万年国</w:t>
                  </w:r>
                </w:p>
              </w:tc>
            </w:tr>
          </w:tbl>
          <w:p>
            <w:pPr>
              <w:spacing w:line="580" w:lineRule="exact"/>
              <w:ind w:firstLine="320" w:firstLineChars="1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2.乐山市市中区剑峰镇人员经费项目绩效目标完成情况综述。该项目全年预算数17</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.4</w:t>
            </w:r>
            <w:r>
              <w:rPr>
                <w:rFonts w:hint="eastAsia" w:ascii="仿宋_GB2312" w:hAnsi="仿宋" w:eastAsia="仿宋_GB2312" w:cs="仿宋"/>
                <w:color w:val="000000"/>
                <w:sz w:val="32"/>
                <w:szCs w:val="32"/>
                <w:lang w:val="en-US" w:eastAsia="zh-CN"/>
              </w:rPr>
              <w:t>8</w:t>
            </w:r>
            <w:r>
              <w:rPr>
                <w:rFonts w:hint="eastAsia" w:ascii="仿宋_GB2312" w:hAnsi="仿宋" w:eastAsia="仿宋_GB2312" w:cs="仿宋"/>
                <w:color w:val="000000"/>
                <w:sz w:val="32"/>
                <w:szCs w:val="32"/>
              </w:rPr>
              <w:t>万元，执行数为171.49万元，完成预算的</w:t>
            </w:r>
            <w:r>
              <w:rPr>
                <w:rFonts w:hint="eastAsia" w:ascii="仿宋_GB2312" w:hAnsi="仿宋" w:eastAsia="仿宋_GB2312" w:cs="仿宋"/>
                <w:color w:val="000000"/>
                <w:sz w:val="32"/>
                <w:szCs w:val="32"/>
                <w:lang w:val="en-US" w:eastAsia="zh-CN"/>
              </w:rPr>
              <w:t>99.42</w:t>
            </w:r>
            <w:r>
              <w:rPr>
                <w:rFonts w:hint="eastAsia" w:ascii="仿宋_GB2312" w:hAnsi="仿宋" w:eastAsia="仿宋_GB2312" w:cs="仿宋"/>
                <w:color w:val="000000"/>
                <w:sz w:val="32"/>
                <w:szCs w:val="32"/>
              </w:rPr>
              <w:t>%。通过项目实施，保障了我镇村社区及三支一扶人员工资保险正常发放，发现的主要问题：</w:t>
            </w:r>
            <w:r>
              <w:rPr>
                <w:rFonts w:hint="eastAsia" w:ascii="仿宋_GB2312" w:hAnsi="仿宋" w:eastAsia="仿宋_GB2312" w:cs="仿宋"/>
                <w:color w:val="000000"/>
                <w:sz w:val="32"/>
                <w:szCs w:val="32"/>
                <w:lang w:val="zh-CN"/>
              </w:rPr>
              <w:t>拨款进度较为迟缓，主要表现在</w:t>
            </w:r>
            <w:r>
              <w:rPr>
                <w:rFonts w:hint="eastAsia" w:ascii="仿宋_GB2312" w:hAnsi="仿宋" w:eastAsia="仿宋_GB2312" w:cs="仿宋"/>
                <w:color w:val="000000"/>
                <w:sz w:val="32"/>
                <w:szCs w:val="32"/>
              </w:rPr>
              <w:t>9月时拨款未达到75%，只达到了60%。下一步改进措施：按月划拨村社区工作人员误工补助。</w:t>
            </w:r>
          </w:p>
          <w:p>
            <w:pPr>
              <w:widowControl/>
              <w:jc w:val="center"/>
              <w:textAlignment w:val="center"/>
              <w:rPr>
                <w:rFonts w:ascii="宋体" w:hAnsi="宋体" w:cs="宋体"/>
                <w:b/>
                <w:color w:val="000000"/>
                <w:sz w:val="48"/>
                <w:szCs w:val="48"/>
              </w:rPr>
            </w:pPr>
            <w:r>
              <w:rPr>
                <w:rFonts w:hint="eastAsia" w:ascii="宋体" w:hAnsi="宋体" w:cs="宋体"/>
                <w:b/>
                <w:color w:val="000000"/>
                <w:kern w:val="0"/>
                <w:sz w:val="48"/>
                <w:szCs w:val="48"/>
              </w:rPr>
              <w:t>2020年度项目支出绩效自评表</w:t>
            </w:r>
          </w:p>
        </w:tc>
      </w:tr>
      <w:tr>
        <w:tblPrEx>
          <w:tblCellMar>
            <w:top w:w="0" w:type="dxa"/>
            <w:left w:w="0" w:type="dxa"/>
            <w:bottom w:w="0" w:type="dxa"/>
            <w:right w:w="0" w:type="dxa"/>
          </w:tblCellMar>
        </w:tblPrEx>
        <w:trPr>
          <w:trHeight w:val="480" w:hRule="atLeast"/>
        </w:trPr>
        <w:tc>
          <w:tcPr>
            <w:tcW w:w="12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主管部门</w:t>
            </w:r>
          </w:p>
        </w:tc>
        <w:tc>
          <w:tcPr>
            <w:tcW w:w="36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乐山市市中区剑峰镇人民政府</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w:t>
            </w:r>
          </w:p>
        </w:tc>
        <w:tc>
          <w:tcPr>
            <w:tcW w:w="265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乐山市市中区剑峰镇人民政府</w:t>
            </w:r>
          </w:p>
        </w:tc>
      </w:tr>
      <w:tr>
        <w:tblPrEx>
          <w:tblCellMar>
            <w:top w:w="0" w:type="dxa"/>
            <w:left w:w="0" w:type="dxa"/>
            <w:bottom w:w="0" w:type="dxa"/>
            <w:right w:w="0" w:type="dxa"/>
          </w:tblCellMar>
        </w:tblPrEx>
        <w:trPr>
          <w:trHeight w:val="42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项目1</w:t>
            </w: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713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剑峰镇人员经费项目</w:t>
            </w:r>
          </w:p>
        </w:tc>
      </w:tr>
      <w:tr>
        <w:tblPrEx>
          <w:tblCellMar>
            <w:top w:w="0" w:type="dxa"/>
            <w:left w:w="0" w:type="dxa"/>
            <w:bottom w:w="0" w:type="dxa"/>
            <w:right w:w="0" w:type="dxa"/>
          </w:tblCellMar>
        </w:tblPrEx>
        <w:trPr>
          <w:trHeight w:val="56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项目情况概述</w:t>
            </w:r>
          </w:p>
        </w:tc>
        <w:tc>
          <w:tcPr>
            <w:tcW w:w="7132"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人员经费设置社区居民小组报酬、村社干部报酬、高校毕业生到基层任职的补助。</w:t>
            </w:r>
          </w:p>
        </w:tc>
      </w:tr>
      <w:tr>
        <w:tblPrEx>
          <w:tblCellMar>
            <w:top w:w="0" w:type="dxa"/>
            <w:left w:w="0" w:type="dxa"/>
            <w:bottom w:w="0" w:type="dxa"/>
            <w:right w:w="0" w:type="dxa"/>
          </w:tblCellMar>
        </w:tblPrEx>
        <w:trPr>
          <w:trHeight w:val="672"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资金执行情况（万元）</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预算数</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决算数</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50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172.48</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171.49</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0.994260204</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60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年初预期值</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实际完成值</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分值</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得分</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扣分原因分析</w:t>
            </w:r>
          </w:p>
        </w:tc>
      </w:tr>
      <w:tr>
        <w:tblPrEx>
          <w:tblCellMar>
            <w:top w:w="0" w:type="dxa"/>
            <w:left w:w="0" w:type="dxa"/>
            <w:bottom w:w="0" w:type="dxa"/>
            <w:right w:w="0" w:type="dxa"/>
          </w:tblCellMar>
        </w:tblPrEx>
        <w:trPr>
          <w:trHeight w:val="7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绩效情况</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得  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100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99.9</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1名三支一扶人员于2020年10月辞职</w:t>
            </w:r>
          </w:p>
        </w:tc>
      </w:tr>
      <w:tr>
        <w:tblPrEx>
          <w:tblCellMar>
            <w:top w:w="0" w:type="dxa"/>
            <w:left w:w="0" w:type="dxa"/>
            <w:bottom w:w="0" w:type="dxa"/>
            <w:right w:w="0" w:type="dxa"/>
          </w:tblCellMar>
        </w:tblPrEx>
        <w:trPr>
          <w:trHeight w:val="90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预算执行率=1，得10分；预算执行率&lt;1时，按预算执行率*10计算；2&gt;预算执行率&gt;1时，按（2-预算执行率）*10计算；预算执行率≥2时，不得分。</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10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9.9</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92"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财务管理制度健全性</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92"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财务监控有效性</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92"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项目申报规范性</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3</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3</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92"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资金分配规范性</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3</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3</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792"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信息公开情况</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（管理指标不设绩效指标，按指标评价内容直接评分）</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4</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4</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126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项目绩效</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完成情况</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（项目预期完成情况，含数量，质量，时效，成本等）</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（项目实际完成情况，含数量，质量，时效，成本等）</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20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20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104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效益情况</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（项目预期取得的效益及受益人员满意度等）</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（项目实际取得的效益及受益人员满意度等）</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50</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50</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r>
      <w:tr>
        <w:tblPrEx>
          <w:tblCellMar>
            <w:top w:w="0" w:type="dxa"/>
            <w:left w:w="0" w:type="dxa"/>
            <w:bottom w:w="0" w:type="dxa"/>
            <w:right w:w="0" w:type="dxa"/>
          </w:tblCellMar>
        </w:tblPrEx>
        <w:trPr>
          <w:trHeight w:val="672"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存在问题</w:t>
            </w:r>
          </w:p>
        </w:tc>
        <w:tc>
          <w:tcPr>
            <w:tcW w:w="713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拨款进度较为迟缓，主要表现在9月时拨款未达到75%，只达到了60%。</w:t>
            </w:r>
          </w:p>
        </w:tc>
      </w:tr>
      <w:tr>
        <w:tblPrEx>
          <w:tblCellMar>
            <w:top w:w="0" w:type="dxa"/>
            <w:left w:w="0" w:type="dxa"/>
            <w:bottom w:w="0" w:type="dxa"/>
            <w:right w:w="0" w:type="dxa"/>
          </w:tblCellMar>
        </w:tblPrEx>
        <w:trPr>
          <w:trHeight w:val="7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18"/>
                <w:szCs w:val="18"/>
              </w:rPr>
            </w:pPr>
          </w:p>
        </w:tc>
        <w:tc>
          <w:tcPr>
            <w:tcW w:w="7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改进措施</w:t>
            </w:r>
          </w:p>
        </w:tc>
        <w:tc>
          <w:tcPr>
            <w:tcW w:w="713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来年加强预算管理，按每月（季）执行村社区干部报酬。</w:t>
            </w:r>
          </w:p>
        </w:tc>
      </w:tr>
      <w:tr>
        <w:tblPrEx>
          <w:tblCellMar>
            <w:top w:w="0" w:type="dxa"/>
            <w:left w:w="0" w:type="dxa"/>
            <w:bottom w:w="0" w:type="dxa"/>
            <w:right w:w="0" w:type="dxa"/>
          </w:tblCellMar>
        </w:tblPrEx>
        <w:trPr>
          <w:trHeight w:val="578" w:hRule="atLeast"/>
        </w:trPr>
        <w:tc>
          <w:tcPr>
            <w:tcW w:w="8336"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b/>
                <w:color w:val="000000"/>
                <w:sz w:val="18"/>
                <w:szCs w:val="18"/>
              </w:rPr>
            </w:pPr>
            <w:r>
              <w:rPr>
                <w:rFonts w:hint="eastAsia" w:ascii="宋体" w:hAnsi="宋体" w:cs="宋体"/>
                <w:b/>
                <w:color w:val="000000"/>
                <w:kern w:val="0"/>
                <w:sz w:val="18"/>
                <w:szCs w:val="18"/>
              </w:rPr>
              <w:t xml:space="preserve"> 填报人：           万年国</w:t>
            </w:r>
          </w:p>
        </w:tc>
      </w:tr>
    </w:tbl>
    <w:p>
      <w:pPr>
        <w:numPr>
          <w:ilvl w:val="0"/>
          <w:numId w:val="0"/>
        </w:numPr>
        <w:spacing w:line="600" w:lineRule="exact"/>
        <w:jc w:val="both"/>
        <w:outlineLvl w:val="0"/>
        <w:rPr>
          <w:rFonts w:hint="eastAsia" w:ascii="黑体" w:hAnsi="黑体" w:eastAsia="黑体" w:cs="黑体"/>
          <w:color w:val="000000"/>
          <w:sz w:val="44"/>
          <w:szCs w:val="44"/>
        </w:rPr>
      </w:pPr>
      <w:bookmarkStart w:id="49" w:name="_Toc15377225"/>
      <w:bookmarkStart w:id="50" w:name="_Toc15396613"/>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both"/>
        <w:outlineLvl w:val="0"/>
        <w:rPr>
          <w:rFonts w:hint="eastAsia" w:ascii="黑体" w:hAnsi="黑体" w:eastAsia="黑体" w:cs="黑体"/>
          <w:color w:val="000000"/>
          <w:sz w:val="44"/>
          <w:szCs w:val="44"/>
        </w:rPr>
      </w:pPr>
    </w:p>
    <w:p>
      <w:pPr>
        <w:numPr>
          <w:ilvl w:val="0"/>
          <w:numId w:val="0"/>
        </w:numPr>
        <w:spacing w:line="600" w:lineRule="exact"/>
        <w:jc w:val="center"/>
        <w:outlineLvl w:val="0"/>
        <w:rPr>
          <w:rStyle w:val="17"/>
          <w:rFonts w:ascii="黑体" w:hAnsi="黑体" w:eastAsia="黑体"/>
          <w:b w:val="0"/>
          <w:bCs w:val="0"/>
        </w:rPr>
      </w:pPr>
      <w:r>
        <w:rPr>
          <w:rFonts w:hint="eastAsia" w:ascii="黑体" w:hAnsi="黑体" w:eastAsia="黑体" w:cs="黑体"/>
          <w:color w:val="000000"/>
          <w:sz w:val="44"/>
          <w:szCs w:val="44"/>
          <w:lang w:eastAsia="zh-CN"/>
        </w:rPr>
        <w:t>第三部分　</w:t>
      </w:r>
      <w:r>
        <w:rPr>
          <w:rFonts w:hint="eastAsia" w:ascii="黑体" w:hAnsi="黑体" w:eastAsia="黑体" w:cs="黑体"/>
          <w:color w:val="000000"/>
          <w:sz w:val="44"/>
          <w:szCs w:val="44"/>
        </w:rPr>
        <w:t>名</w:t>
      </w:r>
      <w:r>
        <w:rPr>
          <w:rStyle w:val="17"/>
          <w:rFonts w:hint="eastAsia" w:ascii="黑体" w:hAnsi="黑体" w:eastAsia="黑体" w:cs="黑体"/>
          <w:b w:val="0"/>
          <w:bCs w:val="0"/>
        </w:rPr>
        <w:t>词解释</w:t>
      </w:r>
      <w:bookmarkEnd w:id="49"/>
      <w:bookmarkEnd w:id="50"/>
    </w:p>
    <w:p>
      <w:pPr>
        <w:spacing w:line="600" w:lineRule="exact"/>
        <w:jc w:val="left"/>
        <w:rPr>
          <w:rFonts w:ascii="宋体"/>
          <w:b/>
          <w:bCs/>
          <w:color w:val="000000"/>
          <w:sz w:val="44"/>
          <w:szCs w:val="44"/>
        </w:rPr>
      </w:pPr>
    </w:p>
    <w:p>
      <w:pPr>
        <w:pStyle w:val="27"/>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事业收入：指事业单位开展专业业务活动及辅助活动取得的收入。如…（二级预算单位事业收入情况）等。</w:t>
      </w:r>
    </w:p>
    <w:p>
      <w:pPr>
        <w:pStyle w:val="27"/>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经营收入：指事业单位在专业业务活动及其辅助活动之外开展非独立核算经营活动取得的收入。如…（二级预算单位经营收入情况）等。</w:t>
      </w:r>
    </w:p>
    <w:p>
      <w:pPr>
        <w:pStyle w:val="27"/>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其他收入：指单位取得的除上述收入以外的各项收入。主要是…（收入类型）等。</w:t>
      </w:r>
      <w:r>
        <w:rPr>
          <w:rFonts w:ascii="仿宋_GB2312" w:eastAsia="仿宋_GB2312" w:cs="仿宋_GB2312"/>
          <w:sz w:val="32"/>
          <w:szCs w:val="32"/>
        </w:rPr>
        <w:t xml:space="preserve"> </w:t>
      </w:r>
    </w:p>
    <w:p>
      <w:pPr>
        <w:pStyle w:val="27"/>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pPr>
        <w:pStyle w:val="27"/>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27"/>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7"/>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14.</w:t>
      </w:r>
      <w:r>
        <w:rPr>
          <w:rFonts w:hint="eastAsia" w:ascii="仿宋_GB2312" w:eastAsia="仿宋_GB2312" w:cs="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城镇社区（类）…（款）…（项）：指……。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19.</w:t>
      </w:r>
      <w:r>
        <w:rPr>
          <w:rFonts w:hint="eastAsia" w:ascii="仿宋_GB2312" w:eastAsia="仿宋_GB2312" w:cs="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21.</w:t>
      </w:r>
      <w:r>
        <w:rPr>
          <w:rFonts w:hint="eastAsia" w:ascii="仿宋_GB2312" w:eastAsia="仿宋_GB2312" w:cs="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22.</w:t>
      </w:r>
      <w:r>
        <w:rPr>
          <w:rFonts w:hint="eastAsia" w:ascii="仿宋_GB2312" w:eastAsia="仿宋_GB2312" w:cs="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23.</w:t>
      </w:r>
      <w:r>
        <w:rPr>
          <w:rFonts w:hint="eastAsia" w:ascii="仿宋_GB2312" w:eastAsia="仿宋_GB2312" w:cs="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24.</w:t>
      </w:r>
      <w:r>
        <w:rPr>
          <w:rFonts w:hint="eastAsia" w:ascii="仿宋_GB2312" w:eastAsia="仿宋_GB2312" w:cs="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25.</w:t>
      </w:r>
      <w:r>
        <w:rPr>
          <w:rFonts w:hint="eastAsia" w:ascii="仿宋_GB2312" w:eastAsia="仿宋_GB2312" w:cs="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26.</w:t>
      </w:r>
      <w:r>
        <w:rPr>
          <w:rFonts w:hint="eastAsia" w:ascii="仿宋_GB2312" w:eastAsia="仿宋_GB2312" w:cs="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p>
    <w:p>
      <w:pPr>
        <w:spacing w:line="600" w:lineRule="exact"/>
        <w:ind w:firstLine="640"/>
        <w:rPr>
          <w:rFonts w:hint="eastAsia" w:ascii="仿宋_GB2312" w:hAnsi="仿宋" w:eastAsia="仿宋_GB2312"/>
          <w:b/>
          <w:bCs/>
          <w:color w:val="000000"/>
          <w:sz w:val="32"/>
          <w:szCs w:val="32"/>
        </w:rPr>
      </w:pPr>
      <w:r>
        <w:rPr>
          <w:rFonts w:hint="eastAsia" w:ascii="仿宋_GB2312" w:hAnsi="仿宋" w:eastAsia="仿宋_GB2312" w:cs="仿宋"/>
          <w:b/>
          <w:bCs/>
          <w:color w:val="000000"/>
          <w:sz w:val="32"/>
          <w:szCs w:val="32"/>
        </w:rPr>
        <w:t>（解释本部门决算报表中全部功能分类科目至项级，请参照《2020年政府收支分类科目》增减内容。）</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27.</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28.</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29.</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30.</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31.</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32.</w:t>
      </w:r>
      <w:r>
        <w:rPr>
          <w:rFonts w:hint="eastAsia" w:ascii="仿宋_GB2312" w:eastAsia="仿宋_GB2312" w:cs="仿宋_GB2312"/>
          <w:sz w:val="32"/>
          <w:szCs w:val="32"/>
        </w:rPr>
        <w:t>……。</w:t>
      </w:r>
    </w:p>
    <w:p>
      <w:pPr>
        <w:pStyle w:val="27"/>
        <w:spacing w:line="560" w:lineRule="exact"/>
        <w:ind w:firstLine="640" w:firstLineChars="200"/>
        <w:rPr>
          <w:rFonts w:ascii="仿宋_GB2312" w:eastAsia="仿宋_GB2312" w:cs="Times New Roman"/>
          <w:sz w:val="32"/>
          <w:szCs w:val="32"/>
        </w:rPr>
      </w:pPr>
    </w:p>
    <w:p>
      <w:pPr>
        <w:ind w:firstLine="643" w:firstLineChars="200"/>
        <w:rPr>
          <w:rFonts w:hint="eastAsia" w:ascii="仿宋_GB2312" w:hAnsi="仿宋" w:eastAsia="仿宋_GB2312"/>
          <w:b/>
          <w:bCs/>
          <w:color w:val="000000"/>
          <w:sz w:val="32"/>
          <w:szCs w:val="32"/>
        </w:rPr>
      </w:pPr>
      <w:r>
        <w:rPr>
          <w:rFonts w:hint="eastAsia" w:ascii="仿宋_GB2312" w:hAnsi="仿宋" w:eastAsia="仿宋_GB2312" w:cs="仿宋"/>
          <w:b/>
          <w:bCs/>
          <w:color w:val="000000"/>
          <w:sz w:val="32"/>
          <w:szCs w:val="32"/>
        </w:rPr>
        <w:t>（名词解释部分请根据各部门实际列支情况罗列，并根据本部门职责职能增减名词解释内容。）</w:t>
      </w:r>
    </w:p>
    <w:p>
      <w:pPr>
        <w:spacing w:line="600" w:lineRule="exact"/>
        <w:jc w:val="center"/>
        <w:outlineLvl w:val="0"/>
        <w:rPr>
          <w:rStyle w:val="17"/>
          <w:rFonts w:ascii="黑体" w:hAnsi="黑体" w:eastAsia="黑体"/>
          <w:b w:val="0"/>
          <w:bCs w:val="0"/>
        </w:rPr>
      </w:pPr>
      <w:bookmarkStart w:id="51" w:name="_Toc15377226"/>
      <w:r>
        <w:rPr>
          <w:rFonts w:ascii="宋体"/>
          <w:b/>
          <w:bCs/>
          <w:color w:val="000000"/>
          <w:sz w:val="44"/>
          <w:szCs w:val="44"/>
        </w:rPr>
        <w:br w:type="page"/>
      </w:r>
      <w:bookmarkStart w:id="52" w:name="_Toc15396614"/>
      <w:r>
        <w:rPr>
          <w:rFonts w:hint="eastAsia" w:ascii="黑体" w:hAnsi="黑体" w:eastAsia="黑体" w:cs="黑体"/>
          <w:color w:val="000000"/>
          <w:sz w:val="44"/>
          <w:szCs w:val="44"/>
        </w:rPr>
        <w:t>第</w:t>
      </w:r>
      <w:r>
        <w:rPr>
          <w:rStyle w:val="17"/>
          <w:rFonts w:hint="eastAsia" w:ascii="黑体" w:hAnsi="黑体" w:eastAsia="黑体" w:cs="黑体"/>
          <w:b w:val="0"/>
          <w:bCs w:val="0"/>
        </w:rPr>
        <w:t>四部分</w:t>
      </w:r>
      <w:r>
        <w:rPr>
          <w:rStyle w:val="17"/>
          <w:rFonts w:ascii="黑体" w:hAnsi="黑体" w:eastAsia="黑体" w:cs="黑体"/>
          <w:b w:val="0"/>
          <w:bCs w:val="0"/>
        </w:rPr>
        <w:t xml:space="preserve"> </w:t>
      </w:r>
      <w:r>
        <w:rPr>
          <w:rStyle w:val="17"/>
          <w:rFonts w:hint="eastAsia" w:ascii="黑体" w:hAnsi="黑体" w:eastAsia="黑体" w:cs="黑体"/>
          <w:b w:val="0"/>
          <w:bCs w:val="0"/>
        </w:rPr>
        <w:t>附件</w:t>
      </w:r>
      <w:bookmarkEnd w:id="52"/>
    </w:p>
    <w:p>
      <w:pPr>
        <w:spacing w:line="600" w:lineRule="exact"/>
        <w:jc w:val="left"/>
        <w:outlineLvl w:val="0"/>
        <w:rPr>
          <w:rFonts w:ascii="方正小标宋简体" w:hAnsi="方正小标宋简体" w:eastAsia="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sz w:val="44"/>
          <w:szCs w:val="44"/>
        </w:rPr>
      </w:pPr>
    </w:p>
    <w:p>
      <w:pPr>
        <w:autoSpaceDE w:val="0"/>
        <w:autoSpaceDN w:val="0"/>
        <w:adjustRightInd w:val="0"/>
        <w:ind w:right="86" w:firstLine="960" w:firstLineChars="200"/>
        <w:rPr>
          <w:rFonts w:ascii="Calibri" w:hAnsi="Calibri" w:cs="Calibri"/>
          <w:kern w:val="0"/>
          <w:sz w:val="48"/>
          <w:szCs w:val="48"/>
          <w:lang w:val="zh-CN"/>
        </w:rPr>
      </w:pPr>
      <w:r>
        <w:rPr>
          <w:rFonts w:hint="eastAsia" w:ascii="宋体" w:cs="宋体"/>
          <w:kern w:val="0"/>
          <w:sz w:val="48"/>
          <w:szCs w:val="48"/>
          <w:lang w:val="zh-CN"/>
        </w:rPr>
        <w:t>乐山市市中区剑峰镇人民政府</w:t>
      </w:r>
    </w:p>
    <w:p>
      <w:pPr>
        <w:autoSpaceDE w:val="0"/>
        <w:autoSpaceDN w:val="0"/>
        <w:adjustRightInd w:val="0"/>
        <w:ind w:right="86"/>
        <w:rPr>
          <w:rFonts w:hint="eastAsia" w:ascii="宋体" w:cs="宋体"/>
          <w:kern w:val="0"/>
          <w:sz w:val="48"/>
          <w:szCs w:val="48"/>
          <w:lang w:val="zh-CN"/>
        </w:rPr>
      </w:pPr>
      <w:r>
        <w:rPr>
          <w:rFonts w:hint="eastAsia" w:ascii="宋体" w:cs="宋体"/>
          <w:kern w:val="0"/>
          <w:sz w:val="48"/>
          <w:szCs w:val="48"/>
          <w:lang w:val="zh-CN"/>
        </w:rPr>
        <w:t>关于2020年部门整体支出绩效评价自评</w:t>
      </w:r>
    </w:p>
    <w:p>
      <w:pPr>
        <w:autoSpaceDE w:val="0"/>
        <w:autoSpaceDN w:val="0"/>
        <w:adjustRightInd w:val="0"/>
        <w:ind w:right="86" w:firstLine="3360" w:firstLineChars="700"/>
        <w:rPr>
          <w:rFonts w:ascii="宋体" w:cs="宋体"/>
          <w:kern w:val="0"/>
          <w:sz w:val="48"/>
          <w:szCs w:val="48"/>
          <w:lang w:val="zh-CN"/>
        </w:rPr>
      </w:pPr>
      <w:r>
        <w:rPr>
          <w:rFonts w:hint="eastAsia" w:ascii="宋体" w:cs="宋体"/>
          <w:kern w:val="0"/>
          <w:sz w:val="48"/>
          <w:szCs w:val="48"/>
          <w:lang w:val="zh-CN"/>
        </w:rPr>
        <w:t>报</w:t>
      </w:r>
      <w:r>
        <w:rPr>
          <w:rFonts w:ascii="宋体" w:cs="宋体"/>
          <w:kern w:val="0"/>
          <w:sz w:val="48"/>
          <w:szCs w:val="48"/>
          <w:lang w:val="zh-CN"/>
        </w:rPr>
        <w:t xml:space="preserve">  </w:t>
      </w:r>
      <w:r>
        <w:rPr>
          <w:rFonts w:hint="eastAsia" w:ascii="宋体" w:cs="宋体"/>
          <w:kern w:val="0"/>
          <w:sz w:val="48"/>
          <w:szCs w:val="48"/>
          <w:lang w:val="zh-CN"/>
        </w:rPr>
        <w:t>告</w:t>
      </w:r>
    </w:p>
    <w:p>
      <w:pPr>
        <w:spacing w:line="600" w:lineRule="exact"/>
        <w:ind w:firstLine="643" w:firstLineChars="200"/>
        <w:rPr>
          <w:rFonts w:hint="eastAsia" w:eastAsia="仿宋_GB2312"/>
          <w:sz w:val="32"/>
          <w:szCs w:val="32"/>
        </w:rPr>
      </w:pPr>
      <w:r>
        <w:rPr>
          <w:rFonts w:ascii="宋体" w:hAnsi="Calibri" w:cs="宋体"/>
          <w:b/>
          <w:bCs/>
          <w:kern w:val="0"/>
          <w:sz w:val="32"/>
          <w:szCs w:val="32"/>
          <w:highlight w:val="white"/>
          <w:lang w:val="zh-CN"/>
        </w:rPr>
        <w:br w:type="textWrapping"/>
      </w:r>
      <w:r>
        <w:rPr>
          <w:rFonts w:hint="eastAsia" w:ascii="宋体" w:hAnsi="Calibri" w:cs="宋体"/>
          <w:kern w:val="0"/>
          <w:sz w:val="27"/>
          <w:szCs w:val="27"/>
          <w:highlight w:val="white"/>
          <w:lang w:val="zh-CN"/>
        </w:rPr>
        <w:t>　</w:t>
      </w:r>
      <w:r>
        <w:rPr>
          <w:rFonts w:hint="eastAsia" w:ascii="宋体" w:hAnsi="Calibri" w:cs="宋体"/>
          <w:kern w:val="0"/>
          <w:sz w:val="32"/>
          <w:szCs w:val="32"/>
          <w:highlight w:val="white"/>
          <w:lang w:val="zh-CN"/>
        </w:rPr>
        <w:t>　一、部门概况</w:t>
      </w:r>
      <w:r>
        <w:rPr>
          <w:rFonts w:ascii="宋体" w:hAnsi="Calibri" w:cs="宋体"/>
          <w:kern w:val="0"/>
          <w:sz w:val="32"/>
          <w:szCs w:val="32"/>
          <w:highlight w:val="white"/>
          <w:lang w:val="zh-CN"/>
        </w:rPr>
        <w:t xml:space="preserve"> </w:t>
      </w:r>
      <w:r>
        <w:rPr>
          <w:rFonts w:ascii="宋体" w:hAnsi="Calibri" w:cs="宋体"/>
          <w:kern w:val="0"/>
          <w:sz w:val="32"/>
          <w:szCs w:val="32"/>
          <w:highlight w:val="white"/>
          <w:lang w:val="zh-CN"/>
        </w:rPr>
        <w:br w:type="textWrapping"/>
      </w:r>
      <w:r>
        <w:rPr>
          <w:rFonts w:hint="eastAsia" w:ascii="宋体" w:hAnsi="Calibri" w:cs="宋体"/>
          <w:kern w:val="0"/>
          <w:sz w:val="32"/>
          <w:szCs w:val="32"/>
          <w:highlight w:val="white"/>
          <w:lang w:val="zh-CN"/>
        </w:rPr>
        <w:t>　　（一）机构组成：</w:t>
      </w:r>
      <w:r>
        <w:rPr>
          <w:rFonts w:hint="eastAsia" w:eastAsia="仿宋_GB2312"/>
          <w:sz w:val="32"/>
          <w:szCs w:val="32"/>
        </w:rPr>
        <w:t>乐山市市中区剑峰镇人民政府领导机构设镇党委、人大、政府。镇政府机关综合机构为党政办、社会事务办公室（挂社会治理办公室、应急管理办公室牌子）、综合执法办公室（挂规划建设管理办公室、自然资源和生态环境保护办公室牌子），</w:t>
      </w:r>
      <w:r>
        <w:rPr>
          <w:rFonts w:hint="eastAsia" w:eastAsia="仿宋_GB2312"/>
          <w:sz w:val="32"/>
          <w:szCs w:val="32"/>
          <w:lang w:eastAsia="zh-CN"/>
        </w:rPr>
        <w:t>镇</w:t>
      </w:r>
      <w:r>
        <w:rPr>
          <w:rFonts w:hint="eastAsia" w:eastAsia="仿宋_GB2312"/>
          <w:sz w:val="32"/>
          <w:szCs w:val="32"/>
        </w:rPr>
        <w:t>村振兴办公室。镇政府直属事业机构为便民服务中心</w:t>
      </w:r>
      <w:r>
        <w:rPr>
          <w:rFonts w:eastAsia="仿宋_GB2312"/>
          <w:sz w:val="32"/>
          <w:szCs w:val="32"/>
        </w:rPr>
        <w:t>(</w:t>
      </w:r>
      <w:r>
        <w:rPr>
          <w:rFonts w:hint="eastAsia" w:eastAsia="仿宋_GB2312"/>
          <w:color w:val="auto"/>
          <w:sz w:val="32"/>
          <w:szCs w:val="32"/>
        </w:rPr>
        <w:t>挂</w:t>
      </w:r>
      <w:r>
        <w:rPr>
          <w:rFonts w:hint="eastAsia" w:eastAsia="仿宋_GB2312"/>
          <w:sz w:val="32"/>
          <w:szCs w:val="32"/>
        </w:rPr>
        <w:t>农民工服务中心、退役军人服务站牌子</w:t>
      </w:r>
      <w:r>
        <w:rPr>
          <w:rFonts w:eastAsia="仿宋_GB2312"/>
          <w:sz w:val="32"/>
          <w:szCs w:val="32"/>
        </w:rPr>
        <w:t>)</w:t>
      </w:r>
      <w:r>
        <w:rPr>
          <w:rFonts w:hint="eastAsia" w:eastAsia="仿宋_GB2312"/>
          <w:sz w:val="32"/>
          <w:szCs w:val="32"/>
        </w:rPr>
        <w:t>、农业综合服务中心（挂村（社区）治理服务中心、畜牧兽医站牌子）、文化旅游服务中心。</w:t>
      </w:r>
    </w:p>
    <w:p>
      <w:pPr>
        <w:autoSpaceDE w:val="0"/>
        <w:autoSpaceDN w:val="0"/>
        <w:adjustRightInd w:val="0"/>
        <w:spacing w:line="560" w:lineRule="exact"/>
        <w:ind w:firstLine="31680"/>
        <w:jc w:val="left"/>
        <w:rPr>
          <w:rFonts w:hint="eastAsia" w:ascii="宋体" w:hAnsi="Calibri" w:cs="宋体"/>
          <w:kern w:val="0"/>
          <w:sz w:val="32"/>
          <w:szCs w:val="32"/>
          <w:highlight w:val="white"/>
          <w:lang w:val="zh-CN"/>
        </w:rPr>
      </w:pPr>
    </w:p>
    <w:p>
      <w:pPr>
        <w:autoSpaceDE w:val="0"/>
        <w:autoSpaceDN w:val="0"/>
        <w:adjustRightInd w:val="0"/>
        <w:spacing w:line="560" w:lineRule="exact"/>
        <w:ind w:firstLine="640" w:firstLineChars="200"/>
        <w:jc w:val="left"/>
        <w:rPr>
          <w:rFonts w:ascii="宋体" w:hAnsi="Calibri" w:cs="宋体"/>
          <w:kern w:val="0"/>
          <w:sz w:val="32"/>
          <w:szCs w:val="32"/>
          <w:highlight w:val="white"/>
          <w:lang w:val="zh-CN"/>
        </w:rPr>
      </w:pPr>
      <w:r>
        <w:rPr>
          <w:rFonts w:hint="eastAsia" w:ascii="宋体" w:hAnsi="Calibri" w:cs="宋体"/>
          <w:kern w:val="0"/>
          <w:sz w:val="32"/>
          <w:szCs w:val="32"/>
          <w:highlight w:val="white"/>
          <w:lang w:val="zh-CN"/>
        </w:rPr>
        <w:t>（二）机构职能。</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1、贯彻执行党的路线、方针、政策和国家法律、法规。落实上级党委、政府的各项决议和决定。</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2、制订本行政区域内的经济和社会发展规划，并组织实施。</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3、以经济建设为中心，加强农村基层组织建设和基层基础系列化建设，转变机关作风，增强服务意识，提高办事效率，促进农村经济发展。</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4、认真执行本级党代会和人民代表大会的决议，保证其在本行政区域内的贯彻执行和落实。</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5、加强党的建设，做好党务工作；加强勤政、廉政建设；加强干部队伍的建设和管理，充分发挥基层党组织在“四化”建设中的核心领导作用。</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6、依法治镇，强化社会治安综合治理，坚持不懈地抓好“严打”和除“七害”斗争，建设安全文明小区，建立和健全群防群治网络，打击犯罪，稳定秩序，保一方平安。</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7、管理本行政区域内的教育、科学、文化、卫生、体育事业和财政、民政、统战、侨务、物价、公安、司法、计划生育等各项行政工作。</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8、制定本辖区精神文明和物质文明工作规划，抓好两个文明建设。</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9、组织资源、技术、人才开发，汇集和传播经济信息，组织和协调各行各业，为企业和合作经济组织服务，管理、推广科学技术成果。</w:t>
      </w:r>
      <w:r>
        <w:rPr>
          <w:rFonts w:hint="eastAsia" w:ascii="Times New Roman" w:hAnsi="Times New Roman" w:eastAsia="仿宋_GB2312" w:cs="Times New Roman"/>
          <w:sz w:val="32"/>
          <w:szCs w:val="32"/>
        </w:rPr>
        <w:t> </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10、按照国家法律和政策，对行政区域内各行业实行监督，保障合作经营和个体经营者照章纳税，守法致富。</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11、协调行政区域内各村、各行业、各经济组织之间的关系；理顺政府部门之间，政府同企业、事业和社会中介组织之间的关系。</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12、指导村（居）民委会工作，充分发挥群众组织的自我教育、自我管理、自我建设、自我服务的作用。</w:t>
      </w:r>
      <w:r>
        <w:rPr>
          <w:rFonts w:hint="eastAsia" w:ascii="Times New Roman" w:hAnsi="Times New Roman" w:eastAsia="仿宋_GB2312" w:cs="Times New Roman"/>
          <w:sz w:val="32"/>
          <w:szCs w:val="32"/>
        </w:rPr>
        <w:t> </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13、承办区委、区政府交办的其它工作任务。</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（三）人员概况。镇机关编制为</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zh-CN"/>
        </w:rPr>
        <w:t>名、其中领导</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zh-CN"/>
        </w:rPr>
        <w:t>名；镇直属事业编制9名，共计2</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zh-CN"/>
        </w:rPr>
        <w:t>名，实有在编人员</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lang w:val="zh-CN"/>
        </w:rPr>
        <w:t>名、上级部门下派计划外用工</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名、三支一扶人员</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rPr>
        <w:t xml:space="preserve">名。 </w:t>
      </w:r>
    </w:p>
    <w:p>
      <w:pPr>
        <w:autoSpaceDE w:val="0"/>
        <w:autoSpaceDN w:val="0"/>
        <w:adjustRightInd w:val="0"/>
        <w:spacing w:line="560" w:lineRule="exact"/>
        <w:ind w:firstLine="640" w:firstLineChars="200"/>
        <w:jc w:val="left"/>
        <w:rPr>
          <w:rFonts w:hint="eastAsia" w:ascii="宋体" w:hAnsi="Calibri" w:cs="宋体"/>
          <w:kern w:val="0"/>
          <w:sz w:val="32"/>
          <w:szCs w:val="32"/>
          <w:highlight w:val="white"/>
          <w:lang w:val="zh-CN"/>
        </w:rPr>
      </w:pPr>
      <w:r>
        <w:rPr>
          <w:rFonts w:hint="eastAsia" w:ascii="宋体" w:hAnsi="Calibri" w:cs="宋体"/>
          <w:kern w:val="0"/>
          <w:sz w:val="32"/>
          <w:szCs w:val="32"/>
          <w:highlight w:val="white"/>
          <w:lang w:val="zh-CN"/>
        </w:rPr>
        <w:t>二、部门财政资金收支情况</w:t>
      </w:r>
    </w:p>
    <w:p>
      <w:pPr>
        <w:adjustRightInd w:val="0"/>
        <w:snapToGrid w:val="0"/>
        <w:spacing w:line="600" w:lineRule="exact"/>
        <w:ind w:firstLine="720"/>
        <w:jc w:val="left"/>
        <w:rPr>
          <w:rFonts w:hint="eastAsia" w:ascii="Times New Roman" w:hAnsi="Times New Roman" w:eastAsia="仿宋_GB2312" w:cs="Times New Roman"/>
          <w:sz w:val="32"/>
          <w:szCs w:val="32"/>
          <w:lang w:val="zh-CN"/>
        </w:rPr>
      </w:pPr>
      <w:r>
        <w:rPr>
          <w:rFonts w:hint="eastAsia" w:ascii="宋体" w:hAnsi="Calibri" w:cs="宋体"/>
          <w:kern w:val="0"/>
          <w:sz w:val="32"/>
          <w:szCs w:val="32"/>
          <w:highlight w:val="white"/>
          <w:lang w:val="zh-CN"/>
        </w:rPr>
        <w:t xml:space="preserve">1、部门财政资金收支情况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（一）部门财政资金收入情况。2020年部门预算收入</w:t>
      </w:r>
      <w:r>
        <w:rPr>
          <w:rFonts w:hint="eastAsia" w:ascii="Times New Roman" w:hAnsi="Times New Roman" w:eastAsia="仿宋_GB2312" w:cs="Times New Roman"/>
          <w:sz w:val="32"/>
          <w:szCs w:val="32"/>
          <w:lang w:val="en-US" w:eastAsia="zh-CN"/>
        </w:rPr>
        <w:t>586.15万</w:t>
      </w:r>
      <w:r>
        <w:rPr>
          <w:rFonts w:hint="eastAsia" w:ascii="Times New Roman" w:hAnsi="Times New Roman" w:eastAsia="仿宋_GB2312" w:cs="Times New Roman"/>
          <w:sz w:val="32"/>
          <w:szCs w:val="32"/>
          <w:lang w:val="zh-CN"/>
        </w:rPr>
        <w:t>元，</w:t>
      </w:r>
      <w:r>
        <w:rPr>
          <w:rFonts w:hint="eastAsia" w:ascii="Times New Roman" w:hAnsi="Times New Roman" w:eastAsia="仿宋_GB2312" w:cs="Times New Roman"/>
          <w:sz w:val="32"/>
          <w:szCs w:val="32"/>
          <w:lang w:val="zh-CN" w:eastAsia="zh-CN"/>
        </w:rPr>
        <w:t>其中剑峰镇政府机关工资福利</w:t>
      </w:r>
      <w:r>
        <w:rPr>
          <w:rFonts w:hint="eastAsia" w:ascii="Times New Roman" w:hAnsi="Times New Roman" w:eastAsia="仿宋_GB2312" w:cs="Times New Roman"/>
          <w:sz w:val="32"/>
          <w:szCs w:val="32"/>
          <w:lang w:val="en-US" w:eastAsia="zh-CN"/>
        </w:rPr>
        <w:t>360.01</w:t>
      </w:r>
      <w:r>
        <w:rPr>
          <w:rFonts w:hint="eastAsia" w:ascii="Times New Roman" w:hAnsi="Times New Roman" w:eastAsia="仿宋_GB2312" w:cs="Times New Roman"/>
          <w:sz w:val="32"/>
          <w:szCs w:val="32"/>
          <w:lang w:val="zh-CN" w:eastAsia="zh-CN"/>
        </w:rPr>
        <w:t>万元；</w:t>
      </w:r>
      <w:r>
        <w:rPr>
          <w:rFonts w:hint="eastAsia" w:ascii="Times New Roman" w:hAnsi="Times New Roman" w:eastAsia="仿宋_GB2312" w:cs="Times New Roman"/>
          <w:sz w:val="32"/>
          <w:szCs w:val="32"/>
          <w:lang w:val="zh-CN"/>
        </w:rPr>
        <w:t>社区居民小组干部报酬</w:t>
      </w:r>
      <w:r>
        <w:rPr>
          <w:rFonts w:hint="eastAsia" w:ascii="Times New Roman" w:hAnsi="Times New Roman" w:eastAsia="仿宋_GB2312" w:cs="Times New Roman"/>
          <w:sz w:val="32"/>
          <w:szCs w:val="32"/>
          <w:lang w:val="en-US" w:eastAsia="zh-CN"/>
        </w:rPr>
        <w:t>0.66</w:t>
      </w:r>
      <w:r>
        <w:rPr>
          <w:rFonts w:hint="eastAsia" w:ascii="Times New Roman" w:hAnsi="Times New Roman" w:eastAsia="仿宋_GB2312" w:cs="Times New Roman"/>
          <w:sz w:val="32"/>
          <w:szCs w:val="32"/>
          <w:lang w:val="zh-CN"/>
        </w:rPr>
        <w:t>万元、村社干部报酬</w:t>
      </w:r>
      <w:r>
        <w:rPr>
          <w:rFonts w:hint="eastAsia" w:ascii="Times New Roman" w:hAnsi="Times New Roman" w:eastAsia="仿宋_GB2312" w:cs="Times New Roman"/>
          <w:sz w:val="32"/>
          <w:szCs w:val="32"/>
          <w:lang w:val="en-US" w:eastAsia="zh-CN"/>
        </w:rPr>
        <w:t>152.27</w:t>
      </w:r>
      <w:r>
        <w:rPr>
          <w:rFonts w:hint="eastAsia" w:ascii="Times New Roman" w:hAnsi="Times New Roman" w:eastAsia="仿宋_GB2312" w:cs="Times New Roman"/>
          <w:sz w:val="32"/>
          <w:szCs w:val="32"/>
          <w:lang w:val="zh-CN"/>
        </w:rPr>
        <w:t>万元、高校毕业生到基层任职的补助</w:t>
      </w:r>
      <w:r>
        <w:rPr>
          <w:rFonts w:hint="eastAsia" w:ascii="Times New Roman" w:hAnsi="Times New Roman" w:eastAsia="仿宋_GB2312" w:cs="Times New Roman"/>
          <w:sz w:val="32"/>
          <w:szCs w:val="32"/>
          <w:lang w:val="en-US" w:eastAsia="zh-CN"/>
        </w:rPr>
        <w:t>19.55</w:t>
      </w:r>
      <w:r>
        <w:rPr>
          <w:rFonts w:hint="eastAsia" w:ascii="Times New Roman" w:hAnsi="Times New Roman" w:eastAsia="仿宋_GB2312" w:cs="Times New Roman"/>
          <w:sz w:val="32"/>
          <w:szCs w:val="32"/>
          <w:lang w:val="zh-CN"/>
        </w:rPr>
        <w:t>万元；社区居民小组办公费</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rPr>
        <w:t>万元；村办公经费</w:t>
      </w:r>
      <w:r>
        <w:rPr>
          <w:rFonts w:hint="eastAsia" w:ascii="Times New Roman" w:hAnsi="Times New Roman" w:eastAsia="仿宋_GB2312" w:cs="Times New Roman"/>
          <w:sz w:val="32"/>
          <w:szCs w:val="32"/>
          <w:lang w:val="en-US" w:eastAsia="zh-CN"/>
        </w:rPr>
        <w:t>28.5</w:t>
      </w:r>
      <w:r>
        <w:rPr>
          <w:rFonts w:hint="eastAsia" w:ascii="Times New Roman" w:hAnsi="Times New Roman" w:eastAsia="仿宋_GB2312" w:cs="Times New Roman"/>
          <w:sz w:val="32"/>
          <w:szCs w:val="32"/>
          <w:lang w:val="zh-CN"/>
        </w:rPr>
        <w:t>万元；乡镇工作经费</w:t>
      </w:r>
      <w:r>
        <w:rPr>
          <w:rFonts w:hint="eastAsia" w:ascii="Times New Roman" w:hAnsi="Times New Roman" w:eastAsia="仿宋_GB2312" w:cs="Times New Roman"/>
          <w:sz w:val="32"/>
          <w:szCs w:val="32"/>
          <w:lang w:val="en-US" w:eastAsia="zh-CN"/>
        </w:rPr>
        <w:t>20万元，乡镇人民代表活动经费2.16万元</w:t>
      </w:r>
      <w:r>
        <w:rPr>
          <w:rFonts w:hint="eastAsia" w:ascii="Times New Roman" w:hAnsi="Times New Roman" w:eastAsia="仿宋_GB2312" w:cs="Times New Roman"/>
          <w:sz w:val="32"/>
          <w:szCs w:val="32"/>
          <w:lang w:val="zh-CN"/>
        </w:rPr>
        <w:t>。</w:t>
      </w:r>
    </w:p>
    <w:p>
      <w:pPr>
        <w:adjustRightInd w:val="0"/>
        <w:snapToGrid w:val="0"/>
        <w:spacing w:line="600" w:lineRule="exact"/>
        <w:ind w:firstLine="720"/>
        <w:jc w:val="left"/>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　　（二）部门财政资金支出情况。2020年，支付</w:t>
      </w:r>
      <w:r>
        <w:rPr>
          <w:rFonts w:hint="eastAsia" w:ascii="Times New Roman" w:hAnsi="Times New Roman" w:eastAsia="仿宋_GB2312" w:cs="Times New Roman"/>
          <w:sz w:val="32"/>
          <w:szCs w:val="32"/>
          <w:lang w:val="zh-CN" w:eastAsia="zh-CN"/>
        </w:rPr>
        <w:t>剑峰镇政府机关工资福利</w:t>
      </w:r>
      <w:r>
        <w:rPr>
          <w:rFonts w:hint="eastAsia" w:ascii="Times New Roman" w:hAnsi="Times New Roman" w:eastAsia="仿宋_GB2312" w:cs="Times New Roman"/>
          <w:sz w:val="32"/>
          <w:szCs w:val="32"/>
          <w:lang w:val="en-US" w:eastAsia="zh-CN"/>
        </w:rPr>
        <w:t>360.01</w:t>
      </w:r>
      <w:r>
        <w:rPr>
          <w:rFonts w:hint="eastAsia" w:ascii="Times New Roman" w:hAnsi="Times New Roman" w:eastAsia="仿宋_GB2312" w:cs="Times New Roman"/>
          <w:sz w:val="32"/>
          <w:szCs w:val="32"/>
          <w:lang w:val="zh-CN" w:eastAsia="zh-CN"/>
        </w:rPr>
        <w:t>万元、</w:t>
      </w:r>
      <w:r>
        <w:rPr>
          <w:rFonts w:hint="eastAsia" w:ascii="Times New Roman" w:hAnsi="Times New Roman" w:eastAsia="仿宋_GB2312" w:cs="Times New Roman"/>
          <w:sz w:val="32"/>
          <w:szCs w:val="32"/>
          <w:lang w:val="zh-CN"/>
        </w:rPr>
        <w:t>完成预算任务的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支付社区居民小组干部报酬</w:t>
      </w:r>
      <w:r>
        <w:rPr>
          <w:rFonts w:hint="eastAsia" w:ascii="Times New Roman" w:hAnsi="Times New Roman" w:eastAsia="仿宋_GB2312" w:cs="Times New Roman"/>
          <w:sz w:val="32"/>
          <w:szCs w:val="32"/>
          <w:lang w:val="en-US" w:eastAsia="zh-CN"/>
        </w:rPr>
        <w:t>0.66</w:t>
      </w:r>
      <w:r>
        <w:rPr>
          <w:rFonts w:hint="eastAsia" w:ascii="Times New Roman" w:hAnsi="Times New Roman" w:eastAsia="仿宋_GB2312" w:cs="Times New Roman"/>
          <w:sz w:val="32"/>
          <w:szCs w:val="32"/>
          <w:lang w:val="zh-CN"/>
        </w:rPr>
        <w:t>万元、完成预算任务的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支付村社干部报酬</w:t>
      </w:r>
      <w:r>
        <w:rPr>
          <w:rFonts w:hint="eastAsia" w:ascii="Times New Roman" w:hAnsi="Times New Roman" w:eastAsia="仿宋_GB2312" w:cs="Times New Roman"/>
          <w:sz w:val="32"/>
          <w:szCs w:val="32"/>
          <w:lang w:val="en-US" w:eastAsia="zh-CN"/>
        </w:rPr>
        <w:t>152.27</w:t>
      </w:r>
      <w:r>
        <w:rPr>
          <w:rFonts w:hint="eastAsia" w:ascii="Times New Roman" w:hAnsi="Times New Roman" w:eastAsia="仿宋_GB2312" w:cs="Times New Roman"/>
          <w:sz w:val="32"/>
          <w:szCs w:val="32"/>
          <w:lang w:val="zh-CN"/>
        </w:rPr>
        <w:t>万元、完成预算任务的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支付高校毕业生到基层任职的补助</w:t>
      </w:r>
      <w:r>
        <w:rPr>
          <w:rFonts w:hint="eastAsia" w:ascii="Times New Roman" w:hAnsi="Times New Roman" w:eastAsia="仿宋_GB2312" w:cs="Times New Roman"/>
          <w:sz w:val="32"/>
          <w:szCs w:val="32"/>
          <w:lang w:val="en-US" w:eastAsia="zh-CN"/>
        </w:rPr>
        <w:t>18.56</w:t>
      </w:r>
      <w:r>
        <w:rPr>
          <w:rFonts w:hint="eastAsia" w:ascii="Times New Roman" w:hAnsi="Times New Roman" w:eastAsia="仿宋_GB2312" w:cs="Times New Roman"/>
          <w:sz w:val="32"/>
          <w:szCs w:val="32"/>
          <w:lang w:val="zh-CN"/>
        </w:rPr>
        <w:t>万元、完成预算任务的</w:t>
      </w:r>
      <w:r>
        <w:rPr>
          <w:rFonts w:hint="eastAsia" w:ascii="Times New Roman" w:hAnsi="Times New Roman" w:eastAsia="仿宋_GB2312" w:cs="Times New Roman"/>
          <w:sz w:val="32"/>
          <w:szCs w:val="32"/>
          <w:lang w:val="en-US" w:eastAsia="zh-CN"/>
        </w:rPr>
        <w:t>94%</w:t>
      </w:r>
      <w:r>
        <w:rPr>
          <w:rFonts w:hint="eastAsia" w:ascii="Times New Roman" w:hAnsi="Times New Roman" w:eastAsia="仿宋_GB2312" w:cs="Times New Roman"/>
          <w:sz w:val="32"/>
          <w:szCs w:val="32"/>
          <w:lang w:val="zh-CN"/>
        </w:rPr>
        <w:t>、其原因是</w:t>
      </w:r>
      <w:r>
        <w:rPr>
          <w:rFonts w:hint="eastAsia" w:ascii="Times New Roman" w:hAnsi="Times New Roman" w:eastAsia="仿宋_GB2312" w:cs="Times New Roman"/>
          <w:sz w:val="32"/>
          <w:szCs w:val="32"/>
          <w:lang w:val="en-US" w:eastAsia="zh-CN"/>
        </w:rPr>
        <w:t>1名三支一扶人员于2020年10月辞职</w:t>
      </w:r>
      <w:r>
        <w:rPr>
          <w:rFonts w:hint="eastAsia" w:ascii="Times New Roman" w:hAnsi="Times New Roman" w:eastAsia="仿宋_GB2312" w:cs="Times New Roman"/>
          <w:sz w:val="32"/>
          <w:szCs w:val="32"/>
          <w:lang w:val="zh-CN"/>
        </w:rPr>
        <w:t>；支付社区居民小组办</w:t>
      </w:r>
      <w:r>
        <w:rPr>
          <w:rFonts w:hint="eastAsia" w:ascii="Times New Roman" w:hAnsi="Times New Roman" w:eastAsia="仿宋_GB2312" w:cs="Times New Roman"/>
          <w:sz w:val="32"/>
          <w:szCs w:val="32"/>
          <w:lang w:val="en-US" w:eastAsia="zh-CN"/>
        </w:rPr>
        <w:t>公</w:t>
      </w:r>
      <w:r>
        <w:rPr>
          <w:rFonts w:hint="eastAsia" w:ascii="Times New Roman" w:hAnsi="Times New Roman" w:eastAsia="仿宋_GB2312" w:cs="Times New Roman"/>
          <w:sz w:val="32"/>
          <w:szCs w:val="32"/>
          <w:lang w:val="zh-CN"/>
        </w:rPr>
        <w:t>费</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rPr>
        <w:t>万元，完成预算任务的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支付村办公费</w:t>
      </w:r>
      <w:r>
        <w:rPr>
          <w:rFonts w:hint="eastAsia" w:ascii="Times New Roman" w:hAnsi="Times New Roman" w:eastAsia="仿宋_GB2312" w:cs="Times New Roman"/>
          <w:sz w:val="32"/>
          <w:szCs w:val="32"/>
          <w:lang w:val="en-US" w:eastAsia="zh-CN"/>
        </w:rPr>
        <w:t>28.5</w:t>
      </w:r>
      <w:r>
        <w:rPr>
          <w:rFonts w:hint="eastAsia" w:ascii="Times New Roman" w:hAnsi="Times New Roman" w:eastAsia="仿宋_GB2312" w:cs="Times New Roman"/>
          <w:sz w:val="32"/>
          <w:szCs w:val="32"/>
          <w:lang w:val="zh-CN"/>
        </w:rPr>
        <w:t>万元，完成预算任务的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支付乡镇工作经费</w:t>
      </w:r>
      <w:r>
        <w:rPr>
          <w:rFonts w:hint="eastAsia" w:ascii="Times New Roman" w:hAnsi="Times New Roman" w:eastAsia="仿宋_GB2312" w:cs="Times New Roman"/>
          <w:sz w:val="32"/>
          <w:szCs w:val="32"/>
          <w:lang w:val="en-US" w:eastAsia="zh-CN"/>
        </w:rPr>
        <w:t>20万元，</w:t>
      </w:r>
      <w:r>
        <w:rPr>
          <w:rFonts w:hint="eastAsia" w:ascii="Times New Roman" w:hAnsi="Times New Roman" w:eastAsia="仿宋_GB2312" w:cs="Times New Roman"/>
          <w:sz w:val="32"/>
          <w:szCs w:val="32"/>
          <w:lang w:val="zh-CN"/>
        </w:rPr>
        <w:t>完成预算任务的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；支付乡镇代表活动经费</w:t>
      </w:r>
      <w:r>
        <w:rPr>
          <w:rFonts w:hint="eastAsia" w:ascii="Times New Roman" w:hAnsi="Times New Roman" w:eastAsia="仿宋_GB2312" w:cs="Times New Roman"/>
          <w:sz w:val="32"/>
          <w:szCs w:val="32"/>
          <w:lang w:val="en-US" w:eastAsia="zh-CN"/>
        </w:rPr>
        <w:t>2.16万元，</w:t>
      </w:r>
      <w:r>
        <w:rPr>
          <w:rFonts w:hint="eastAsia" w:ascii="Times New Roman" w:hAnsi="Times New Roman" w:eastAsia="仿宋_GB2312" w:cs="Times New Roman"/>
          <w:sz w:val="32"/>
          <w:szCs w:val="32"/>
          <w:lang w:val="zh-CN"/>
        </w:rPr>
        <w:t>完成预算任务的</w:t>
      </w:r>
      <w:r>
        <w:rPr>
          <w:rFonts w:hint="eastAsia" w:ascii="Times New Roman" w:hAnsi="Times New Roman" w:eastAsia="仿宋_GB2312" w:cs="Times New Roman"/>
          <w:sz w:val="32"/>
          <w:szCs w:val="32"/>
          <w:lang w:val="en-US" w:eastAsia="zh-CN"/>
        </w:rPr>
        <w:t>100%。</w:t>
      </w:r>
    </w:p>
    <w:p>
      <w:pPr>
        <w:spacing w:line="600" w:lineRule="exact"/>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 xml:space="preserve">　   </w:t>
      </w:r>
      <w:r>
        <w:rPr>
          <w:rFonts w:hint="eastAsia" w:ascii="宋体" w:hAnsi="Calibri" w:cs="宋体"/>
          <w:kern w:val="0"/>
          <w:sz w:val="32"/>
          <w:szCs w:val="32"/>
          <w:highlight w:val="white"/>
          <w:lang w:val="zh-CN"/>
        </w:rPr>
        <w:t>三、部门整体预算绩效管理情况</w:t>
      </w:r>
      <w:r>
        <w:rPr>
          <w:rFonts w:hint="eastAsia" w:ascii="Times New Roman" w:hAnsi="Times New Roman" w:eastAsia="仿宋_GB2312" w:cs="Times New Roman"/>
          <w:sz w:val="32"/>
          <w:szCs w:val="32"/>
          <w:lang w:val="zh-CN"/>
        </w:rPr>
        <w:t xml:space="preserve">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（一）部门预算管理。</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本单位按照国家预算法编制预算、决算。我单位按照国家规定安排预算支出，量入为出、收支平衡，并接受国家有关部门的监督。项目资金严格按照规定用途使用，并按要求绩效评价。单位结余结转资金按财政要求处理。 </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 xml:space="preserve">（二）执行管理情况。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本单位是按照区财政全年下达的预算指标来安排各项工作，预算执行情况总体良好。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（三）支出绩效情况。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1、部门支出绩效。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（1）运转保障。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在单位的日常经费管理工作中首先保障单位基本运转，保障人员经费支出和日常公用经费，确保我镇各项工作的正常运转和人员稳定。　</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 xml:space="preserve">（2）厉行节约。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本单位在保障基本运转的前提下，大力倡导厉行节约，把有限的资金用在刀刃上。2020年全年无因公出国（境）费用，车辆运行费用26,826.00元，公务接待经费全年预算</w:t>
      </w:r>
      <w:r>
        <w:rPr>
          <w:rFonts w:hint="eastAsia" w:ascii="Times New Roman" w:hAnsi="Times New Roman" w:eastAsia="仿宋_GB2312" w:cs="Times New Roman"/>
          <w:sz w:val="32"/>
          <w:szCs w:val="32"/>
          <w:lang w:val="en-US" w:eastAsia="zh-CN"/>
        </w:rPr>
        <w:t>20736</w:t>
      </w:r>
      <w:r>
        <w:rPr>
          <w:rFonts w:hint="eastAsia" w:ascii="Times New Roman" w:hAnsi="Times New Roman" w:eastAsia="仿宋_GB2312" w:cs="Times New Roman"/>
          <w:sz w:val="32"/>
          <w:szCs w:val="32"/>
          <w:lang w:val="zh-CN"/>
        </w:rPr>
        <w:t>元，实际发生的公务接待费为15,929.00元，占预算</w:t>
      </w:r>
      <w:r>
        <w:rPr>
          <w:rFonts w:hint="eastAsia" w:ascii="Times New Roman" w:hAnsi="Times New Roman" w:eastAsia="仿宋_GB2312" w:cs="Times New Roman"/>
          <w:sz w:val="32"/>
          <w:szCs w:val="32"/>
          <w:lang w:val="en-US" w:eastAsia="zh-CN"/>
        </w:rPr>
        <w:t>76</w:t>
      </w:r>
      <w:r>
        <w:rPr>
          <w:rFonts w:hint="eastAsia" w:ascii="Times New Roman" w:hAnsi="Times New Roman" w:eastAsia="仿宋_GB2312" w:cs="Times New Roman"/>
          <w:sz w:val="32"/>
          <w:szCs w:val="32"/>
          <w:lang w:val="zh-CN"/>
        </w:rPr>
        <w:t>%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2、专项预算项目支出绩效。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（1）项目资金管理情况。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我镇严格按照项目资金用途使用资金，做到专款专用。在遵循国家的《采购法》、《预算法》充分认识到项目资金的重要性和特殊性，以高度的责任感和使命感管好用好每一分钱，使资金的安排、使用发挥出最大效益，实现项目目标。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（2）绩效目标完成情况。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我镇高度重视项目资金的管理，项目实施完成后，极大地改善了我镇群众的生产、生活条件，巩固了我镇脱贫成果，确保我镇在2020年前稳步进入小康水平打下了坚实基础。</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 xml:space="preserve"> </w:t>
      </w:r>
      <w:r>
        <w:rPr>
          <w:rFonts w:hint="eastAsia" w:ascii="宋体" w:hAnsi="Calibri" w:cs="宋体"/>
          <w:kern w:val="0"/>
          <w:sz w:val="32"/>
          <w:szCs w:val="32"/>
          <w:highlight w:val="white"/>
          <w:lang w:val="zh-CN"/>
        </w:rPr>
        <w:t>（四）财务管理情况。</w:t>
      </w:r>
      <w:r>
        <w:rPr>
          <w:rFonts w:hint="eastAsia" w:ascii="Times New Roman" w:hAnsi="Times New Roman" w:eastAsia="仿宋_GB2312" w:cs="Times New Roman"/>
          <w:sz w:val="32"/>
          <w:szCs w:val="32"/>
          <w:lang w:val="zh-CN"/>
        </w:rPr>
        <w:t xml:space="preserve">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本单位制定有财务管理制度、内控制度及机关工作管理制度等，细化了财务工作，明确了财务管理人员各自的责任，规章制度建立健全，制度执行严格合规，管理规范。会计核算符合相关规定，做到了资金的专款专用，资金支付依据和开支标准合法合规，账务处理正确，核算准确，会计科目使用完整正确，无乱用会计科目的现象。本单位严格按政府采购相关规定进行采购。 </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宋体" w:hAnsi="Calibri" w:cs="宋体"/>
          <w:kern w:val="0"/>
          <w:sz w:val="32"/>
          <w:szCs w:val="32"/>
          <w:highlight w:val="white"/>
          <w:lang w:val="zh-CN"/>
        </w:rPr>
        <w:t>（五）结果应用情况。</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rPr>
        <w:t xml:space="preserve">预决算公开情况。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按照相关规定，本单位部门预决算、“三公”经费预决算、其他重要财政资金使用情况均已公开公示。 </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rPr>
        <w:t>评价结果整改和应用结果反馈</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我单位对绩效评价存在问题进行及时整改。</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rPr>
        <w:t xml:space="preserve">绩效管理工作开展情况。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xml:space="preserve">　　我单位已按照财政局要求强化绩效管理理念，秉承客观公正、实事求是的原则开展了单位自评工作，把好的经验用于本镇以后的工作中，力争使财政资金在更大程度上发挥积极的作用。 </w:t>
      </w:r>
      <w:r>
        <w:rPr>
          <w:rFonts w:hint="eastAsia" w:ascii="Times New Roman" w:hAnsi="Times New Roman" w:eastAsia="仿宋_GB2312" w:cs="Times New Roman"/>
          <w:sz w:val="32"/>
          <w:szCs w:val="32"/>
          <w:lang w:val="zh-CN"/>
        </w:rPr>
        <w:br w:type="textWrapping"/>
      </w:r>
      <w:r>
        <w:rPr>
          <w:rFonts w:hint="eastAsia" w:ascii="Times New Roman" w:hAnsi="Times New Roman" w:eastAsia="仿宋_GB2312" w:cs="Times New Roman"/>
          <w:sz w:val="32"/>
          <w:szCs w:val="32"/>
          <w:lang w:val="zh-CN"/>
        </w:rPr>
        <w:t>　　</w:t>
      </w:r>
      <w:r>
        <w:rPr>
          <w:rFonts w:hint="eastAsia" w:ascii="宋体" w:hAnsi="Calibri" w:cs="宋体"/>
          <w:kern w:val="0"/>
          <w:sz w:val="32"/>
          <w:szCs w:val="32"/>
          <w:highlight w:val="white"/>
          <w:lang w:val="zh-CN"/>
        </w:rPr>
        <w:t xml:space="preserve">四、评价结论及建议 </w:t>
      </w:r>
      <w:r>
        <w:rPr>
          <w:rFonts w:hint="eastAsia" w:ascii="宋体" w:hAnsi="Calibri" w:cs="宋体"/>
          <w:kern w:val="0"/>
          <w:sz w:val="32"/>
          <w:szCs w:val="32"/>
          <w:highlight w:val="white"/>
          <w:lang w:val="zh-CN"/>
        </w:rPr>
        <w:br w:type="textWrapping"/>
      </w:r>
      <w:r>
        <w:rPr>
          <w:rFonts w:hint="eastAsia" w:ascii="宋体" w:hAnsi="Calibri" w:cs="宋体"/>
          <w:kern w:val="0"/>
          <w:sz w:val="32"/>
          <w:szCs w:val="32"/>
          <w:highlight w:val="white"/>
          <w:lang w:val="zh-CN"/>
        </w:rPr>
        <w:t xml:space="preserve">　　（一）评价结论。 </w:t>
      </w:r>
      <w:r>
        <w:rPr>
          <w:rFonts w:hint="eastAsia" w:ascii="宋体" w:hAnsi="Calibri" w:cs="宋体"/>
          <w:kern w:val="0"/>
          <w:sz w:val="32"/>
          <w:szCs w:val="32"/>
          <w:highlight w:val="white"/>
          <w:lang w:val="zh-CN"/>
        </w:rPr>
        <w:br w:type="textWrapping"/>
      </w:r>
      <w:r>
        <w:rPr>
          <w:rFonts w:hint="eastAsia" w:ascii="Times New Roman" w:hAnsi="Times New Roman" w:eastAsia="仿宋_GB2312" w:cs="Times New Roman"/>
          <w:sz w:val="32"/>
          <w:szCs w:val="32"/>
          <w:lang w:val="zh-CN"/>
        </w:rPr>
        <w:t>　　我镇支出绩效总体良好，各项目标达到了相应时期执行进度，各项专项经费按预算实施，使财政收支预算执行都得了良好的制度保障和实施效果。</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宋体" w:hAnsi="Calibri" w:cs="宋体"/>
          <w:kern w:val="0"/>
          <w:sz w:val="32"/>
          <w:szCs w:val="32"/>
          <w:highlight w:val="white"/>
          <w:lang w:val="zh-CN"/>
        </w:rPr>
        <w:t>（二）存在问题。</w:t>
      </w:r>
      <w:r>
        <w:rPr>
          <w:rFonts w:hint="eastAsia" w:ascii="Times New Roman" w:hAnsi="Times New Roman" w:eastAsia="仿宋_GB2312" w:cs="Times New Roman"/>
          <w:sz w:val="32"/>
          <w:szCs w:val="32"/>
          <w:lang w:val="zh-CN"/>
        </w:rPr>
        <w:t xml:space="preserve"> </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预算执行率为99%，预算精度不够；拨款进度较为迟缓，主要表现在9月时</w:t>
      </w:r>
      <w:r>
        <w:rPr>
          <w:rFonts w:hint="eastAsia" w:ascii="Times New Roman" w:hAnsi="Times New Roman" w:eastAsia="仿宋_GB2312" w:cs="Times New Roman"/>
          <w:sz w:val="32"/>
          <w:szCs w:val="32"/>
          <w:lang w:val="zh-CN" w:eastAsia="zh-CN"/>
        </w:rPr>
        <w:t>村社区干部报酬</w:t>
      </w:r>
      <w:r>
        <w:rPr>
          <w:rFonts w:hint="eastAsia" w:ascii="Times New Roman" w:hAnsi="Times New Roman" w:eastAsia="仿宋_GB2312" w:cs="Times New Roman"/>
          <w:sz w:val="32"/>
          <w:szCs w:val="32"/>
          <w:lang w:val="zh-CN"/>
        </w:rPr>
        <w:t>拨款未达到75%，只达到了60%、在9月时村社标本运转经费支付进度未达到75%，只达到了41%；基层事务不断增加，经费缺口仍然难以满足。</w:t>
      </w:r>
    </w:p>
    <w:p>
      <w:pPr>
        <w:spacing w:line="600" w:lineRule="exact"/>
        <w:ind w:firstLine="640" w:firstLineChars="200"/>
        <w:rPr>
          <w:rFonts w:hint="eastAsia" w:ascii="宋体" w:hAnsi="Calibri" w:cs="宋体"/>
          <w:kern w:val="0"/>
          <w:sz w:val="32"/>
          <w:szCs w:val="32"/>
          <w:highlight w:val="white"/>
          <w:lang w:val="zh-CN"/>
        </w:rPr>
      </w:pPr>
      <w:r>
        <w:rPr>
          <w:rFonts w:hint="eastAsia" w:ascii="Times New Roman" w:hAnsi="Times New Roman" w:eastAsia="仿宋_GB2312" w:cs="Times New Roman"/>
          <w:sz w:val="32"/>
          <w:szCs w:val="32"/>
          <w:lang w:val="zh-CN"/>
        </w:rPr>
        <w:t>（</w:t>
      </w:r>
      <w:r>
        <w:rPr>
          <w:rFonts w:hint="eastAsia" w:ascii="宋体" w:hAnsi="Calibri" w:cs="宋体"/>
          <w:kern w:val="0"/>
          <w:sz w:val="32"/>
          <w:szCs w:val="32"/>
          <w:highlight w:val="white"/>
          <w:lang w:val="zh-CN"/>
        </w:rPr>
        <w:t>三）改进建议。</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加大预算的精度。来年加强预算管理，按每月（季）执行村社区干部报酬及基本运转经费。</w:t>
      </w:r>
    </w:p>
    <w:p>
      <w:pPr>
        <w:spacing w:line="600" w:lineRule="exact"/>
        <w:ind w:firstLine="640" w:firstLineChars="200"/>
        <w:rPr>
          <w:rFonts w:hint="eastAsia" w:ascii="宋体" w:hAnsi="Calibri" w:cs="宋体"/>
          <w:kern w:val="0"/>
          <w:sz w:val="32"/>
          <w:szCs w:val="32"/>
          <w:highlight w:val="white"/>
          <w:lang w:val="zh-CN"/>
        </w:rPr>
      </w:pPr>
      <w:r>
        <w:rPr>
          <w:rFonts w:hint="eastAsia" w:ascii="宋体" w:hAnsi="Calibri" w:cs="宋体"/>
          <w:kern w:val="0"/>
          <w:sz w:val="32"/>
          <w:szCs w:val="32"/>
          <w:highlight w:val="white"/>
          <w:lang w:val="zh-CN"/>
        </w:rPr>
        <w:t>（四）自评结果</w:t>
      </w:r>
    </w:p>
    <w:p>
      <w:pPr>
        <w:spacing w:line="600" w:lineRule="exact"/>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我镇对我单位2020年部门整体支出绩效自评分总分为</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rPr>
        <w:t>分，自评分数为</w:t>
      </w:r>
      <w:r>
        <w:rPr>
          <w:rFonts w:hint="eastAsia" w:ascii="Times New Roman" w:hAnsi="Times New Roman" w:eastAsia="仿宋_GB2312" w:cs="Times New Roman"/>
          <w:sz w:val="32"/>
          <w:szCs w:val="32"/>
          <w:lang w:val="en-US" w:eastAsia="zh-CN"/>
        </w:rPr>
        <w:t>99.9</w:t>
      </w:r>
      <w:r>
        <w:rPr>
          <w:rFonts w:hint="eastAsia" w:ascii="Times New Roman" w:hAnsi="Times New Roman" w:eastAsia="仿宋_GB2312" w:cs="Times New Roman"/>
          <w:sz w:val="32"/>
          <w:szCs w:val="32"/>
          <w:lang w:val="zh-CN"/>
        </w:rPr>
        <w:t>分。</w:t>
      </w:r>
    </w:p>
    <w:tbl>
      <w:tblPr>
        <w:tblStyle w:val="13"/>
        <w:tblW w:w="87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4"/>
        <w:gridCol w:w="687"/>
        <w:gridCol w:w="2124"/>
        <w:gridCol w:w="1874"/>
        <w:gridCol w:w="1109"/>
        <w:gridCol w:w="720"/>
        <w:gridCol w:w="67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8" w:hRule="atLeast"/>
        </w:trPr>
        <w:tc>
          <w:tcPr>
            <w:tcW w:w="8713"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2020年度部门整体绩效自评表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部门名称</w:t>
            </w:r>
          </w:p>
        </w:tc>
        <w:tc>
          <w:tcPr>
            <w:tcW w:w="749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乐山市市中区剑峰镇人民政府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1"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机构设置</w:t>
            </w:r>
          </w:p>
        </w:tc>
        <w:tc>
          <w:tcPr>
            <w:tcW w:w="749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600" w:lineRule="exact"/>
              <w:ind w:firstLine="360" w:firstLineChars="200"/>
              <w:rPr>
                <w:rFonts w:hint="eastAsia" w:eastAsia="仿宋_GB2312"/>
                <w:sz w:val="18"/>
                <w:szCs w:val="18"/>
              </w:rPr>
            </w:pPr>
            <w:r>
              <w:rPr>
                <w:rFonts w:hint="eastAsia" w:eastAsia="仿宋_GB2312"/>
                <w:sz w:val="18"/>
                <w:szCs w:val="18"/>
              </w:rPr>
              <w:t>乐山市市中区剑峰镇人民政府领导机构设镇党委、人大、政府。镇政府机关综合机构为党政办、社会事务办公室（挂社会治理办公室、应急管理办公室牌子）、综合执法办公室（挂规划建设管理办公室、自然资源和生态环境保护办公室牌子），</w:t>
            </w:r>
            <w:r>
              <w:rPr>
                <w:rFonts w:hint="eastAsia" w:eastAsia="仿宋_GB2312"/>
                <w:sz w:val="18"/>
                <w:szCs w:val="18"/>
                <w:lang w:eastAsia="zh-CN"/>
              </w:rPr>
              <w:t>镇</w:t>
            </w:r>
            <w:r>
              <w:rPr>
                <w:rFonts w:hint="eastAsia" w:eastAsia="仿宋_GB2312"/>
                <w:sz w:val="18"/>
                <w:szCs w:val="18"/>
              </w:rPr>
              <w:t>村振兴办公室。镇政府直属事业机构为便民服务中心</w:t>
            </w:r>
            <w:r>
              <w:rPr>
                <w:rFonts w:eastAsia="仿宋_GB2312"/>
                <w:sz w:val="18"/>
                <w:szCs w:val="18"/>
              </w:rPr>
              <w:t>(</w:t>
            </w:r>
            <w:r>
              <w:rPr>
                <w:rFonts w:hint="eastAsia" w:eastAsia="仿宋_GB2312"/>
                <w:color w:val="auto"/>
                <w:sz w:val="18"/>
                <w:szCs w:val="18"/>
              </w:rPr>
              <w:t>挂</w:t>
            </w:r>
            <w:r>
              <w:rPr>
                <w:rFonts w:hint="eastAsia" w:eastAsia="仿宋_GB2312"/>
                <w:sz w:val="18"/>
                <w:szCs w:val="18"/>
              </w:rPr>
              <w:t>农民工服务中心、退役军人服务站牌子</w:t>
            </w:r>
            <w:r>
              <w:rPr>
                <w:rFonts w:eastAsia="仿宋_GB2312"/>
                <w:sz w:val="18"/>
                <w:szCs w:val="18"/>
              </w:rPr>
              <w:t>)</w:t>
            </w:r>
            <w:r>
              <w:rPr>
                <w:rFonts w:hint="eastAsia" w:eastAsia="仿宋_GB2312"/>
                <w:sz w:val="18"/>
                <w:szCs w:val="18"/>
              </w:rPr>
              <w:t>、农业综合服务中心（挂村（社区）治理服务中心、畜牧兽医站牌子）、文化旅游服务中心。</w:t>
            </w:r>
          </w:p>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主要职能职责</w:t>
            </w:r>
          </w:p>
        </w:tc>
        <w:tc>
          <w:tcPr>
            <w:tcW w:w="749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r>
              <w:rPr>
                <w:rFonts w:hint="eastAsia" w:ascii="仿宋_GB2312" w:hAnsi="仿宋" w:eastAsia="仿宋_GB2312" w:cs="仿宋"/>
                <w:sz w:val="18"/>
                <w:szCs w:val="18"/>
              </w:rPr>
              <w:t>负责贯彻执行党和国家的路线方针政策、法律法规规章，执行区委、区政府的决定；落实全面从严治党主体责任、负责加强基层党组织建设和基层政权建设，巩固党的执政基础，负责挡风廉政建设和反腐败工作；加强基层宣传思想文化工作，推进基层精神文明建设，培养和弘扬社会主义核心价值观，创造良好社会环境；拟定社会事业发展规划并组织实施，负责教育、科技、文化旅游、体育、广播电视、民政、卫生健康、医疗保障等工作，推进便民服务中心规范化建设；拟定乡村振兴发展规划并组织实施，负责农业产业升级转型、美丽乡村建设、农村文化生活繁荣、农村基础设施和公共服务能力提升、脱贫攻坚等工作；负责城乡基层治理工作，加强社会主义民主法治建设和精神文明建设；负责公共事务综合管理，参与规划建设，负责拟定村镇国土空间规划并组织实施，承担重点工程建设、乡村道路建设及公共设施等管理工作；负责统筹协调综合执法、城镇和市场监管工作，统筹组织协调指挥辖区内派驻和基层执法力量；负责应急管理和安全生产工作、自然资源生态环境保护工作；负责推进基层民主法治建设，加强普法依法治理，负责对干部的教育、培训、选拔、考核和监督工作；负责编制和执行本级预算、决算，加强本级财政、所属事业机构以及村社区财务的核算和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1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部门资金使用情况</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3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9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586.15</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585.16</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0.998311013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5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1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18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年初预期值</w:t>
            </w:r>
          </w:p>
        </w:tc>
        <w:tc>
          <w:tcPr>
            <w:tcW w:w="11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实际完成值</w:t>
            </w:r>
          </w:p>
        </w:tc>
        <w:tc>
          <w:tcPr>
            <w:tcW w:w="7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分值</w:t>
            </w:r>
          </w:p>
        </w:tc>
        <w:tc>
          <w:tcPr>
            <w:tcW w:w="6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9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3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绩效情况</w:t>
            </w:r>
          </w:p>
        </w:tc>
        <w:tc>
          <w:tcPr>
            <w:tcW w:w="57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  分</w:t>
            </w:r>
          </w:p>
        </w:tc>
        <w:tc>
          <w:tcPr>
            <w:tcW w:w="720" w:type="dxa"/>
            <w:tcBorders>
              <w:top w:val="nil"/>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675" w:type="dxa"/>
            <w:tcBorders>
              <w:top w:val="nil"/>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99.9</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管理指标</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预算编制合理性</w:t>
            </w:r>
          </w:p>
        </w:tc>
        <w:tc>
          <w:tcPr>
            <w:tcW w:w="298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（管理指标不设绩效指标，按指标评价内容直接评分）</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298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预算执行率=1，得10分；预算执行率&lt;1时，按预算执行率*10计算；2&gt;预算执行率&gt;1时，按（2-预算执行率）*10计算；预算执行率≥2时，不得分。</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1名三支一扶人员于2020年10月辞职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三公经费控制率</w:t>
            </w:r>
          </w:p>
        </w:tc>
        <w:tc>
          <w:tcPr>
            <w:tcW w:w="298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（管理指标不设绩效指标，按指标评价内容直接评分）</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财务管理制度健全性</w:t>
            </w:r>
          </w:p>
        </w:tc>
        <w:tc>
          <w:tcPr>
            <w:tcW w:w="298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（管理指标不设绩效指标，按指标评价内容直接评分）</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资金使用合规性</w:t>
            </w:r>
          </w:p>
        </w:tc>
        <w:tc>
          <w:tcPr>
            <w:tcW w:w="298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（管理指标不设绩效指标，按指标评价内容直接评分）</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政府采购规范性</w:t>
            </w:r>
          </w:p>
        </w:tc>
        <w:tc>
          <w:tcPr>
            <w:tcW w:w="298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（管理指标不设绩效指标，按指标评价内容直接评分）</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资产管理有效性</w:t>
            </w:r>
          </w:p>
        </w:tc>
        <w:tc>
          <w:tcPr>
            <w:tcW w:w="298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（管理指标不设绩效指标，按指标评价内容直接评分）</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履职情况</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完成情况</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（部门预期完成的收入金额、项目个数，质量，时效，成本等）</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（部门实际完成的收入金额、项目个数，质量，时效，成本等）</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53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效益情况</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（部门预期取得的效益及受益人员满意度等）</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（部门实际取得的效益及受益人员满意度等）</w:t>
            </w:r>
          </w:p>
        </w:tc>
        <w:tc>
          <w:tcPr>
            <w:tcW w:w="720" w:type="dxa"/>
            <w:tcBorders>
              <w:top w:val="single" w:color="000000" w:sz="4" w:space="0"/>
              <w:left w:val="single" w:color="000000" w:sz="4" w:space="0"/>
              <w:bottom w:val="single" w:color="000000" w:sz="4" w:space="0"/>
              <w:right w:val="single" w:color="000000" w:sz="4" w:space="0"/>
            </w:tcBorders>
            <w:shd w:val="clear" w:color="auto" w:fill="EDEDED"/>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存在问题</w:t>
            </w:r>
          </w:p>
        </w:tc>
        <w:tc>
          <w:tcPr>
            <w:tcW w:w="749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为99%，预算精度不够；拨款进度较为迟缓，主要表现在9月时村社区干部报酬拨款未达到75%，只达到了60%、在9月时村社标本运转经费支付进度未达到75%，只达到了41%；基层事务不断增加，经费缺口仍然难以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改进措施</w:t>
            </w:r>
          </w:p>
        </w:tc>
        <w:tc>
          <w:tcPr>
            <w:tcW w:w="749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加大预算的精度。来年加强预算管理，按每月（季）执行村社区干部报酬及基本运转经费。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871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填报人：万年国                </w:t>
            </w:r>
          </w:p>
        </w:tc>
      </w:tr>
    </w:tbl>
    <w:p>
      <w:pPr>
        <w:spacing w:line="600" w:lineRule="exact"/>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　　　　　　　　　　　　　　　　</w:t>
      </w:r>
    </w:p>
    <w:p>
      <w:pPr>
        <w:autoSpaceDE w:val="0"/>
        <w:autoSpaceDN w:val="0"/>
        <w:adjustRightInd w:val="0"/>
        <w:spacing w:line="400" w:lineRule="exact"/>
        <w:ind w:firstLine="31680"/>
        <w:jc w:val="right"/>
        <w:rPr>
          <w:rFonts w:hint="eastAsia" w:ascii="宋体" w:hAnsi="Calibri" w:cs="宋体"/>
          <w:kern w:val="0"/>
          <w:sz w:val="27"/>
          <w:szCs w:val="27"/>
          <w:lang w:val="zh-CN"/>
        </w:rPr>
      </w:pPr>
      <w:r>
        <w:rPr>
          <w:rFonts w:hint="eastAsia" w:ascii="宋体" w:hAnsi="Calibri" w:cs="宋体"/>
          <w:kern w:val="0"/>
          <w:sz w:val="27"/>
          <w:szCs w:val="27"/>
          <w:lang w:val="zh-CN"/>
        </w:rPr>
        <w:t>乐</w:t>
      </w:r>
    </w:p>
    <w:p>
      <w:pPr>
        <w:autoSpaceDE w:val="0"/>
        <w:autoSpaceDN w:val="0"/>
        <w:adjustRightInd w:val="0"/>
        <w:spacing w:line="400" w:lineRule="exact"/>
        <w:ind w:firstLine="31680"/>
        <w:jc w:val="right"/>
        <w:rPr>
          <w:rFonts w:hint="eastAsia" w:ascii="宋体" w:hAnsi="Calibri" w:cs="宋体"/>
          <w:kern w:val="0"/>
          <w:sz w:val="27"/>
          <w:szCs w:val="27"/>
          <w:lang w:val="zh-CN"/>
        </w:rPr>
      </w:pPr>
    </w:p>
    <w:p>
      <w:pPr>
        <w:spacing w:line="560" w:lineRule="exact"/>
        <w:ind w:firstLine="640" w:firstLineChars="200"/>
        <w:rPr>
          <w:rFonts w:hint="eastAsia" w:ascii="仿宋_GB2312" w:hAnsi="Calibri" w:eastAsia="仿宋_GB2312" w:cs="宋体"/>
          <w:kern w:val="0"/>
          <w:sz w:val="32"/>
          <w:szCs w:val="32"/>
          <w:lang w:val="zh-CN"/>
        </w:rPr>
      </w:pPr>
    </w:p>
    <w:p>
      <w:pPr>
        <w:spacing w:line="600" w:lineRule="exact"/>
        <w:jc w:val="center"/>
        <w:outlineLvl w:val="0"/>
        <w:rPr>
          <w:rFonts w:ascii="黑体" w:hAnsi="黑体" w:eastAsia="黑体" w:cs="黑体"/>
          <w:color w:val="000000"/>
          <w:sz w:val="44"/>
          <w:szCs w:val="44"/>
        </w:rPr>
      </w:pPr>
      <w:bookmarkStart w:id="53" w:name="RANGE!A1:F39"/>
      <w:bookmarkEnd w:id="53"/>
      <w:bookmarkStart w:id="54" w:name="_Toc15396618"/>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Fonts w:hint="eastAsia" w:ascii="黑体" w:hAnsi="黑体" w:eastAsia="黑体" w:cs="黑体"/>
          <w:color w:val="000000"/>
          <w:sz w:val="44"/>
          <w:szCs w:val="44"/>
        </w:rPr>
      </w:pPr>
    </w:p>
    <w:p>
      <w:pPr>
        <w:spacing w:line="600" w:lineRule="exact"/>
        <w:jc w:val="center"/>
        <w:outlineLvl w:val="0"/>
        <w:rPr>
          <w:rStyle w:val="17"/>
          <w:rFonts w:hint="eastAsia" w:ascii="黑体" w:hAnsi="黑体" w:eastAsia="黑体" w:cs="黑体"/>
          <w:b w:val="0"/>
          <w:bCs w:val="0"/>
        </w:rPr>
      </w:pPr>
      <w:r>
        <w:rPr>
          <w:rFonts w:hint="eastAsia" w:ascii="黑体" w:hAnsi="黑体" w:eastAsia="黑体" w:cs="黑体"/>
          <w:color w:val="000000"/>
          <w:sz w:val="44"/>
          <w:szCs w:val="44"/>
        </w:rPr>
        <w:t>第</w:t>
      </w:r>
      <w:r>
        <w:rPr>
          <w:rStyle w:val="17"/>
          <w:rFonts w:hint="eastAsia" w:ascii="黑体" w:hAnsi="黑体" w:eastAsia="黑体" w:cs="黑体"/>
          <w:b w:val="0"/>
          <w:bCs w:val="0"/>
        </w:rPr>
        <w:t>五部分</w:t>
      </w:r>
      <w:r>
        <w:rPr>
          <w:rStyle w:val="17"/>
          <w:rFonts w:ascii="黑体" w:hAnsi="黑体" w:eastAsia="黑体" w:cs="黑体"/>
          <w:b w:val="0"/>
          <w:bCs w:val="0"/>
        </w:rPr>
        <w:t xml:space="preserve"> </w:t>
      </w:r>
      <w:r>
        <w:rPr>
          <w:rStyle w:val="17"/>
          <w:rFonts w:hint="eastAsia" w:ascii="黑体" w:hAnsi="黑体" w:eastAsia="黑体" w:cs="黑体"/>
          <w:b w:val="0"/>
          <w:bCs w:val="0"/>
        </w:rPr>
        <w:t>附表</w:t>
      </w:r>
      <w:bookmarkEnd w:id="51"/>
      <w:bookmarkEnd w:id="54"/>
      <w:bookmarkStart w:id="55" w:name="_Toc15396619"/>
    </w:p>
    <w:p>
      <w:pPr>
        <w:spacing w:line="600" w:lineRule="exact"/>
        <w:jc w:val="center"/>
        <w:outlineLvl w:val="0"/>
        <w:rPr>
          <w:rFonts w:hint="eastAsia" w:ascii="仿宋_GB2312" w:hAnsi="仿宋" w:eastAsia="仿宋_GB2312" w:cs="仿宋"/>
          <w:bCs/>
          <w:color w:val="000000"/>
          <w:sz w:val="32"/>
          <w:szCs w:val="32"/>
        </w:rPr>
      </w:pPr>
    </w:p>
    <w:p>
      <w:pPr>
        <w:spacing w:line="600" w:lineRule="exact"/>
        <w:ind w:firstLine="640" w:firstLineChars="200"/>
        <w:jc w:val="left"/>
        <w:outlineLvl w:val="0"/>
        <w:rPr>
          <w:rStyle w:val="18"/>
          <w:rFonts w:hint="eastAsia" w:ascii="仿宋_GB2312" w:hAnsi="仿宋" w:eastAsia="仿宋_GB2312" w:cs="仿宋"/>
          <w:b w:val="0"/>
        </w:rPr>
      </w:pPr>
      <w:r>
        <w:rPr>
          <w:rFonts w:hint="eastAsia" w:ascii="仿宋_GB2312" w:hAnsi="仿宋" w:eastAsia="仿宋_GB2312" w:cs="仿宋"/>
          <w:bCs/>
          <w:color w:val="000000"/>
          <w:sz w:val="32"/>
          <w:szCs w:val="32"/>
        </w:rPr>
        <w:t>一、收</w:t>
      </w:r>
      <w:r>
        <w:rPr>
          <w:rStyle w:val="18"/>
          <w:rFonts w:hint="eastAsia" w:ascii="仿宋_GB2312" w:hAnsi="仿宋" w:eastAsia="仿宋_GB2312" w:cs="仿宋"/>
          <w:b w:val="0"/>
        </w:rPr>
        <w:t>入支出决算总表</w:t>
      </w:r>
      <w:bookmarkEnd w:id="55"/>
      <w:bookmarkStart w:id="56" w:name="_Toc15396620"/>
    </w:p>
    <w:p>
      <w:pPr>
        <w:spacing w:line="600" w:lineRule="exact"/>
        <w:ind w:firstLine="640" w:firstLineChars="200"/>
        <w:jc w:val="left"/>
        <w:outlineLvl w:val="0"/>
        <w:rPr>
          <w:rStyle w:val="18"/>
          <w:rFonts w:hint="eastAsia" w:ascii="仿宋_GB2312" w:hAnsi="仿宋" w:eastAsia="仿宋_GB2312" w:cs="仿宋"/>
          <w:b w:val="0"/>
        </w:rPr>
      </w:pPr>
      <w:r>
        <w:rPr>
          <w:rFonts w:hint="eastAsia" w:ascii="仿宋_GB2312" w:hAnsi="仿宋" w:eastAsia="仿宋_GB2312" w:cs="仿宋"/>
          <w:bCs/>
          <w:color w:val="000000"/>
          <w:sz w:val="32"/>
          <w:szCs w:val="32"/>
        </w:rPr>
        <w:t>二、收</w:t>
      </w:r>
      <w:r>
        <w:rPr>
          <w:rStyle w:val="18"/>
          <w:rFonts w:hint="eastAsia" w:ascii="仿宋_GB2312" w:hAnsi="仿宋" w:eastAsia="仿宋_GB2312" w:cs="仿宋"/>
          <w:b w:val="0"/>
        </w:rPr>
        <w:t>入决算表</w:t>
      </w:r>
      <w:bookmarkEnd w:id="56"/>
      <w:bookmarkStart w:id="57" w:name="_Toc15396621"/>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三、</w:t>
      </w:r>
      <w:r>
        <w:rPr>
          <w:rFonts w:hint="eastAsia" w:ascii="仿宋_GB2312" w:hAnsi="仿宋" w:eastAsia="仿宋_GB2312" w:cs="仿宋"/>
          <w:bCs/>
          <w:color w:val="000000"/>
          <w:sz w:val="32"/>
          <w:szCs w:val="32"/>
        </w:rPr>
        <w:t>支</w:t>
      </w:r>
      <w:r>
        <w:rPr>
          <w:rStyle w:val="18"/>
          <w:rFonts w:hint="eastAsia" w:ascii="仿宋_GB2312" w:hAnsi="仿宋" w:eastAsia="仿宋_GB2312" w:cs="仿宋"/>
          <w:b w:val="0"/>
        </w:rPr>
        <w:t>出决算表</w:t>
      </w:r>
      <w:bookmarkEnd w:id="57"/>
      <w:bookmarkStart w:id="58" w:name="_Toc15396622"/>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四、</w:t>
      </w:r>
      <w:r>
        <w:rPr>
          <w:rFonts w:hint="eastAsia" w:ascii="仿宋_GB2312" w:hAnsi="仿宋" w:eastAsia="仿宋_GB2312" w:cs="仿宋"/>
          <w:bCs/>
          <w:color w:val="000000"/>
          <w:sz w:val="32"/>
          <w:szCs w:val="32"/>
        </w:rPr>
        <w:t>财</w:t>
      </w:r>
      <w:r>
        <w:rPr>
          <w:rStyle w:val="18"/>
          <w:rFonts w:hint="eastAsia" w:ascii="仿宋_GB2312" w:hAnsi="仿宋" w:eastAsia="仿宋_GB2312" w:cs="仿宋"/>
          <w:b w:val="0"/>
        </w:rPr>
        <w:t>政拨款收入支出决算总表</w:t>
      </w:r>
      <w:bookmarkEnd w:id="58"/>
    </w:p>
    <w:p>
      <w:pPr>
        <w:spacing w:line="600" w:lineRule="exact"/>
        <w:ind w:firstLine="640" w:firstLineChars="200"/>
        <w:jc w:val="left"/>
        <w:outlineLvl w:val="0"/>
        <w:rPr>
          <w:rStyle w:val="18"/>
          <w:rFonts w:hint="eastAsia" w:ascii="仿宋_GB2312" w:hAnsi="仿宋" w:eastAsia="仿宋_GB2312" w:cs="仿宋"/>
          <w:b w:val="0"/>
        </w:rPr>
      </w:pPr>
      <w:bookmarkStart w:id="59" w:name="_Toc15396623"/>
      <w:r>
        <w:rPr>
          <w:rStyle w:val="18"/>
          <w:rFonts w:hint="eastAsia" w:ascii="仿宋_GB2312" w:hAnsi="仿宋" w:eastAsia="仿宋_GB2312" w:cs="仿宋"/>
          <w:b w:val="0"/>
        </w:rPr>
        <w:t>五、</w:t>
      </w:r>
      <w:r>
        <w:rPr>
          <w:rFonts w:hint="eastAsia" w:ascii="仿宋_GB2312" w:hAnsi="仿宋" w:eastAsia="仿宋_GB2312" w:cs="仿宋"/>
          <w:bCs/>
          <w:color w:val="000000"/>
          <w:sz w:val="32"/>
          <w:szCs w:val="32"/>
        </w:rPr>
        <w:t>财</w:t>
      </w:r>
      <w:r>
        <w:rPr>
          <w:rStyle w:val="18"/>
          <w:rFonts w:hint="eastAsia" w:ascii="仿宋_GB2312" w:hAnsi="仿宋" w:eastAsia="仿宋_GB2312" w:cs="仿宋"/>
          <w:b w:val="0"/>
        </w:rPr>
        <w:t>政拨款支出决算明细表</w:t>
      </w:r>
      <w:bookmarkEnd w:id="59"/>
      <w:bookmarkStart w:id="60" w:name="_Toc15396624"/>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六、</w:t>
      </w:r>
      <w:r>
        <w:rPr>
          <w:rFonts w:hint="eastAsia" w:ascii="仿宋_GB2312" w:hAnsi="仿宋" w:eastAsia="仿宋_GB2312" w:cs="仿宋"/>
          <w:b/>
          <w:bCs/>
          <w:color w:val="000000"/>
          <w:sz w:val="32"/>
          <w:szCs w:val="32"/>
        </w:rPr>
        <w:t>一</w:t>
      </w:r>
      <w:r>
        <w:rPr>
          <w:rStyle w:val="18"/>
          <w:rFonts w:hint="eastAsia" w:ascii="仿宋_GB2312" w:hAnsi="仿宋" w:eastAsia="仿宋_GB2312" w:cs="仿宋"/>
          <w:b w:val="0"/>
        </w:rPr>
        <w:t>般公共预算财政拨款支出决算表</w:t>
      </w:r>
      <w:bookmarkEnd w:id="60"/>
      <w:bookmarkStart w:id="61" w:name="_Toc15396625"/>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七、</w:t>
      </w:r>
      <w:r>
        <w:rPr>
          <w:rFonts w:hint="eastAsia" w:ascii="仿宋_GB2312" w:hAnsi="仿宋" w:eastAsia="仿宋_GB2312" w:cs="仿宋"/>
          <w:b/>
          <w:bCs/>
          <w:color w:val="000000"/>
          <w:sz w:val="32"/>
          <w:szCs w:val="32"/>
        </w:rPr>
        <w:t>一</w:t>
      </w:r>
      <w:r>
        <w:rPr>
          <w:rStyle w:val="18"/>
          <w:rFonts w:hint="eastAsia" w:ascii="仿宋_GB2312" w:hAnsi="仿宋" w:eastAsia="仿宋_GB2312" w:cs="仿宋"/>
          <w:b w:val="0"/>
        </w:rPr>
        <w:t>般公共预算财政拨款支出决算明细表</w:t>
      </w:r>
      <w:bookmarkEnd w:id="61"/>
      <w:bookmarkStart w:id="62" w:name="_Toc15396626"/>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八、</w:t>
      </w:r>
      <w:r>
        <w:rPr>
          <w:rFonts w:hint="eastAsia" w:ascii="仿宋_GB2312" w:hAnsi="仿宋" w:eastAsia="仿宋_GB2312" w:cs="仿宋"/>
          <w:b/>
          <w:bCs/>
          <w:color w:val="000000"/>
          <w:sz w:val="32"/>
          <w:szCs w:val="32"/>
        </w:rPr>
        <w:t>一</w:t>
      </w:r>
      <w:r>
        <w:rPr>
          <w:rStyle w:val="18"/>
          <w:rFonts w:hint="eastAsia" w:ascii="仿宋_GB2312" w:hAnsi="仿宋" w:eastAsia="仿宋_GB2312" w:cs="仿宋"/>
          <w:b w:val="0"/>
        </w:rPr>
        <w:t>般公共预算财政拨款基本支出决算表</w:t>
      </w:r>
      <w:bookmarkEnd w:id="62"/>
      <w:bookmarkStart w:id="63" w:name="_Toc15396627"/>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九、</w:t>
      </w:r>
      <w:r>
        <w:rPr>
          <w:rFonts w:hint="eastAsia" w:ascii="仿宋_GB2312" w:hAnsi="仿宋" w:eastAsia="仿宋_GB2312" w:cs="仿宋"/>
          <w:b/>
          <w:bCs/>
          <w:color w:val="000000"/>
          <w:sz w:val="32"/>
          <w:szCs w:val="32"/>
        </w:rPr>
        <w:t>一</w:t>
      </w:r>
      <w:r>
        <w:rPr>
          <w:rStyle w:val="18"/>
          <w:rFonts w:hint="eastAsia" w:ascii="仿宋_GB2312" w:hAnsi="仿宋" w:eastAsia="仿宋_GB2312" w:cs="仿宋"/>
          <w:b w:val="0"/>
        </w:rPr>
        <w:t>般公共预算财政拨款项目支出决算表</w:t>
      </w:r>
      <w:bookmarkEnd w:id="63"/>
      <w:bookmarkStart w:id="64" w:name="_Toc15396628"/>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十、</w:t>
      </w:r>
      <w:r>
        <w:rPr>
          <w:rFonts w:hint="eastAsia" w:ascii="仿宋_GB2312" w:hAnsi="仿宋" w:eastAsia="仿宋_GB2312" w:cs="仿宋"/>
          <w:b/>
          <w:bCs/>
          <w:color w:val="000000"/>
          <w:sz w:val="32"/>
          <w:szCs w:val="32"/>
        </w:rPr>
        <w:t>一</w:t>
      </w:r>
      <w:r>
        <w:rPr>
          <w:rStyle w:val="18"/>
          <w:rFonts w:hint="eastAsia" w:ascii="仿宋_GB2312" w:hAnsi="仿宋" w:eastAsia="仿宋_GB2312" w:cs="仿宋"/>
          <w:b w:val="0"/>
        </w:rPr>
        <w:t>般公共预算财政拨款“三公”经费支出决算表</w:t>
      </w:r>
      <w:bookmarkEnd w:id="64"/>
      <w:bookmarkStart w:id="65" w:name="_Toc15396629"/>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十一、</w:t>
      </w:r>
      <w:r>
        <w:rPr>
          <w:rFonts w:hint="eastAsia" w:ascii="仿宋_GB2312" w:hAnsi="仿宋" w:eastAsia="仿宋_GB2312" w:cs="仿宋"/>
          <w:bCs/>
          <w:color w:val="000000"/>
          <w:sz w:val="32"/>
          <w:szCs w:val="32"/>
        </w:rPr>
        <w:t>政</w:t>
      </w:r>
      <w:r>
        <w:rPr>
          <w:rStyle w:val="18"/>
          <w:rFonts w:hint="eastAsia" w:ascii="仿宋_GB2312" w:hAnsi="仿宋" w:eastAsia="仿宋_GB2312" w:cs="仿宋"/>
          <w:b w:val="0"/>
        </w:rPr>
        <w:t>府性基金预算财政拨款收入支出决算表</w:t>
      </w:r>
      <w:bookmarkEnd w:id="65"/>
      <w:bookmarkStart w:id="66" w:name="_Toc15396630"/>
    </w:p>
    <w:p>
      <w:pPr>
        <w:spacing w:line="600" w:lineRule="exact"/>
        <w:ind w:firstLine="640" w:firstLineChars="200"/>
        <w:jc w:val="left"/>
        <w:outlineLvl w:val="0"/>
        <w:rPr>
          <w:rStyle w:val="18"/>
          <w:rFonts w:hint="eastAsia" w:ascii="仿宋_GB2312" w:hAnsi="仿宋" w:eastAsia="仿宋_GB2312" w:cs="仿宋"/>
          <w:b w:val="0"/>
        </w:rPr>
      </w:pPr>
      <w:r>
        <w:rPr>
          <w:rStyle w:val="18"/>
          <w:rFonts w:hint="eastAsia" w:ascii="仿宋_GB2312" w:hAnsi="仿宋" w:eastAsia="仿宋_GB2312" w:cs="仿宋"/>
          <w:b w:val="0"/>
        </w:rPr>
        <w:t>十二、</w:t>
      </w:r>
      <w:r>
        <w:rPr>
          <w:rFonts w:hint="eastAsia" w:ascii="仿宋_GB2312" w:hAnsi="仿宋" w:eastAsia="仿宋_GB2312" w:cs="仿宋"/>
          <w:bCs/>
          <w:color w:val="000000"/>
          <w:sz w:val="32"/>
          <w:szCs w:val="32"/>
        </w:rPr>
        <w:t>政</w:t>
      </w:r>
      <w:r>
        <w:rPr>
          <w:rStyle w:val="18"/>
          <w:rFonts w:hint="eastAsia" w:ascii="仿宋_GB2312" w:hAnsi="仿宋" w:eastAsia="仿宋_GB2312" w:cs="仿宋"/>
          <w:b w:val="0"/>
        </w:rPr>
        <w:t>府性基金预算财政拨款“三公”经费支出决算表</w:t>
      </w:r>
      <w:bookmarkEnd w:id="66"/>
      <w:bookmarkStart w:id="67" w:name="_Toc15396631"/>
    </w:p>
    <w:p>
      <w:pPr>
        <w:spacing w:line="600" w:lineRule="exact"/>
        <w:ind w:firstLine="640" w:firstLineChars="200"/>
        <w:jc w:val="left"/>
        <w:outlineLvl w:val="0"/>
        <w:rPr>
          <w:rFonts w:hint="eastAsia" w:ascii="仿宋_GB2312" w:hAnsi="仿宋" w:eastAsia="仿宋_GB2312"/>
          <w:b/>
          <w:color w:val="000000"/>
          <w:sz w:val="32"/>
          <w:szCs w:val="32"/>
        </w:rPr>
      </w:pPr>
      <w:r>
        <w:rPr>
          <w:rStyle w:val="18"/>
          <w:rFonts w:hint="eastAsia" w:ascii="仿宋_GB2312" w:hAnsi="仿宋" w:eastAsia="仿宋_GB2312" w:cs="仿宋"/>
          <w:b w:val="0"/>
        </w:rPr>
        <w:t>十三、</w:t>
      </w:r>
      <w:r>
        <w:rPr>
          <w:rFonts w:hint="eastAsia" w:ascii="仿宋_GB2312" w:hAnsi="仿宋" w:eastAsia="仿宋_GB2312" w:cs="仿宋"/>
          <w:bCs/>
          <w:color w:val="000000"/>
          <w:sz w:val="32"/>
          <w:szCs w:val="32"/>
        </w:rPr>
        <w:t>国</w:t>
      </w:r>
      <w:r>
        <w:rPr>
          <w:rStyle w:val="18"/>
          <w:rFonts w:hint="eastAsia" w:ascii="仿宋_GB2312" w:hAnsi="仿宋" w:eastAsia="仿宋_GB2312" w:cs="仿宋"/>
          <w:b w:val="0"/>
        </w:rPr>
        <w:t>有资本经营预算支出决算表</w:t>
      </w:r>
      <w:bookmarkEnd w:id="67"/>
    </w:p>
    <w:p>
      <w:pPr>
        <w:spacing w:line="600" w:lineRule="exact"/>
        <w:ind w:firstLine="643" w:firstLineChars="200"/>
        <w:jc w:val="left"/>
        <w:outlineLvl w:val="0"/>
        <w:rPr>
          <w:rFonts w:ascii="仿宋_GB2312" w:hAnsi="仿宋" w:eastAsia="仿宋_GB2312"/>
          <w:b/>
          <w:color w:val="000000"/>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KBAEUV+FangSong_GB2312">
    <w:altName w:val="宋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19</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43A698"/>
    <w:multiLevelType w:val="singleLevel"/>
    <w:tmpl w:val="A043A698"/>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1361C"/>
    <w:rsid w:val="000222C6"/>
    <w:rsid w:val="0002549F"/>
    <w:rsid w:val="000468DB"/>
    <w:rsid w:val="0005706C"/>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241F"/>
    <w:rsid w:val="00114E9B"/>
    <w:rsid w:val="00142216"/>
    <w:rsid w:val="00144D6A"/>
    <w:rsid w:val="0014729F"/>
    <w:rsid w:val="00153517"/>
    <w:rsid w:val="00157BAB"/>
    <w:rsid w:val="001654D1"/>
    <w:rsid w:val="00174518"/>
    <w:rsid w:val="0018106D"/>
    <w:rsid w:val="001877A7"/>
    <w:rsid w:val="00191536"/>
    <w:rsid w:val="00196687"/>
    <w:rsid w:val="001B6D4F"/>
    <w:rsid w:val="001C0456"/>
    <w:rsid w:val="001C0962"/>
    <w:rsid w:val="001D7531"/>
    <w:rsid w:val="001E54E4"/>
    <w:rsid w:val="001E737D"/>
    <w:rsid w:val="001F0592"/>
    <w:rsid w:val="001F7506"/>
    <w:rsid w:val="002006CD"/>
    <w:rsid w:val="00202B36"/>
    <w:rsid w:val="00204B7A"/>
    <w:rsid w:val="00204CDE"/>
    <w:rsid w:val="0021101A"/>
    <w:rsid w:val="00220536"/>
    <w:rsid w:val="00235629"/>
    <w:rsid w:val="00246B9A"/>
    <w:rsid w:val="00260C38"/>
    <w:rsid w:val="002616C0"/>
    <w:rsid w:val="00265372"/>
    <w:rsid w:val="002662AA"/>
    <w:rsid w:val="00280496"/>
    <w:rsid w:val="00294DC9"/>
    <w:rsid w:val="00295495"/>
    <w:rsid w:val="002A31DE"/>
    <w:rsid w:val="002B2613"/>
    <w:rsid w:val="002C08AD"/>
    <w:rsid w:val="002D19B0"/>
    <w:rsid w:val="002D42F8"/>
    <w:rsid w:val="002D6D05"/>
    <w:rsid w:val="002E07E9"/>
    <w:rsid w:val="002E2D37"/>
    <w:rsid w:val="002F1818"/>
    <w:rsid w:val="002F567B"/>
    <w:rsid w:val="002F64C8"/>
    <w:rsid w:val="003216A9"/>
    <w:rsid w:val="00321AA6"/>
    <w:rsid w:val="00325324"/>
    <w:rsid w:val="00335A74"/>
    <w:rsid w:val="00352226"/>
    <w:rsid w:val="0036561B"/>
    <w:rsid w:val="0037013F"/>
    <w:rsid w:val="00380C92"/>
    <w:rsid w:val="00391437"/>
    <w:rsid w:val="003948B6"/>
    <w:rsid w:val="003972D0"/>
    <w:rsid w:val="003A3E9E"/>
    <w:rsid w:val="003A3F8D"/>
    <w:rsid w:val="003A484F"/>
    <w:rsid w:val="003A4883"/>
    <w:rsid w:val="003B0BE0"/>
    <w:rsid w:val="003B0C1B"/>
    <w:rsid w:val="003B688C"/>
    <w:rsid w:val="003C0291"/>
    <w:rsid w:val="003C25BE"/>
    <w:rsid w:val="003C39AE"/>
    <w:rsid w:val="003C6EC1"/>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75CCC"/>
    <w:rsid w:val="0048263A"/>
    <w:rsid w:val="00487E5D"/>
    <w:rsid w:val="004A711F"/>
    <w:rsid w:val="004B199D"/>
    <w:rsid w:val="004B4690"/>
    <w:rsid w:val="004C29A2"/>
    <w:rsid w:val="004C7468"/>
    <w:rsid w:val="004E0A2D"/>
    <w:rsid w:val="004E206B"/>
    <w:rsid w:val="004E6DF7"/>
    <w:rsid w:val="004F05FA"/>
    <w:rsid w:val="004F0FBD"/>
    <w:rsid w:val="004F403E"/>
    <w:rsid w:val="00505A47"/>
    <w:rsid w:val="00512FDA"/>
    <w:rsid w:val="005164C3"/>
    <w:rsid w:val="00520DA0"/>
    <w:rsid w:val="00556DF1"/>
    <w:rsid w:val="005664BB"/>
    <w:rsid w:val="00566FFA"/>
    <w:rsid w:val="0057481D"/>
    <w:rsid w:val="00575F0B"/>
    <w:rsid w:val="0058486E"/>
    <w:rsid w:val="00585B33"/>
    <w:rsid w:val="0059014D"/>
    <w:rsid w:val="005B5C64"/>
    <w:rsid w:val="005C6BD0"/>
    <w:rsid w:val="005C6C4C"/>
    <w:rsid w:val="005D1C8B"/>
    <w:rsid w:val="005D468D"/>
    <w:rsid w:val="005D5CED"/>
    <w:rsid w:val="005F1A4C"/>
    <w:rsid w:val="005F55A9"/>
    <w:rsid w:val="00605688"/>
    <w:rsid w:val="006070AF"/>
    <w:rsid w:val="00607E6C"/>
    <w:rsid w:val="006101B1"/>
    <w:rsid w:val="00614E44"/>
    <w:rsid w:val="006161B3"/>
    <w:rsid w:val="0062242F"/>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47FF"/>
    <w:rsid w:val="007127B7"/>
    <w:rsid w:val="0071798E"/>
    <w:rsid w:val="00727533"/>
    <w:rsid w:val="007320FE"/>
    <w:rsid w:val="007416B6"/>
    <w:rsid w:val="00746F48"/>
    <w:rsid w:val="0075404D"/>
    <w:rsid w:val="0076182A"/>
    <w:rsid w:val="00767B7E"/>
    <w:rsid w:val="007770C3"/>
    <w:rsid w:val="00782ED4"/>
    <w:rsid w:val="00784D24"/>
    <w:rsid w:val="00785FBA"/>
    <w:rsid w:val="00786E4A"/>
    <w:rsid w:val="007875EB"/>
    <w:rsid w:val="0079426B"/>
    <w:rsid w:val="007D1682"/>
    <w:rsid w:val="007D312A"/>
    <w:rsid w:val="007D3F19"/>
    <w:rsid w:val="007D754C"/>
    <w:rsid w:val="007E23B0"/>
    <w:rsid w:val="007F1991"/>
    <w:rsid w:val="007F2C2F"/>
    <w:rsid w:val="007F55FC"/>
    <w:rsid w:val="007F5665"/>
    <w:rsid w:val="00800112"/>
    <w:rsid w:val="0081078E"/>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09E7"/>
    <w:rsid w:val="00900B08"/>
    <w:rsid w:val="00902155"/>
    <w:rsid w:val="00902FA3"/>
    <w:rsid w:val="00923564"/>
    <w:rsid w:val="0092392E"/>
    <w:rsid w:val="009315F9"/>
    <w:rsid w:val="00933499"/>
    <w:rsid w:val="00934C1F"/>
    <w:rsid w:val="00935C98"/>
    <w:rsid w:val="00946945"/>
    <w:rsid w:val="00951248"/>
    <w:rsid w:val="0095152F"/>
    <w:rsid w:val="00954C49"/>
    <w:rsid w:val="00955E37"/>
    <w:rsid w:val="00963A5A"/>
    <w:rsid w:val="0097099F"/>
    <w:rsid w:val="00971997"/>
    <w:rsid w:val="00971FFC"/>
    <w:rsid w:val="0098660A"/>
    <w:rsid w:val="009931C3"/>
    <w:rsid w:val="009A0C12"/>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05F9A"/>
    <w:rsid w:val="00A13CC1"/>
    <w:rsid w:val="00A16847"/>
    <w:rsid w:val="00A237D8"/>
    <w:rsid w:val="00A268C4"/>
    <w:rsid w:val="00A307CD"/>
    <w:rsid w:val="00A331C8"/>
    <w:rsid w:val="00A35117"/>
    <w:rsid w:val="00A37D95"/>
    <w:rsid w:val="00A40A00"/>
    <w:rsid w:val="00A4142F"/>
    <w:rsid w:val="00A422EB"/>
    <w:rsid w:val="00A44D31"/>
    <w:rsid w:val="00A45BB7"/>
    <w:rsid w:val="00A56DF2"/>
    <w:rsid w:val="00A56E6E"/>
    <w:rsid w:val="00A67AB5"/>
    <w:rsid w:val="00A733B2"/>
    <w:rsid w:val="00A741C2"/>
    <w:rsid w:val="00A87F45"/>
    <w:rsid w:val="00A91760"/>
    <w:rsid w:val="00A93B00"/>
    <w:rsid w:val="00A93C21"/>
    <w:rsid w:val="00A94A72"/>
    <w:rsid w:val="00AB5D12"/>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7A36"/>
    <w:rsid w:val="00B310B9"/>
    <w:rsid w:val="00B35F3F"/>
    <w:rsid w:val="00B36CBB"/>
    <w:rsid w:val="00B425E0"/>
    <w:rsid w:val="00B440AA"/>
    <w:rsid w:val="00B44B70"/>
    <w:rsid w:val="00B53C56"/>
    <w:rsid w:val="00B57DAF"/>
    <w:rsid w:val="00B75638"/>
    <w:rsid w:val="00B77EA6"/>
    <w:rsid w:val="00B81598"/>
    <w:rsid w:val="00B841F1"/>
    <w:rsid w:val="00B9117C"/>
    <w:rsid w:val="00B944D6"/>
    <w:rsid w:val="00BB4DF0"/>
    <w:rsid w:val="00BC289F"/>
    <w:rsid w:val="00BC2D50"/>
    <w:rsid w:val="00BC5361"/>
    <w:rsid w:val="00BC5460"/>
    <w:rsid w:val="00BC6B50"/>
    <w:rsid w:val="00BD0E25"/>
    <w:rsid w:val="00BD21DF"/>
    <w:rsid w:val="00BF5BD6"/>
    <w:rsid w:val="00BF73C4"/>
    <w:rsid w:val="00C03E31"/>
    <w:rsid w:val="00C24368"/>
    <w:rsid w:val="00C30E69"/>
    <w:rsid w:val="00C33E72"/>
    <w:rsid w:val="00C354B2"/>
    <w:rsid w:val="00C35554"/>
    <w:rsid w:val="00C40541"/>
    <w:rsid w:val="00C40559"/>
    <w:rsid w:val="00C42709"/>
    <w:rsid w:val="00C4318A"/>
    <w:rsid w:val="00C533CC"/>
    <w:rsid w:val="00C5705A"/>
    <w:rsid w:val="00C5751C"/>
    <w:rsid w:val="00C61BFC"/>
    <w:rsid w:val="00C62B85"/>
    <w:rsid w:val="00C65438"/>
    <w:rsid w:val="00C80D8A"/>
    <w:rsid w:val="00C87DAF"/>
    <w:rsid w:val="00C91CBB"/>
    <w:rsid w:val="00CB4E70"/>
    <w:rsid w:val="00CC09B6"/>
    <w:rsid w:val="00CC666F"/>
    <w:rsid w:val="00CD1E3F"/>
    <w:rsid w:val="00CE44F6"/>
    <w:rsid w:val="00CE49DA"/>
    <w:rsid w:val="00CE7B61"/>
    <w:rsid w:val="00D00095"/>
    <w:rsid w:val="00D114F0"/>
    <w:rsid w:val="00D1190F"/>
    <w:rsid w:val="00D13D97"/>
    <w:rsid w:val="00D20620"/>
    <w:rsid w:val="00D254F7"/>
    <w:rsid w:val="00D26091"/>
    <w:rsid w:val="00D2685C"/>
    <w:rsid w:val="00D27DEA"/>
    <w:rsid w:val="00D34E7C"/>
    <w:rsid w:val="00D35489"/>
    <w:rsid w:val="00D36AFE"/>
    <w:rsid w:val="00D51276"/>
    <w:rsid w:val="00D7035F"/>
    <w:rsid w:val="00D861B6"/>
    <w:rsid w:val="00D9270E"/>
    <w:rsid w:val="00D9550C"/>
    <w:rsid w:val="00DA634F"/>
    <w:rsid w:val="00DA65AC"/>
    <w:rsid w:val="00DB1913"/>
    <w:rsid w:val="00DC410D"/>
    <w:rsid w:val="00DC4D6E"/>
    <w:rsid w:val="00DC5A81"/>
    <w:rsid w:val="00DC68CA"/>
    <w:rsid w:val="00DC7CBA"/>
    <w:rsid w:val="00DD0327"/>
    <w:rsid w:val="00DD73B7"/>
    <w:rsid w:val="00DE6941"/>
    <w:rsid w:val="00DF28BC"/>
    <w:rsid w:val="00DF34B9"/>
    <w:rsid w:val="00E01053"/>
    <w:rsid w:val="00E014DF"/>
    <w:rsid w:val="00E07ACF"/>
    <w:rsid w:val="00E24B76"/>
    <w:rsid w:val="00E331A1"/>
    <w:rsid w:val="00E33202"/>
    <w:rsid w:val="00E336A9"/>
    <w:rsid w:val="00E41354"/>
    <w:rsid w:val="00E472B1"/>
    <w:rsid w:val="00E50624"/>
    <w:rsid w:val="00E568DF"/>
    <w:rsid w:val="00E61FDE"/>
    <w:rsid w:val="00E64269"/>
    <w:rsid w:val="00E66797"/>
    <w:rsid w:val="00E82267"/>
    <w:rsid w:val="00E853CE"/>
    <w:rsid w:val="00E867B6"/>
    <w:rsid w:val="00E87F08"/>
    <w:rsid w:val="00EA010F"/>
    <w:rsid w:val="00EA4270"/>
    <w:rsid w:val="00EA46F0"/>
    <w:rsid w:val="00ED1B63"/>
    <w:rsid w:val="00ED3C1F"/>
    <w:rsid w:val="00ED4085"/>
    <w:rsid w:val="00ED420E"/>
    <w:rsid w:val="00ED6FBE"/>
    <w:rsid w:val="00EE2C63"/>
    <w:rsid w:val="00EE2F57"/>
    <w:rsid w:val="00EE7EE2"/>
    <w:rsid w:val="00EF4C34"/>
    <w:rsid w:val="00EF77C6"/>
    <w:rsid w:val="00F05438"/>
    <w:rsid w:val="00F1361C"/>
    <w:rsid w:val="00F156F0"/>
    <w:rsid w:val="00F160C7"/>
    <w:rsid w:val="00F2408F"/>
    <w:rsid w:val="00F240E9"/>
    <w:rsid w:val="00F365C1"/>
    <w:rsid w:val="00F36D8F"/>
    <w:rsid w:val="00F417B1"/>
    <w:rsid w:val="00F45853"/>
    <w:rsid w:val="00F5058A"/>
    <w:rsid w:val="00F562B1"/>
    <w:rsid w:val="00F602DF"/>
    <w:rsid w:val="00F754A1"/>
    <w:rsid w:val="00F81FD9"/>
    <w:rsid w:val="00F841AA"/>
    <w:rsid w:val="00F84A94"/>
    <w:rsid w:val="00F87E96"/>
    <w:rsid w:val="00FA23E8"/>
    <w:rsid w:val="00FD3CC1"/>
    <w:rsid w:val="00FD6C24"/>
    <w:rsid w:val="00FF1E02"/>
    <w:rsid w:val="00FF30B4"/>
    <w:rsid w:val="04CD678E"/>
    <w:rsid w:val="066754D2"/>
    <w:rsid w:val="0BEB25AB"/>
    <w:rsid w:val="0C4B235C"/>
    <w:rsid w:val="10C055FF"/>
    <w:rsid w:val="16BB723D"/>
    <w:rsid w:val="18DC1C21"/>
    <w:rsid w:val="1A0C743D"/>
    <w:rsid w:val="210B76B8"/>
    <w:rsid w:val="240371BF"/>
    <w:rsid w:val="28202F1F"/>
    <w:rsid w:val="29FD04D3"/>
    <w:rsid w:val="319F7F4E"/>
    <w:rsid w:val="3AF75A9F"/>
    <w:rsid w:val="453265C9"/>
    <w:rsid w:val="46A668C4"/>
    <w:rsid w:val="4ECE2238"/>
    <w:rsid w:val="5A6462F1"/>
    <w:rsid w:val="63B86763"/>
    <w:rsid w:val="6F4F454E"/>
    <w:rsid w:val="72734D90"/>
    <w:rsid w:val="74114B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paragraph" w:styleId="12">
    <w:name w:val="Normal (Web)"/>
    <w:basedOn w:val="1"/>
    <w:semiHidden/>
    <w:unhideWhenUsed/>
    <w:locked/>
    <w:uiPriority w:val="99"/>
    <w:rPr>
      <w:sz w:val="24"/>
    </w:r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标题 1 Char"/>
    <w:basedOn w:val="14"/>
    <w:link w:val="3"/>
    <w:qFormat/>
    <w:locked/>
    <w:uiPriority w:val="99"/>
    <w:rPr>
      <w:rFonts w:ascii="Times New Roman" w:hAnsi="Times New Roman" w:cs="Times New Roman"/>
      <w:b/>
      <w:bCs/>
      <w:kern w:val="44"/>
      <w:sz w:val="44"/>
      <w:szCs w:val="44"/>
    </w:rPr>
  </w:style>
  <w:style w:type="character" w:customStyle="1" w:styleId="18">
    <w:name w:val="标题 2 Char"/>
    <w:basedOn w:val="14"/>
    <w:link w:val="2"/>
    <w:qFormat/>
    <w:locked/>
    <w:uiPriority w:val="99"/>
    <w:rPr>
      <w:rFonts w:ascii="Cambria" w:hAnsi="Cambria" w:eastAsia="宋体" w:cs="Cambria"/>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link w:val="5"/>
    <w:semiHidden/>
    <w:qFormat/>
    <w:locked/>
    <w:uiPriority w:val="99"/>
    <w:rPr>
      <w:rFonts w:ascii="Times New Roman" w:hAnsi="Times New Roman" w:cs="Times New Roman"/>
      <w:sz w:val="24"/>
      <w:szCs w:val="24"/>
    </w:rPr>
  </w:style>
  <w:style w:type="character" w:customStyle="1" w:styleId="21">
    <w:name w:val="批注框文本 Char"/>
    <w:basedOn w:val="14"/>
    <w:link w:val="7"/>
    <w:semiHidden/>
    <w:qFormat/>
    <w:locked/>
    <w:uiPriority w:val="99"/>
    <w:rPr>
      <w:rFonts w:ascii="Times New Roman" w:hAnsi="Times New Roman" w:cs="Times New Roman"/>
      <w:kern w:val="2"/>
      <w:sz w:val="18"/>
      <w:szCs w:val="18"/>
    </w:rPr>
  </w:style>
  <w:style w:type="character" w:customStyle="1" w:styleId="22">
    <w:name w:val="Footer Char"/>
    <w:basedOn w:val="14"/>
    <w:link w:val="8"/>
    <w:semiHidden/>
    <w:qFormat/>
    <w:locked/>
    <w:uiPriority w:val="99"/>
    <w:rPr>
      <w:rFonts w:ascii="Times New Roman" w:hAnsi="Times New Roman" w:cs="Times New Roman"/>
      <w:sz w:val="18"/>
      <w:szCs w:val="18"/>
    </w:rPr>
  </w:style>
  <w:style w:type="character" w:customStyle="1" w:styleId="23">
    <w:name w:val="Header Char"/>
    <w:basedOn w:val="14"/>
    <w:link w:val="9"/>
    <w:semiHidden/>
    <w:qFormat/>
    <w:locked/>
    <w:uiPriority w:val="99"/>
    <w:rPr>
      <w:rFonts w:ascii="Times New Roman" w:hAnsi="Times New Roman" w:cs="Times New Roman"/>
      <w:sz w:val="18"/>
      <w:szCs w:val="18"/>
    </w:rPr>
  </w:style>
  <w:style w:type="character" w:customStyle="1" w:styleId="24">
    <w:name w:val="页眉 Char"/>
    <w:link w:val="9"/>
    <w:semiHidden/>
    <w:qFormat/>
    <w:locked/>
    <w:uiPriority w:val="99"/>
    <w:rPr>
      <w:sz w:val="18"/>
      <w:szCs w:val="18"/>
    </w:rPr>
  </w:style>
  <w:style w:type="character" w:customStyle="1" w:styleId="25">
    <w:name w:val="页脚 Char"/>
    <w:link w:val="8"/>
    <w:qFormat/>
    <w:locked/>
    <w:uiPriority w:val="99"/>
    <w:rPr>
      <w:sz w:val="18"/>
      <w:szCs w:val="18"/>
    </w:rPr>
  </w:style>
  <w:style w:type="character" w:customStyle="1" w:styleId="26">
    <w:name w:val="正文文本 Char"/>
    <w:link w:val="5"/>
    <w:qFormat/>
    <w:locked/>
    <w:uiPriority w:val="99"/>
    <w:rPr>
      <w:rFonts w:ascii="仿宋_GB2312" w:hAnsi="Times New Roman" w:eastAsia="仿宋_GB2312" w:cs="仿宋_GB2312"/>
      <w:sz w:val="24"/>
      <w:szCs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TOC 标题2"/>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Normal_102"/>
    <w:qFormat/>
    <w:uiPriority w:val="0"/>
    <w:pPr>
      <w:spacing w:before="120" w:after="240"/>
      <w:jc w:val="both"/>
    </w:pPr>
    <w:rPr>
      <w:rFonts w:ascii="Calibri" w:hAnsi="Calibri" w:eastAsia="Calibri" w:cs="Times New Roman"/>
      <w:sz w:val="22"/>
      <w:szCs w:val="22"/>
      <w:lang w:val="ru-RU" w:eastAsia="en-US" w:bidi="ar-SA"/>
    </w:rPr>
  </w:style>
  <w:style w:type="character" w:customStyle="1" w:styleId="32">
    <w:name w:val="10"/>
    <w:basedOn w:val="14"/>
    <w:uiPriority w:val="0"/>
    <w:rPr>
      <w:rFonts w:hint="default" w:ascii="Times New Roman" w:hAnsi="Times New Roman" w:cs="Times New Roman"/>
    </w:rPr>
  </w:style>
  <w:style w:type="paragraph" w:customStyle="1" w:styleId="33">
    <w:name w:val="正文1"/>
    <w:basedOn w:val="1"/>
    <w:uiPriority w:val="0"/>
    <w:pPr>
      <w:widowControl/>
    </w:pPr>
  </w:style>
  <w:style w:type="paragraph" w:customStyle="1" w:styleId="34">
    <w:name w:val="Normal_103"/>
    <w:basedOn w:val="1"/>
    <w:uiPriority w:val="0"/>
    <w:pPr>
      <w:widowControl/>
      <w:spacing w:before="120" w:after="240"/>
    </w:pPr>
    <w:rPr>
      <w:rFonts w:ascii="Calibri" w:hAnsi="Calibri"/>
      <w:kern w:val="0"/>
      <w:sz w:val="22"/>
      <w:szCs w:val="22"/>
    </w:rPr>
  </w:style>
  <w:style w:type="character" w:customStyle="1" w:styleId="35">
    <w:name w:val="15"/>
    <w:basedOn w:val="14"/>
    <w:uiPriority w:val="0"/>
    <w:rPr>
      <w:rFonts w:hint="default" w:ascii="Times New Roman" w:hAnsi="Times New Roman" w:cs="Times New Roman"/>
    </w:rPr>
  </w:style>
  <w:style w:type="paragraph" w:customStyle="1" w:styleId="36">
    <w:name w:val="Normal_104"/>
    <w:basedOn w:val="1"/>
    <w:uiPriority w:val="0"/>
    <w:pPr>
      <w:widowControl/>
      <w:spacing w:before="120" w:after="240"/>
    </w:pPr>
    <w:rPr>
      <w:rFonts w:ascii="Calibri" w:hAnsi="Calibri"/>
      <w:kern w:val="0"/>
      <w:sz w:val="22"/>
      <w:szCs w:val="22"/>
    </w:rPr>
  </w:style>
  <w:style w:type="character" w:customStyle="1" w:styleId="37">
    <w:name w:val="16"/>
    <w:basedOn w:val="14"/>
    <w:uiPriority w:val="0"/>
    <w:rPr>
      <w:rFonts w:hint="default" w:ascii="Times New Roman" w:hAnsi="Times New Roman" w:cs="Times New Roman"/>
      <w:b/>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21FB2F-D8E5-4E75-97D0-7926477A046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3488</Words>
  <Characters>19887</Characters>
  <Lines>165</Lines>
  <Paragraphs>46</Paragraphs>
  <TotalTime>10</TotalTime>
  <ScaleCrop>false</ScaleCrop>
  <LinksUpToDate>false</LinksUpToDate>
  <CharactersWithSpaces>23329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2021-10-12T05:46:00Z</dcterms:created>
  <dc:creator>曹颖</dc:creator>
  <cp:lastModifiedBy>lenovo</cp:lastModifiedBy>
  <cp:lastPrinted>2021-10-18T08:56:00Z</cp:lastPrinted>
  <dcterms:modified xsi:type="dcterms:W3CDTF">2021-10-19T02:29:05Z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