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numPr>
          <w:ilvl w:val="0"/>
          <w:numId w:val="0"/>
        </w:numPr>
        <w:spacing w:line="600" w:lineRule="exact"/>
        <w:jc w:val="center"/>
        <w:outlineLvl w:val="0"/>
        <w:rPr>
          <w:rFonts w:ascii="方正小标宋简体" w:hAnsi="方正小标宋简体" w:eastAsia="方正小标宋简体"/>
          <w:color w:val="000000"/>
          <w:sz w:val="36"/>
          <w:szCs w:val="36"/>
        </w:rPr>
      </w:pPr>
      <w:bookmarkStart w:id="0" w:name="_Toc15306267"/>
    </w:p>
    <w:p>
      <w:pPr>
        <w:pStyle w:val="10"/>
        <w:numPr>
          <w:ilvl w:val="0"/>
          <w:numId w:val="0"/>
        </w:numPr>
        <w:snapToGrid w:val="0"/>
        <w:spacing w:line="360" w:lineRule="auto"/>
        <w:jc w:val="center"/>
        <w:outlineLvl w:val="0"/>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kern w:val="2"/>
          <w:sz w:val="44"/>
          <w:szCs w:val="44"/>
          <w:lang w:val="en-US" w:eastAsia="zh-CN" w:bidi="ar-SA"/>
        </w:rPr>
        <w:t>2020</w:t>
      </w:r>
      <w:bookmarkStart w:id="1" w:name="_Toc15396475"/>
      <w:bookmarkStart w:id="2" w:name="_Toc15377425"/>
      <w:bookmarkStart w:id="3" w:name="_Toc15377193"/>
      <w:bookmarkStart w:id="4" w:name="_Toc15396597"/>
      <w:bookmarkStart w:id="5" w:name="_Toc15378441"/>
      <w:r>
        <w:rPr>
          <w:rFonts w:hint="eastAsia" w:ascii="方正小标宋简体" w:hAnsi="方正小标宋简体" w:eastAsia="方正小标宋简体" w:cs="方正小标宋简体"/>
          <w:b/>
          <w:color w:val="000000"/>
          <w:sz w:val="44"/>
          <w:szCs w:val="44"/>
        </w:rPr>
        <w:t>年度</w:t>
      </w:r>
      <w:bookmarkEnd w:id="0"/>
      <w:bookmarkEnd w:id="1"/>
      <w:bookmarkEnd w:id="2"/>
      <w:bookmarkEnd w:id="3"/>
      <w:bookmarkEnd w:id="4"/>
      <w:bookmarkEnd w:id="5"/>
      <w:bookmarkStart w:id="6" w:name="_Toc15377426"/>
      <w:bookmarkStart w:id="7" w:name="_Toc15396476"/>
      <w:bookmarkStart w:id="8" w:name="_Toc15306268"/>
      <w:bookmarkStart w:id="9" w:name="_Toc15378442"/>
      <w:bookmarkStart w:id="10" w:name="_Toc15377194"/>
      <w:bookmarkStart w:id="11" w:name="_Toc15396598"/>
      <w:r>
        <w:rPr>
          <w:rFonts w:hint="eastAsia" w:ascii="方正小标宋简体" w:hAnsi="方正小标宋简体" w:eastAsia="方正小标宋简体" w:cs="方正小标宋简体"/>
          <w:b/>
          <w:color w:val="000000"/>
          <w:sz w:val="44"/>
          <w:szCs w:val="44"/>
        </w:rPr>
        <w:t>嘉州社会福利院部门</w:t>
      </w:r>
    </w:p>
    <w:p>
      <w:pPr>
        <w:pStyle w:val="10"/>
        <w:numPr>
          <w:ilvl w:val="0"/>
          <w:numId w:val="0"/>
        </w:numPr>
        <w:snapToGrid w:val="0"/>
        <w:spacing w:line="360" w:lineRule="auto"/>
        <w:jc w:val="center"/>
        <w:outlineLvl w:val="0"/>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决</w:t>
      </w:r>
      <w:bookmarkEnd w:id="6"/>
      <w:bookmarkEnd w:id="7"/>
      <w:bookmarkEnd w:id="8"/>
      <w:bookmarkEnd w:id="9"/>
      <w:bookmarkEnd w:id="10"/>
      <w:bookmarkEnd w:id="11"/>
      <w:r>
        <w:rPr>
          <w:rFonts w:hint="eastAsia" w:ascii="方正小标宋简体" w:hAnsi="方正小标宋简体" w:eastAsia="方正小标宋简体" w:cs="方正小标宋简体"/>
          <w:b/>
          <w:color w:val="000000"/>
          <w:sz w:val="44"/>
          <w:szCs w:val="44"/>
          <w:lang w:eastAsia="zh-CN"/>
        </w:rPr>
        <w:t>算情况说明</w:t>
      </w:r>
      <w:r>
        <w:rPr>
          <w:rFonts w:hint="eastAsia" w:ascii="方正小标宋简体" w:hAnsi="方正小标宋简体" w:eastAsia="方正小标宋简体" w:cs="方正小标宋简体"/>
          <w:color w:val="000000"/>
          <w:sz w:val="44"/>
          <w:szCs w:val="44"/>
        </w:rPr>
        <w:t xml:space="preserve">     </w:t>
      </w:r>
    </w:p>
    <w:p>
      <w:pPr>
        <w:pStyle w:val="10"/>
        <w:numPr>
          <w:ilvl w:val="0"/>
          <w:numId w:val="0"/>
        </w:numPr>
        <w:snapToGrid w:val="0"/>
        <w:spacing w:line="360" w:lineRule="auto"/>
        <w:jc w:val="center"/>
        <w:outlineLvl w:val="0"/>
        <w:rPr>
          <w:rFonts w:hint="eastAsia" w:ascii="方正小标宋简体" w:hAnsi="方正小标宋简体" w:eastAsia="方正小标宋简体" w:cs="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center"/>
        <w:outlineLvl w:val="0"/>
        <w:rPr>
          <w:rFonts w:ascii="方正小标宋简体" w:hAnsi="方正小标宋简体" w:eastAsia="方正小标宋简体"/>
          <w:color w:val="000000"/>
          <w:sz w:val="36"/>
          <w:szCs w:val="36"/>
        </w:rPr>
      </w:pPr>
    </w:p>
    <w:p>
      <w:pPr>
        <w:pStyle w:val="10"/>
        <w:numPr>
          <w:ilvl w:val="0"/>
          <w:numId w:val="0"/>
        </w:numPr>
        <w:snapToGrid w:val="0"/>
        <w:spacing w:line="360" w:lineRule="auto"/>
        <w:jc w:val="both"/>
        <w:outlineLvl w:val="0"/>
        <w:rPr>
          <w:rFonts w:ascii="黑体" w:hAnsi="黑体" w:eastAsia="黑体"/>
          <w:color w:val="000000"/>
          <w:sz w:val="48"/>
          <w:szCs w:val="48"/>
        </w:rPr>
      </w:pPr>
      <w:r>
        <w:rPr>
          <w:rFonts w:hint="eastAsia" w:ascii="方正小标宋简体" w:hAnsi="方正小标宋简体" w:eastAsia="方正小标宋简体"/>
          <w:color w:val="000000"/>
          <w:sz w:val="36"/>
          <w:szCs w:val="36"/>
          <w:lang w:val="en-US" w:eastAsia="zh-CN"/>
        </w:rPr>
        <w:t xml:space="preserve">                 </w:t>
      </w:r>
      <w:r>
        <w:rPr>
          <w:rFonts w:ascii="方正小标宋简体" w:hAnsi="方正小标宋简体" w:eastAsia="方正小标宋简体"/>
          <w:b/>
          <w:bCs/>
          <w:color w:val="000000"/>
          <w:sz w:val="36"/>
          <w:szCs w:val="36"/>
        </w:rPr>
        <w:t xml:space="preserve"> </w:t>
      </w:r>
      <w:r>
        <w:rPr>
          <w:rFonts w:ascii="黑体" w:hAnsi="黑体" w:eastAsia="黑体"/>
          <w:b/>
          <w:bCs/>
          <w:color w:val="000000"/>
          <w:sz w:val="48"/>
          <w:szCs w:val="48"/>
        </w:rPr>
        <w:t>目</w:t>
      </w:r>
      <w:r>
        <w:rPr>
          <w:rFonts w:hint="eastAsia" w:ascii="黑体" w:hAnsi="黑体" w:eastAsia="黑体"/>
          <w:b/>
          <w:bCs/>
          <w:color w:val="000000"/>
          <w:sz w:val="48"/>
          <w:szCs w:val="48"/>
          <w:lang w:val="en-US" w:eastAsia="zh-CN"/>
        </w:rPr>
        <w:t xml:space="preserve">  </w:t>
      </w:r>
      <w:r>
        <w:rPr>
          <w:rFonts w:ascii="黑体" w:hAnsi="黑体" w:eastAsia="黑体"/>
          <w:b/>
          <w:bCs/>
          <w:color w:val="000000"/>
          <w:sz w:val="48"/>
          <w:szCs w:val="48"/>
        </w:rPr>
        <w:t>录</w:t>
      </w:r>
    </w:p>
    <w:p>
      <w:pPr>
        <w:pStyle w:val="10"/>
        <w:numPr>
          <w:ilvl w:val="0"/>
          <w:numId w:val="0"/>
        </w:numPr>
        <w:snapToGrid w:val="0"/>
        <w:spacing w:line="360" w:lineRule="auto"/>
        <w:jc w:val="both"/>
        <w:outlineLvl w:val="0"/>
        <w:rPr>
          <w:rFonts w:hint="eastAsia" w:ascii="楷体_GB2312" w:hAnsi="楷体_GB2312" w:eastAsia="楷体_GB2312" w:cs="楷体_GB2312"/>
          <w:b/>
          <w:bCs/>
          <w:sz w:val="32"/>
          <w:szCs w:val="32"/>
        </w:rPr>
      </w:pPr>
      <w:r>
        <w:rPr>
          <w:rFonts w:hint="eastAsia" w:ascii="黑体" w:hAnsi="黑体" w:eastAsia="黑体"/>
          <w:color w:val="000000"/>
          <w:sz w:val="48"/>
          <w:szCs w:val="48"/>
          <w:lang w:val="en-US" w:eastAsia="zh-CN"/>
        </w:rPr>
        <w:t xml:space="preserve">      </w:t>
      </w:r>
      <w:r>
        <w:rPr>
          <w:rFonts w:hint="eastAsia" w:ascii="黑体" w:hAnsi="黑体" w:eastAsia="黑体"/>
          <w:b/>
          <w:bCs/>
          <w:color w:val="000000"/>
          <w:sz w:val="48"/>
          <w:szCs w:val="48"/>
          <w:lang w:val="en-US" w:eastAsia="zh-CN"/>
        </w:rPr>
        <w:t xml:space="preserve"> </w:t>
      </w:r>
      <w:r>
        <w:rPr>
          <w:rFonts w:hint="eastAsia" w:ascii="楷体" w:hAnsi="楷体" w:eastAsia="楷体" w:cs="楷体"/>
          <w:b/>
          <w:bCs/>
          <w:color w:val="000000"/>
          <w:sz w:val="48"/>
          <w:szCs w:val="48"/>
          <w:lang w:val="en-US" w:eastAsia="zh-CN"/>
        </w:rPr>
        <w:t xml:space="preserve"> </w:t>
      </w:r>
      <w:r>
        <w:rPr>
          <w:rFonts w:hint="eastAsia" w:ascii="楷体_GB2312" w:hAnsi="楷体_GB2312" w:eastAsia="楷体_GB2312" w:cs="楷体_GB2312"/>
          <w:b/>
          <w:bCs/>
          <w:sz w:val="32"/>
          <w:szCs w:val="32"/>
        </w:rPr>
        <w:t>公开时间：2020年10月 22日</w:t>
      </w:r>
    </w:p>
    <w:p>
      <w:pPr>
        <w:pStyle w:val="10"/>
        <w:jc w:val="distribute"/>
        <w:rPr>
          <w:rFonts w:hint="eastAsia" w:ascii="楷体" w:hAnsi="楷体" w:eastAsia="楷体" w:cs="楷体"/>
        </w:rPr>
      </w:pPr>
    </w:p>
    <w:p>
      <w:pPr>
        <w:pStyle w:val="16"/>
        <w:snapToGrid w:val="0"/>
        <w:spacing w:before="0" w:beforeAutospacing="0" w:afterLines="0" w:afterAutospacing="0" w:line="440" w:lineRule="exact"/>
        <w:jc w:val="distribute"/>
        <w:rPr>
          <w:rFonts w:hint="eastAsia" w:ascii="楷体" w:hAnsi="楷体" w:eastAsia="楷体" w:cs="楷体"/>
          <w:sz w:val="24"/>
          <w:szCs w:val="24"/>
        </w:rPr>
      </w:pPr>
      <w:r>
        <w:rPr>
          <w:rFonts w:hint="eastAsia" w:ascii="楷体" w:hAnsi="楷体" w:eastAsia="楷体" w:cs="楷体"/>
          <w:sz w:val="24"/>
        </w:rPr>
        <w:t>第一部分 部门概况………………………………………………………………4</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一、基本职能及主要工作……………………………………………………4</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二、机构设置…………………………………………………………………5</w:t>
      </w:r>
    </w:p>
    <w:p>
      <w:pPr>
        <w:pStyle w:val="16"/>
        <w:snapToGrid w:val="0"/>
        <w:spacing w:before="0" w:beforeAutospacing="0" w:afterLines="0" w:afterAutospacing="0" w:line="440" w:lineRule="exact"/>
        <w:jc w:val="distribute"/>
        <w:rPr>
          <w:rFonts w:hint="eastAsia" w:ascii="楷体" w:hAnsi="楷体" w:eastAsia="楷体" w:cs="楷体"/>
          <w:sz w:val="24"/>
          <w:szCs w:val="24"/>
        </w:rPr>
      </w:pPr>
      <w:r>
        <w:rPr>
          <w:rFonts w:hint="eastAsia" w:ascii="楷体" w:hAnsi="楷体" w:eastAsia="楷体" w:cs="楷体"/>
          <w:sz w:val="24"/>
        </w:rPr>
        <w:t>第二部分度部门决算情况明……………………………………………………5</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一、收入支出决算总体情况说明……………………………………………5</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二、收入决算情况说明………………………………………………………6</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三、支出决算情况说明………………………………………………………6</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四、财政拨款收入支出决算总体情况说明…………………………………7</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五、一般公共预算财政拨款支出决算情况说明……………………………7</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六、一般公共预算财政拨款基本支出决算情况说明………………………10</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七、“三公”经费财政拨款支出决算情况说明……………………………11</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八、政府性基金预算支出决算情况说明……………………………………11</w:t>
      </w:r>
    </w:p>
    <w:p>
      <w:pPr>
        <w:pStyle w:val="17"/>
        <w:snapToGrid w:val="0"/>
        <w:spacing w:line="440" w:lineRule="exact"/>
        <w:ind w:left="420" w:leftChars="0"/>
        <w:jc w:val="distribute"/>
        <w:rPr>
          <w:rFonts w:hint="eastAsia" w:ascii="楷体" w:hAnsi="楷体" w:eastAsia="楷体" w:cs="楷体"/>
          <w:sz w:val="24"/>
        </w:rPr>
      </w:pPr>
      <w:r>
        <w:rPr>
          <w:rFonts w:hint="eastAsia" w:ascii="楷体" w:hAnsi="楷体" w:eastAsia="楷体" w:cs="楷体"/>
          <w:sz w:val="24"/>
        </w:rPr>
        <w:t>九、 国有资本经营预算支出决算情况说明………………………………11</w:t>
      </w:r>
    </w:p>
    <w:p>
      <w:pPr>
        <w:pStyle w:val="10"/>
        <w:snapToGrid w:val="0"/>
        <w:spacing w:line="440" w:lineRule="exact"/>
        <w:ind w:firstLine="480" w:firstLineChars="200"/>
        <w:jc w:val="distribute"/>
        <w:rPr>
          <w:rFonts w:hint="eastAsia" w:ascii="楷体" w:hAnsi="楷体" w:eastAsia="楷体" w:cs="楷体"/>
          <w:sz w:val="24"/>
        </w:rPr>
      </w:pPr>
      <w:r>
        <w:rPr>
          <w:rStyle w:val="7"/>
          <w:rFonts w:hint="eastAsia" w:ascii="楷体" w:hAnsi="楷体" w:eastAsia="楷体" w:cs="楷体"/>
          <w:color w:val="000000" w:themeColor="text1"/>
          <w:sz w:val="24"/>
          <w:u w:val="none"/>
          <w14:textFill>
            <w14:solidFill>
              <w14:schemeClr w14:val="tx1"/>
            </w14:solidFill>
          </w14:textFill>
        </w:rPr>
        <w:t>十、</w:t>
      </w:r>
      <w:r>
        <w:rPr>
          <w:rFonts w:hint="eastAsia" w:ascii="楷体" w:hAnsi="楷体" w:eastAsia="楷体" w:cs="楷体"/>
          <w:sz w:val="24"/>
        </w:rPr>
        <w:t>其他重要事项的情况说明……………………………………………11</w:t>
      </w:r>
    </w:p>
    <w:p>
      <w:pPr>
        <w:pStyle w:val="16"/>
        <w:snapToGrid w:val="0"/>
        <w:spacing w:before="0" w:beforeAutospacing="0" w:afterLines="0" w:afterAutospacing="0" w:line="440" w:lineRule="exact"/>
        <w:jc w:val="distribute"/>
        <w:rPr>
          <w:rFonts w:hint="eastAsia" w:ascii="楷体" w:hAnsi="楷体" w:eastAsia="楷体" w:cs="楷体"/>
          <w:sz w:val="24"/>
          <w:szCs w:val="24"/>
        </w:rPr>
      </w:pPr>
      <w:r>
        <w:rPr>
          <w:rFonts w:hint="eastAsia" w:ascii="楷体" w:hAnsi="楷体" w:eastAsia="楷体" w:cs="楷体"/>
          <w:sz w:val="24"/>
        </w:rPr>
        <w:t>第三部分   名词解释……………………………………………………………18</w:t>
      </w:r>
    </w:p>
    <w:p>
      <w:pPr>
        <w:pStyle w:val="16"/>
        <w:snapToGrid w:val="0"/>
        <w:spacing w:before="0" w:beforeAutospacing="0" w:afterLines="0" w:afterAutospacing="0" w:line="440" w:lineRule="exact"/>
        <w:jc w:val="distribute"/>
        <w:rPr>
          <w:rFonts w:hint="eastAsia" w:ascii="楷体" w:hAnsi="楷体" w:eastAsia="楷体" w:cs="楷体"/>
          <w:sz w:val="24"/>
          <w:szCs w:val="24"/>
        </w:rPr>
      </w:pPr>
      <w:r>
        <w:rPr>
          <w:rFonts w:hint="eastAsia" w:ascii="楷体" w:hAnsi="楷体" w:eastAsia="楷体" w:cs="楷体"/>
          <w:sz w:val="24"/>
        </w:rPr>
        <w:t>第四部分   附件…………………………………………………………………21</w:t>
      </w:r>
    </w:p>
    <w:p>
      <w:pPr>
        <w:pStyle w:val="17"/>
        <w:snapToGrid w:val="0"/>
        <w:spacing w:line="440" w:lineRule="exact"/>
        <w:ind w:left="400" w:leftChars="200"/>
        <w:jc w:val="distribute"/>
        <w:rPr>
          <w:rFonts w:hint="eastAsia" w:ascii="楷体" w:hAnsi="楷体" w:eastAsia="楷体" w:cs="楷体"/>
          <w:sz w:val="24"/>
        </w:rPr>
      </w:pPr>
      <w:r>
        <w:rPr>
          <w:rFonts w:hint="eastAsia" w:ascii="楷体" w:hAnsi="楷体" w:eastAsia="楷体" w:cs="楷体"/>
          <w:sz w:val="24"/>
        </w:rPr>
        <w:t>附件1…………………………………………………………………………21</w:t>
      </w:r>
    </w:p>
    <w:p>
      <w:pPr>
        <w:pStyle w:val="10"/>
        <w:ind w:firstLine="440" w:firstLineChars="200"/>
        <w:jc w:val="distribute"/>
        <w:rPr>
          <w:rFonts w:hint="eastAsia" w:ascii="楷体" w:hAnsi="楷体" w:eastAsia="楷体" w:cs="楷体"/>
        </w:rPr>
      </w:pPr>
      <w:r>
        <w:rPr>
          <w:rFonts w:hint="eastAsia" w:ascii="楷体" w:hAnsi="楷体" w:eastAsia="楷体" w:cs="楷体"/>
          <w:sz w:val="22"/>
        </w:rPr>
        <w:t>附件2…………………………………………………………………………………26</w:t>
      </w:r>
    </w:p>
    <w:p>
      <w:pPr>
        <w:pStyle w:val="16"/>
        <w:snapToGrid w:val="0"/>
        <w:spacing w:before="0" w:beforeAutospacing="0" w:afterLines="0" w:afterAutospacing="0" w:line="440" w:lineRule="exact"/>
        <w:jc w:val="distribute"/>
        <w:rPr>
          <w:rFonts w:hint="eastAsia" w:ascii="楷体" w:hAnsi="楷体" w:eastAsia="楷体" w:cs="楷体"/>
          <w:sz w:val="24"/>
          <w:szCs w:val="24"/>
        </w:rPr>
      </w:pPr>
      <w:r>
        <w:rPr>
          <w:rFonts w:hint="eastAsia" w:ascii="楷体" w:hAnsi="楷体" w:eastAsia="楷体" w:cs="楷体"/>
          <w:sz w:val="24"/>
        </w:rPr>
        <w:t>第五部分       附表……………………………………………………………32</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一、收入支出决算总表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二、收入决算表</w:t>
      </w:r>
    </w:p>
    <w:p>
      <w:pPr>
        <w:pStyle w:val="17"/>
        <w:snapToGrid w:val="0"/>
        <w:spacing w:line="440" w:lineRule="exact"/>
        <w:ind w:left="400" w:leftChars="200"/>
        <w:jc w:val="left"/>
        <w:rPr>
          <w:rFonts w:hint="eastAsia" w:ascii="楷体" w:hAnsi="楷体" w:eastAsia="楷体" w:cs="楷体"/>
          <w:sz w:val="24"/>
        </w:rPr>
        <w:sectPr>
          <w:footerReference r:id="rId3" w:type="default"/>
          <w:pgSz w:w="11906" w:h="16838"/>
          <w:pgMar w:top="1978" w:right="1800" w:bottom="1943" w:left="1800" w:header="1440" w:footer="1440" w:gutter="0"/>
          <w:pgNumType w:fmt="decimal" w:start="1"/>
          <w:cols w:space="720" w:num="1"/>
          <w:formProt w:val="0"/>
          <w:docGrid w:type="lines" w:linePitch="312" w:charSpace="287743"/>
        </w:sectPr>
      </w:pPr>
      <w:r>
        <w:rPr>
          <w:rFonts w:hint="eastAsia" w:ascii="楷体" w:hAnsi="楷体" w:eastAsia="楷体" w:cs="楷体"/>
          <w:sz w:val="24"/>
        </w:rPr>
        <w:t>三、支出决算表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四、财政拨款收入支出决算总表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五、财政拨款支出决算明细表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六、一般公共预算财政拨款支出决算表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七、一般公共预算财政拨款支出决算明细表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八、一般公共预算财政拨款基本支出决算表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九、一般公共预算财政拨款项目支出决算表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十、一般公共预算财政拨款“三公”经费支出决算表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十一、政府性基金预算财政拨款收入支出决算表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十二、政府性基金预算财政拨款“三公”经费支出决算表</w:t>
      </w:r>
    </w:p>
    <w:p>
      <w:pPr>
        <w:pStyle w:val="17"/>
        <w:snapToGrid w:val="0"/>
        <w:spacing w:line="440" w:lineRule="exact"/>
        <w:ind w:left="400" w:leftChars="200"/>
        <w:jc w:val="left"/>
        <w:rPr>
          <w:rFonts w:hint="eastAsia" w:ascii="楷体" w:hAnsi="楷体" w:eastAsia="楷体" w:cs="楷体"/>
          <w:sz w:val="24"/>
        </w:rPr>
      </w:pPr>
      <w:r>
        <w:rPr>
          <w:rFonts w:hint="eastAsia" w:ascii="楷体" w:hAnsi="楷体" w:eastAsia="楷体" w:cs="楷体"/>
          <w:sz w:val="24"/>
        </w:rPr>
        <w:t>十三、国有资本经营预算支出决算表</w:t>
      </w:r>
    </w:p>
    <w:p>
      <w:pPr>
        <w:pStyle w:val="10"/>
        <w:widowControl/>
        <w:spacing w:line="440" w:lineRule="exact"/>
        <w:jc w:val="left"/>
        <w:rPr>
          <w:rFonts w:hint="eastAsia" w:ascii="楷体_GB2312" w:hAnsi="楷体_GB2312" w:eastAsia="楷体_GB2312" w:cs="楷体_GB2312"/>
          <w:bCs/>
          <w:kern w:val="2"/>
          <w:sz w:val="24"/>
        </w:rPr>
      </w:pPr>
      <w:bookmarkStart w:id="12" w:name="_Toc15377196"/>
      <w:bookmarkStart w:id="13" w:name="_Toc15396599"/>
      <w:r>
        <w:rPr>
          <w:rFonts w:hint="eastAsia" w:ascii="楷体_GB2312" w:hAnsi="楷体_GB2312" w:eastAsia="楷体_GB2312" w:cs="楷体_GB2312"/>
        </w:rPr>
        <w:br w:type="page"/>
      </w:r>
      <w:bookmarkStart w:id="53" w:name="_GoBack"/>
      <w:bookmarkEnd w:id="53"/>
    </w:p>
    <w:p>
      <w:pPr>
        <w:pStyle w:val="9"/>
        <w:jc w:val="center"/>
        <w:rPr>
          <w:rFonts w:ascii="黑体" w:hAnsi="黑体" w:eastAsia="黑体"/>
          <w:bCs w:val="0"/>
        </w:rPr>
      </w:pPr>
      <w:r>
        <w:rPr>
          <w:rFonts w:ascii="黑体" w:hAnsi="黑体" w:eastAsia="黑体"/>
          <w:b w:val="0"/>
        </w:rPr>
        <w:t xml:space="preserve">第一部分 </w:t>
      </w:r>
      <w:r>
        <w:rPr>
          <w:rStyle w:val="8"/>
          <w:rFonts w:ascii="黑体" w:hAnsi="黑体" w:eastAsia="黑体"/>
          <w:b w:val="0"/>
          <w:bCs w:val="0"/>
        </w:rPr>
        <w:t>部门概况</w:t>
      </w:r>
      <w:bookmarkEnd w:id="12"/>
      <w:bookmarkEnd w:id="13"/>
    </w:p>
    <w:p>
      <w:pPr>
        <w:pStyle w:val="12"/>
        <w:pageBreakBefore w:val="0"/>
        <w:widowControl w:val="0"/>
        <w:kinsoku/>
        <w:wordWrap/>
        <w:overflowPunct/>
        <w:topLinePunct w:val="0"/>
        <w:autoSpaceDE/>
        <w:autoSpaceDN/>
        <w:bidi w:val="0"/>
        <w:adjustRightInd/>
        <w:snapToGrid/>
        <w:spacing w:before="0" w:after="0" w:line="520" w:lineRule="exact"/>
        <w:ind w:left="0" w:leftChars="0" w:right="0" w:firstLine="616" w:firstLineChars="200"/>
        <w:textAlignment w:val="auto"/>
        <w:rPr>
          <w:rStyle w:val="11"/>
          <w:rFonts w:ascii="黑体" w:hAnsi="黑体" w:eastAsia="黑体"/>
          <w:b w:val="0"/>
          <w:bCs w:val="0"/>
          <w:spacing w:val="-6"/>
          <w:sz w:val="32"/>
        </w:rPr>
      </w:pPr>
      <w:bookmarkStart w:id="14" w:name="_Toc15377197"/>
      <w:bookmarkStart w:id="15" w:name="_Toc15396600"/>
      <w:r>
        <w:rPr>
          <w:rFonts w:ascii="黑体" w:hAnsi="黑体" w:eastAsia="黑体"/>
          <w:b w:val="0"/>
          <w:color w:val="000000"/>
          <w:spacing w:val="-6"/>
          <w:sz w:val="32"/>
        </w:rPr>
        <w:t>一、基</w:t>
      </w:r>
      <w:r>
        <w:rPr>
          <w:rStyle w:val="11"/>
          <w:rFonts w:ascii="黑体" w:hAnsi="黑体" w:eastAsia="黑体"/>
          <w:b w:val="0"/>
          <w:bCs w:val="0"/>
          <w:spacing w:val="-6"/>
          <w:sz w:val="32"/>
        </w:rPr>
        <w:t>本职能及主要工作</w:t>
      </w:r>
      <w:bookmarkEnd w:id="14"/>
      <w:bookmarkEnd w:id="15"/>
      <w:bookmarkStart w:id="16" w:name="_Toc15377198"/>
      <w:bookmarkStart w:id="17" w:name="_Toc15378445"/>
    </w:p>
    <w:p>
      <w:pPr>
        <w:pStyle w:val="12"/>
        <w:pageBreakBefore w:val="0"/>
        <w:widowControl w:val="0"/>
        <w:numPr>
          <w:ilvl w:val="0"/>
          <w:numId w:val="1"/>
        </w:numPr>
        <w:kinsoku/>
        <w:wordWrap/>
        <w:overflowPunct/>
        <w:topLinePunct w:val="0"/>
        <w:autoSpaceDE/>
        <w:autoSpaceDN/>
        <w:bidi w:val="0"/>
        <w:adjustRightInd/>
        <w:snapToGrid/>
        <w:spacing w:before="0" w:after="0" w:line="520" w:lineRule="exact"/>
        <w:ind w:left="0" w:leftChars="0" w:right="0" w:firstLine="619" w:firstLineChars="200"/>
        <w:textAlignment w:val="auto"/>
        <w:rPr>
          <w:rFonts w:ascii="仿宋" w:hAnsi="仿宋" w:eastAsiaTheme="minorEastAsia"/>
          <w:b w:val="0"/>
          <w:bCs w:val="0"/>
          <w:spacing w:val="-6"/>
          <w:sz w:val="32"/>
          <w:szCs w:val="32"/>
        </w:rPr>
      </w:pPr>
      <w:r>
        <w:rPr>
          <w:rFonts w:ascii="仿宋" w:hAnsi="仿宋"/>
          <w:bCs w:val="0"/>
          <w:color w:val="000000"/>
          <w:spacing w:val="-6"/>
          <w:sz w:val="32"/>
          <w:szCs w:val="32"/>
        </w:rPr>
        <w:t>主要职能。</w:t>
      </w:r>
      <w:bookmarkEnd w:id="16"/>
      <w:bookmarkEnd w:id="17"/>
    </w:p>
    <w:p>
      <w:pPr>
        <w:pStyle w:val="19"/>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shd w:val="clear" w:fill="FFFFFF"/>
        </w:rPr>
      </w:pPr>
      <w:r>
        <w:rPr>
          <w:rFonts w:hint="eastAsia" w:ascii="方正仿宋_GB2312" w:hAnsi="方正仿宋_GB2312" w:eastAsia="方正仿宋_GB2312" w:cs="方正仿宋_GB2312"/>
          <w:spacing w:val="-6"/>
          <w:sz w:val="32"/>
          <w:szCs w:val="32"/>
        </w:rPr>
        <w:t>嘉州社会福利院是公益性的福利机构。是依据《老年人权益保障法》、《五保供养条例》、《城市生活无着的流浪乞讨人员救助管理办法》、《中华人民共和国残疾人保障法》等国家相关法律、法规及相关文件规定，履行全区特困人员供养，老复员军人、孤残、流浪乞讨人员等实施救助。另外开展部分社会代养服务工作。</w:t>
      </w:r>
    </w:p>
    <w:p>
      <w:pPr>
        <w:pStyle w:val="19"/>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shd w:val="clear" w:fill="FFFFFF"/>
        </w:rPr>
      </w:pPr>
      <w:r>
        <w:rPr>
          <w:rFonts w:hint="eastAsia" w:ascii="方正仿宋_GB2312" w:hAnsi="方正仿宋_GB2312" w:eastAsia="方正仿宋_GB2312" w:cs="方正仿宋_GB2312"/>
          <w:spacing w:val="-6"/>
          <w:sz w:val="32"/>
          <w:szCs w:val="32"/>
        </w:rPr>
        <w:t xml:space="preserve">二、工作职责： </w:t>
      </w:r>
    </w:p>
    <w:p>
      <w:pPr>
        <w:pStyle w:val="10"/>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对全区生活不能自理的农村五保对象，城镇“三无”人员、老复员军人、残疾人、部分社会收养和代养人员、流浪乞讨生活无着落人员等实施救助。</w:t>
      </w:r>
      <w:bookmarkStart w:id="18" w:name="_Toc15378446"/>
      <w:bookmarkStart w:id="19" w:name="_Toc15377199"/>
    </w:p>
    <w:p>
      <w:pPr>
        <w:pStyle w:val="10"/>
        <w:pageBreakBefore w:val="0"/>
        <w:widowControl w:val="0"/>
        <w:kinsoku/>
        <w:wordWrap/>
        <w:overflowPunct/>
        <w:topLinePunct w:val="0"/>
        <w:autoSpaceDE/>
        <w:autoSpaceDN/>
        <w:bidi w:val="0"/>
        <w:adjustRightInd/>
        <w:snapToGrid/>
        <w:spacing w:line="520" w:lineRule="exact"/>
        <w:ind w:left="0" w:leftChars="0" w:right="0" w:firstLine="619"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b/>
          <w:bCs/>
          <w:color w:val="000000"/>
          <w:spacing w:val="-6"/>
          <w:sz w:val="32"/>
          <w:szCs w:val="32"/>
        </w:rPr>
        <w:t>（三）2020年重点工作完成情况。</w:t>
      </w:r>
      <w:bookmarkEnd w:id="18"/>
      <w:bookmarkEnd w:id="19"/>
    </w:p>
    <w:p>
      <w:pPr>
        <w:pStyle w:val="10"/>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1、疫情防控工作，外防输入，内防反弹。做好防疫物资储备。</w:t>
      </w:r>
    </w:p>
    <w:p>
      <w:pPr>
        <w:pStyle w:val="10"/>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2、扎实开展不忘初心牢记使命党史教育主题实践活动工作。</w:t>
      </w:r>
    </w:p>
    <w:p>
      <w:pPr>
        <w:pStyle w:val="10"/>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3、加强党风廉政与反贪腐工作。  　　</w:t>
      </w:r>
    </w:p>
    <w:p>
      <w:pPr>
        <w:pStyle w:val="10"/>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4、切实做好信访、维稳工作。  　　</w:t>
      </w:r>
    </w:p>
    <w:p>
      <w:pPr>
        <w:pStyle w:val="10"/>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5、认真做好工会工作。  　　</w:t>
      </w:r>
    </w:p>
    <w:p>
      <w:pPr>
        <w:pStyle w:val="10"/>
        <w:pageBreakBefore w:val="0"/>
        <w:widowControl w:val="0"/>
        <w:kinsoku/>
        <w:wordWrap/>
        <w:overflowPunct/>
        <w:topLinePunct w:val="0"/>
        <w:autoSpaceDE/>
        <w:autoSpaceDN/>
        <w:bidi w:val="0"/>
        <w:adjustRightInd/>
        <w:snapToGrid/>
        <w:spacing w:line="520" w:lineRule="exact"/>
        <w:ind w:left="0" w:leftChars="0" w:right="0" w:firstLine="619" w:firstLineChars="200"/>
        <w:textAlignment w:val="auto"/>
        <w:rPr>
          <w:rStyle w:val="11"/>
          <w:rFonts w:hint="eastAsia" w:ascii="方正仿宋_GB2312" w:hAnsi="方正仿宋_GB2312" w:eastAsia="方正仿宋_GB2312" w:cs="方正仿宋_GB2312"/>
          <w:b w:val="0"/>
          <w:bCs w:val="0"/>
          <w:spacing w:val="-6"/>
          <w:sz w:val="32"/>
          <w:szCs w:val="32"/>
        </w:rPr>
      </w:pPr>
      <w:bookmarkStart w:id="20" w:name="_Toc15377200"/>
      <w:bookmarkStart w:id="21" w:name="_Toc15396601"/>
      <w:r>
        <w:rPr>
          <w:rFonts w:hint="eastAsia" w:ascii="方正仿宋_GB2312" w:hAnsi="方正仿宋_GB2312" w:eastAsia="方正仿宋_GB2312" w:cs="方正仿宋_GB2312"/>
          <w:b/>
          <w:color w:val="000000"/>
          <w:spacing w:val="-6"/>
          <w:sz w:val="32"/>
          <w:szCs w:val="32"/>
        </w:rPr>
        <w:t>二、机</w:t>
      </w:r>
      <w:r>
        <w:rPr>
          <w:rStyle w:val="11"/>
          <w:rFonts w:hint="eastAsia" w:ascii="方正仿宋_GB2312" w:hAnsi="方正仿宋_GB2312" w:eastAsia="方正仿宋_GB2312" w:cs="方正仿宋_GB2312"/>
          <w:spacing w:val="-6"/>
          <w:sz w:val="32"/>
          <w:szCs w:val="32"/>
        </w:rPr>
        <w:t>构设置</w:t>
      </w:r>
      <w:bookmarkEnd w:id="20"/>
      <w:bookmarkEnd w:id="21"/>
    </w:p>
    <w:p>
      <w:pPr>
        <w:pStyle w:val="10"/>
        <w:pageBreakBefore w:val="0"/>
        <w:widowControl w:val="0"/>
        <w:kinsoku/>
        <w:wordWrap/>
        <w:overflowPunct/>
        <w:topLinePunct w:val="0"/>
        <w:autoSpaceDE/>
        <w:autoSpaceDN/>
        <w:bidi w:val="0"/>
        <w:adjustRightInd/>
        <w:snapToGrid/>
        <w:spacing w:line="520" w:lineRule="exact"/>
        <w:ind w:left="0" w:leftChars="0" w:right="0" w:firstLine="616" w:firstLineChars="200"/>
        <w:textAlignment w:val="auto"/>
        <w:rPr>
          <w:rFonts w:hint="eastAsia" w:ascii="方正仿宋_GB2312" w:hAnsi="方正仿宋_GB2312" w:eastAsia="方正仿宋_GB2312" w:cs="方正仿宋_GB2312"/>
          <w:color w:val="000000"/>
          <w:spacing w:val="-6"/>
          <w:kern w:val="0"/>
          <w:sz w:val="32"/>
          <w:szCs w:val="32"/>
        </w:rPr>
      </w:pPr>
      <w:r>
        <w:rPr>
          <w:rFonts w:hint="eastAsia" w:ascii="方正仿宋_GB2312" w:hAnsi="方正仿宋_GB2312" w:eastAsia="方正仿宋_GB2312" w:cs="方正仿宋_GB2312"/>
          <w:spacing w:val="-6"/>
          <w:sz w:val="32"/>
          <w:szCs w:val="32"/>
        </w:rPr>
        <w:t>嘉州社会福利院属乐山市市中区民政局下属事业单位。事业编制3个，实有编制人数8人，其中安置乐山福利厂分流人员5人，设置九级管理岗位2名，事业工勤4名，专业技术2人。</w:t>
      </w:r>
    </w:p>
    <w:p>
      <w:pPr>
        <w:pStyle w:val="9"/>
        <w:jc w:val="center"/>
        <w:rPr>
          <w:rStyle w:val="8"/>
          <w:rFonts w:hint="eastAsia" w:ascii="黑体" w:hAnsi="黑体" w:eastAsia="黑体"/>
          <w:b w:val="0"/>
          <w:bCs w:val="0"/>
        </w:rPr>
      </w:pPr>
      <w:bookmarkStart w:id="22" w:name="_Toc15377204"/>
      <w:bookmarkStart w:id="23" w:name="_Toc15396602"/>
      <w:r>
        <w:rPr>
          <w:rStyle w:val="8"/>
          <w:rFonts w:hint="eastAsia" w:ascii="黑体" w:hAnsi="黑体" w:eastAsia="黑体"/>
          <w:b w:val="0"/>
          <w:bCs w:val="0"/>
        </w:rPr>
        <w:t>第二部分 2020年度部门决算情况说明</w:t>
      </w:r>
      <w:bookmarkEnd w:id="22"/>
      <w:bookmarkEnd w:id="23"/>
    </w:p>
    <w:p>
      <w:pPr>
        <w:pStyle w:val="9"/>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textAlignment w:val="auto"/>
        <w:rPr>
          <w:rFonts w:hint="eastAsia" w:ascii="方正仿宋_GB2312" w:hAnsi="方正仿宋_GB2312" w:eastAsia="方正仿宋_GB2312" w:cs="方正仿宋_GB2312"/>
          <w:b w:val="0"/>
          <w:bCs w:val="0"/>
          <w:sz w:val="32"/>
          <w:szCs w:val="32"/>
        </w:rPr>
      </w:pPr>
      <w:r>
        <w:rPr>
          <w:rStyle w:val="8"/>
          <w:rFonts w:hint="eastAsia" w:ascii="方正仿宋_GB2312" w:hAnsi="方正仿宋_GB2312" w:eastAsia="方正仿宋_GB2312" w:cs="方正仿宋_GB2312"/>
          <w:b w:val="0"/>
          <w:bCs w:val="0"/>
          <w:sz w:val="32"/>
          <w:szCs w:val="32"/>
        </w:rPr>
        <w:t>一、</w:t>
      </w:r>
      <w:bookmarkStart w:id="24" w:name="_Toc15396603"/>
      <w:bookmarkStart w:id="25" w:name="_Toc15377205"/>
      <w:r>
        <w:rPr>
          <w:rFonts w:hint="eastAsia" w:ascii="方正仿宋_GB2312" w:hAnsi="方正仿宋_GB2312" w:eastAsia="方正仿宋_GB2312" w:cs="方正仿宋_GB2312"/>
          <w:color w:val="000000"/>
          <w:sz w:val="32"/>
          <w:szCs w:val="32"/>
        </w:rPr>
        <w:t>收</w:t>
      </w:r>
      <w:r>
        <w:rPr>
          <w:rStyle w:val="11"/>
          <w:rFonts w:hint="eastAsia" w:ascii="方正仿宋_GB2312" w:hAnsi="方正仿宋_GB2312" w:eastAsia="方正仿宋_GB2312" w:cs="方正仿宋_GB2312"/>
          <w:b w:val="0"/>
          <w:bCs w:val="0"/>
          <w:sz w:val="32"/>
          <w:szCs w:val="32"/>
        </w:rPr>
        <w:t>入支出决算总体情况说明</w:t>
      </w:r>
      <w:bookmarkEnd w:id="24"/>
      <w:bookmarkEnd w:id="25"/>
    </w:p>
    <w:p>
      <w:pPr>
        <w:pStyle w:val="1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32"/>
          <w:szCs w:val="32"/>
        </w:rPr>
        <w:t>20</w:t>
      </w:r>
      <w:r>
        <w:rPr>
          <w:rFonts w:hint="eastAsia" w:ascii="方正仿宋_GB2312" w:hAnsi="方正仿宋_GB2312" w:eastAsia="方正仿宋_GB2312" w:cs="方正仿宋_GB2312"/>
          <w:color w:val="000000"/>
          <w:kern w:val="2"/>
          <w:sz w:val="32"/>
          <w:szCs w:val="32"/>
          <w:lang w:val="en-US" w:eastAsia="zh-CN" w:bidi="ar-SA"/>
        </w:rPr>
        <w:t>20</w:t>
      </w:r>
      <w:r>
        <w:rPr>
          <w:rFonts w:hint="eastAsia" w:ascii="方正仿宋_GB2312" w:hAnsi="方正仿宋_GB2312" w:eastAsia="方正仿宋_GB2312" w:cs="方正仿宋_GB2312"/>
          <w:color w:val="000000"/>
          <w:sz w:val="32"/>
          <w:szCs w:val="32"/>
        </w:rPr>
        <w:t>年度收、支总计454.92万元。与2019年相比，收、支总计各减少75.80万元，下降16.67%。主要变动原因：一是厉行节约；二是201</w:t>
      </w:r>
      <w:r>
        <w:rPr>
          <w:rFonts w:hint="eastAsia" w:ascii="方正仿宋_GB2312" w:hAnsi="方正仿宋_GB2312" w:eastAsia="方正仿宋_GB2312" w:cs="方正仿宋_GB2312"/>
          <w:color w:val="000000"/>
          <w:kern w:val="2"/>
          <w:sz w:val="32"/>
          <w:szCs w:val="32"/>
        </w:rPr>
        <w:t>9</w:t>
      </w:r>
      <w:r>
        <w:rPr>
          <w:rFonts w:hint="eastAsia" w:ascii="方正仿宋_GB2312" w:hAnsi="方正仿宋_GB2312" w:eastAsia="方正仿宋_GB2312" w:cs="方正仿宋_GB2312"/>
          <w:color w:val="000000"/>
          <w:sz w:val="32"/>
          <w:szCs w:val="32"/>
        </w:rPr>
        <w:t>年养老服务业适老化改造项目工程已竣工，项目资金已支付按中标合同总价80%款项</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sz w:val="28"/>
          <w:szCs w:val="28"/>
        </w:rPr>
        <w:tab/>
      </w:r>
    </w:p>
    <w:p>
      <w:pPr>
        <w:pStyle w:val="10"/>
        <w:tabs>
          <w:tab w:val="left" w:pos="638"/>
        </w:tabs>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rPr>
        <w:drawing>
          <wp:inline distT="0" distB="0" distL="0" distR="0">
            <wp:extent cx="4566285" cy="224726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19"/>
        <w:numPr>
          <w:ilvl w:val="0"/>
          <w:numId w:val="0"/>
        </w:numPr>
        <w:spacing w:line="600" w:lineRule="exact"/>
        <w:ind w:left="720" w:firstLine="560" w:firstLineChars="200"/>
        <w:outlineLvl w:val="1"/>
        <w:rPr>
          <w:rFonts w:hint="eastAsia" w:ascii="方正仿宋_GB2312" w:hAnsi="方正仿宋_GB2312" w:eastAsia="方正仿宋_GB2312" w:cs="方正仿宋_GB2312"/>
          <w:bCs/>
          <w:sz w:val="28"/>
          <w:szCs w:val="28"/>
        </w:rPr>
      </w:pPr>
    </w:p>
    <w:p>
      <w:pPr>
        <w:pStyle w:val="10"/>
        <w:numPr>
          <w:ilvl w:val="0"/>
          <w:numId w:val="0"/>
        </w:numPr>
        <w:spacing w:line="600" w:lineRule="exact"/>
        <w:outlineLvl w:val="1"/>
        <w:rPr>
          <w:rStyle w:val="11"/>
          <w:rFonts w:hint="eastAsia" w:ascii="方正仿宋_GB2312" w:hAnsi="方正仿宋_GB2312" w:eastAsia="方正仿宋_GB2312" w:cs="方正仿宋_GB2312"/>
          <w:b w:val="0"/>
          <w:sz w:val="28"/>
          <w:szCs w:val="28"/>
        </w:rPr>
      </w:pPr>
      <w:bookmarkStart w:id="26" w:name="_Toc15377206"/>
      <w:bookmarkStart w:id="27" w:name="_Toc15396604"/>
      <w:r>
        <w:rPr>
          <w:rFonts w:hint="eastAsia" w:ascii="方正仿宋_GB2312" w:hAnsi="方正仿宋_GB2312" w:eastAsia="方正仿宋_GB2312" w:cs="方正仿宋_GB2312"/>
          <w:color w:val="000000"/>
          <w:sz w:val="28"/>
          <w:szCs w:val="28"/>
        </w:rPr>
        <w:t>二、收</w:t>
      </w:r>
      <w:r>
        <w:rPr>
          <w:rStyle w:val="11"/>
          <w:rFonts w:hint="eastAsia" w:ascii="方正仿宋_GB2312" w:hAnsi="方正仿宋_GB2312" w:eastAsia="方正仿宋_GB2312" w:cs="方正仿宋_GB2312"/>
          <w:b w:val="0"/>
          <w:sz w:val="28"/>
          <w:szCs w:val="28"/>
        </w:rPr>
        <w:t>入决算情况说明</w:t>
      </w:r>
      <w:bookmarkEnd w:id="26"/>
      <w:bookmarkEnd w:id="27"/>
    </w:p>
    <w:p>
      <w:pPr>
        <w:pStyle w:val="10"/>
        <w:numPr>
          <w:ilvl w:val="0"/>
          <w:numId w:val="0"/>
        </w:numPr>
        <w:spacing w:line="600" w:lineRule="exact"/>
        <w:ind w:firstLine="560" w:firstLineChars="200"/>
        <w:outlineLvl w:val="1"/>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w:t>
      </w:r>
      <w:r>
        <w:rPr>
          <w:rFonts w:hint="eastAsia" w:ascii="方正仿宋_GB2312" w:hAnsi="方正仿宋_GB2312" w:eastAsia="方正仿宋_GB2312" w:cs="方正仿宋_GB2312"/>
          <w:color w:val="000000"/>
          <w:kern w:val="2"/>
          <w:sz w:val="28"/>
          <w:szCs w:val="28"/>
          <w:lang w:val="en-US" w:eastAsia="zh-CN" w:bidi="ar-SA"/>
        </w:rPr>
        <w:t>20</w:t>
      </w:r>
      <w:r>
        <w:rPr>
          <w:rFonts w:hint="eastAsia" w:ascii="方正仿宋_GB2312" w:hAnsi="方正仿宋_GB2312" w:eastAsia="方正仿宋_GB2312" w:cs="方正仿宋_GB2312"/>
          <w:color w:val="000000"/>
          <w:sz w:val="28"/>
          <w:szCs w:val="28"/>
        </w:rPr>
        <w:t>年本年收入合计</w:t>
      </w:r>
      <w:r>
        <w:rPr>
          <w:rFonts w:hint="eastAsia" w:ascii="方正仿宋_GB2312" w:hAnsi="方正仿宋_GB2312" w:eastAsia="方正仿宋_GB2312" w:cs="方正仿宋_GB2312"/>
          <w:color w:val="000000"/>
          <w:kern w:val="2"/>
          <w:sz w:val="28"/>
          <w:szCs w:val="28"/>
        </w:rPr>
        <w:t>337.48</w:t>
      </w:r>
      <w:r>
        <w:rPr>
          <w:rFonts w:hint="eastAsia" w:ascii="方正仿宋_GB2312" w:hAnsi="方正仿宋_GB2312" w:eastAsia="方正仿宋_GB2312" w:cs="方正仿宋_GB2312"/>
          <w:color w:val="000000"/>
          <w:sz w:val="28"/>
          <w:szCs w:val="28"/>
        </w:rPr>
        <w:t xml:space="preserve">万元，其中：一般公共预算财政拨款收入273.51万元，占 </w:t>
      </w:r>
      <w:r>
        <w:rPr>
          <w:rFonts w:hint="eastAsia" w:ascii="方正仿宋_GB2312" w:hAnsi="方正仿宋_GB2312" w:eastAsia="方正仿宋_GB2312" w:cs="方正仿宋_GB2312"/>
          <w:color w:val="000000"/>
          <w:kern w:val="2"/>
          <w:sz w:val="28"/>
          <w:szCs w:val="28"/>
        </w:rPr>
        <w:t>70.94</w:t>
      </w:r>
      <w:r>
        <w:rPr>
          <w:rFonts w:hint="eastAsia" w:ascii="方正仿宋_GB2312" w:hAnsi="方正仿宋_GB2312" w:eastAsia="方正仿宋_GB2312" w:cs="方正仿宋_GB2312"/>
          <w:color w:val="000000"/>
          <w:sz w:val="28"/>
          <w:szCs w:val="28"/>
        </w:rPr>
        <w:t>%；经营收入</w:t>
      </w:r>
      <w:r>
        <w:rPr>
          <w:rFonts w:hint="eastAsia" w:ascii="方正仿宋_GB2312" w:hAnsi="方正仿宋_GB2312" w:eastAsia="方正仿宋_GB2312" w:cs="方正仿宋_GB2312"/>
          <w:color w:val="000000"/>
          <w:kern w:val="2"/>
          <w:sz w:val="28"/>
          <w:szCs w:val="28"/>
        </w:rPr>
        <w:t>55.06</w:t>
      </w:r>
      <w:r>
        <w:rPr>
          <w:rFonts w:hint="eastAsia" w:ascii="方正仿宋_GB2312" w:hAnsi="方正仿宋_GB2312" w:eastAsia="方正仿宋_GB2312" w:cs="方正仿宋_GB2312"/>
          <w:color w:val="000000"/>
          <w:sz w:val="28"/>
          <w:szCs w:val="28"/>
        </w:rPr>
        <w:t xml:space="preserve">万元，占 </w:t>
      </w:r>
      <w:r>
        <w:rPr>
          <w:rFonts w:hint="eastAsia" w:ascii="方正仿宋_GB2312" w:hAnsi="方正仿宋_GB2312" w:eastAsia="方正仿宋_GB2312" w:cs="方正仿宋_GB2312"/>
          <w:color w:val="000000"/>
          <w:kern w:val="2"/>
          <w:sz w:val="28"/>
          <w:szCs w:val="28"/>
        </w:rPr>
        <w:t>16.32</w:t>
      </w:r>
      <w:r>
        <w:rPr>
          <w:rFonts w:hint="eastAsia" w:ascii="方正仿宋_GB2312" w:hAnsi="方正仿宋_GB2312" w:eastAsia="方正仿宋_GB2312" w:cs="方正仿宋_GB2312"/>
          <w:color w:val="000000"/>
          <w:sz w:val="28"/>
          <w:szCs w:val="28"/>
        </w:rPr>
        <w:t>%；其他收入</w:t>
      </w:r>
      <w:r>
        <w:rPr>
          <w:rFonts w:hint="eastAsia" w:ascii="方正仿宋_GB2312" w:hAnsi="方正仿宋_GB2312" w:eastAsia="方正仿宋_GB2312" w:cs="方正仿宋_GB2312"/>
          <w:color w:val="000000"/>
          <w:kern w:val="2"/>
          <w:sz w:val="28"/>
          <w:szCs w:val="28"/>
        </w:rPr>
        <w:t>8.91</w:t>
      </w:r>
      <w:r>
        <w:rPr>
          <w:rFonts w:hint="eastAsia" w:ascii="方正仿宋_GB2312" w:hAnsi="方正仿宋_GB2312" w:eastAsia="方正仿宋_GB2312" w:cs="方正仿宋_GB2312"/>
          <w:color w:val="000000"/>
          <w:sz w:val="28"/>
          <w:szCs w:val="28"/>
        </w:rPr>
        <w:t xml:space="preserve">万元，占 </w:t>
      </w:r>
      <w:r>
        <w:rPr>
          <w:rFonts w:hint="eastAsia" w:ascii="方正仿宋_GB2312" w:hAnsi="方正仿宋_GB2312" w:eastAsia="方正仿宋_GB2312" w:cs="方正仿宋_GB2312"/>
          <w:color w:val="000000"/>
          <w:kern w:val="2"/>
          <w:sz w:val="28"/>
          <w:szCs w:val="28"/>
        </w:rPr>
        <w:t>2.64</w:t>
      </w:r>
      <w:r>
        <w:rPr>
          <w:rFonts w:hint="eastAsia" w:ascii="方正仿宋_GB2312" w:hAnsi="方正仿宋_GB2312" w:eastAsia="方正仿宋_GB2312" w:cs="方正仿宋_GB2312"/>
          <w:color w:val="000000"/>
          <w:sz w:val="28"/>
          <w:szCs w:val="28"/>
        </w:rPr>
        <w:t>%。</w:t>
      </w:r>
    </w:p>
    <w:p>
      <w:pPr>
        <w:pStyle w:val="10"/>
        <w:ind w:firstLine="560" w:firstLineChars="200"/>
        <w:rPr>
          <w:rStyle w:val="11"/>
          <w:rFonts w:hint="eastAsia" w:ascii="方正仿宋_GB2312" w:hAnsi="方正仿宋_GB2312" w:eastAsia="方正仿宋_GB2312" w:cs="方正仿宋_GB2312"/>
          <w:b w:val="0"/>
          <w:bCs w:val="0"/>
          <w:sz w:val="28"/>
          <w:szCs w:val="28"/>
        </w:rPr>
      </w:pPr>
    </w:p>
    <w:p>
      <w:pPr>
        <w:pStyle w:val="10"/>
        <w:ind w:left="208" w:leftChars="104" w:firstLine="210" w:firstLineChars="100"/>
        <w:rPr>
          <w:rStyle w:val="11"/>
          <w:rFonts w:hint="eastAsia" w:ascii="方正仿宋_GB2312" w:hAnsi="方正仿宋_GB2312" w:eastAsia="方正仿宋_GB2312" w:cs="方正仿宋_GB2312"/>
          <w:b w:val="0"/>
          <w:bCs w:val="0"/>
          <w:sz w:val="28"/>
          <w:szCs w:val="28"/>
        </w:rPr>
      </w:pPr>
      <w:r>
        <w:rPr>
          <w:rFonts w:hint="eastAsia" w:ascii="方正仿宋_GB2312" w:hAnsi="方正仿宋_GB2312" w:eastAsia="方正仿宋_GB2312" w:cs="方正仿宋_GB2312"/>
        </w:rPr>
        <w:drawing>
          <wp:inline distT="0" distB="0" distL="0" distR="0">
            <wp:extent cx="4420235" cy="240474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8" w:name="_Toc15377207"/>
      <w:bookmarkStart w:id="29" w:name="_Toc15396605"/>
      <w:r>
        <w:rPr>
          <w:rFonts w:hint="eastAsia" w:ascii="方正仿宋_GB2312" w:hAnsi="方正仿宋_GB2312" w:eastAsia="方正仿宋_GB2312" w:cs="方正仿宋_GB2312"/>
          <w:lang w:val="en-US" w:eastAsia="zh-CN"/>
        </w:rPr>
        <w:t xml:space="preserve">    </w:t>
      </w:r>
      <w:r>
        <w:rPr>
          <w:rStyle w:val="11"/>
          <w:rFonts w:hint="eastAsia" w:ascii="方正仿宋_GB2312" w:hAnsi="方正仿宋_GB2312" w:eastAsia="方正仿宋_GB2312" w:cs="方正仿宋_GB2312"/>
          <w:b w:val="0"/>
          <w:sz w:val="28"/>
          <w:szCs w:val="28"/>
        </w:rPr>
        <w:t>三、支出决算情况说明</w:t>
      </w:r>
      <w:bookmarkEnd w:id="28"/>
      <w:bookmarkEnd w:id="29"/>
    </w:p>
    <w:p>
      <w:pPr>
        <w:pStyle w:val="10"/>
        <w:numPr>
          <w:ilvl w:val="0"/>
          <w:numId w:val="0"/>
        </w:numPr>
        <w:spacing w:line="600" w:lineRule="exact"/>
        <w:ind w:firstLine="560" w:firstLineChars="200"/>
        <w:outlineLvl w:val="1"/>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w:t>
      </w:r>
      <w:r>
        <w:rPr>
          <w:rFonts w:hint="eastAsia" w:ascii="方正仿宋_GB2312" w:hAnsi="方正仿宋_GB2312" w:eastAsia="方正仿宋_GB2312" w:cs="方正仿宋_GB2312"/>
          <w:color w:val="000000"/>
          <w:kern w:val="2"/>
          <w:sz w:val="28"/>
          <w:szCs w:val="28"/>
        </w:rPr>
        <w:t>20</w:t>
      </w:r>
      <w:r>
        <w:rPr>
          <w:rFonts w:hint="eastAsia" w:ascii="方正仿宋_GB2312" w:hAnsi="方正仿宋_GB2312" w:eastAsia="方正仿宋_GB2312" w:cs="方正仿宋_GB2312"/>
          <w:color w:val="000000"/>
          <w:sz w:val="28"/>
          <w:szCs w:val="28"/>
        </w:rPr>
        <w:t>年本年支出合计</w:t>
      </w:r>
      <w:r>
        <w:rPr>
          <w:rFonts w:hint="eastAsia" w:ascii="方正仿宋_GB2312" w:hAnsi="方正仿宋_GB2312" w:eastAsia="方正仿宋_GB2312" w:cs="方正仿宋_GB2312"/>
          <w:color w:val="000000"/>
          <w:kern w:val="2"/>
          <w:sz w:val="28"/>
          <w:szCs w:val="28"/>
        </w:rPr>
        <w:t>419.81</w:t>
      </w:r>
      <w:r>
        <w:rPr>
          <w:rFonts w:hint="eastAsia" w:ascii="方正仿宋_GB2312" w:hAnsi="方正仿宋_GB2312" w:eastAsia="方正仿宋_GB2312" w:cs="方正仿宋_GB2312"/>
          <w:color w:val="000000"/>
          <w:sz w:val="28"/>
          <w:szCs w:val="28"/>
        </w:rPr>
        <w:t>万元，其中：基本支出</w:t>
      </w:r>
      <w:r>
        <w:rPr>
          <w:rFonts w:hint="eastAsia" w:ascii="方正仿宋_GB2312" w:hAnsi="方正仿宋_GB2312" w:eastAsia="方正仿宋_GB2312" w:cs="方正仿宋_GB2312"/>
          <w:color w:val="000000"/>
          <w:kern w:val="2"/>
          <w:sz w:val="28"/>
          <w:szCs w:val="28"/>
        </w:rPr>
        <w:t>89.66</w:t>
      </w:r>
      <w:r>
        <w:rPr>
          <w:rFonts w:hint="eastAsia" w:ascii="方正仿宋_GB2312" w:hAnsi="方正仿宋_GB2312" w:eastAsia="方正仿宋_GB2312" w:cs="方正仿宋_GB2312"/>
          <w:color w:val="000000"/>
          <w:sz w:val="28"/>
          <w:szCs w:val="28"/>
        </w:rPr>
        <w:t xml:space="preserve">万元，占 </w:t>
      </w:r>
      <w:r>
        <w:rPr>
          <w:rFonts w:hint="eastAsia" w:ascii="方正仿宋_GB2312" w:hAnsi="方正仿宋_GB2312" w:eastAsia="方正仿宋_GB2312" w:cs="方正仿宋_GB2312"/>
          <w:color w:val="000000"/>
          <w:kern w:val="2"/>
          <w:sz w:val="28"/>
          <w:szCs w:val="28"/>
        </w:rPr>
        <w:t>21.36</w:t>
      </w:r>
      <w:r>
        <w:rPr>
          <w:rFonts w:hint="eastAsia" w:ascii="方正仿宋_GB2312" w:hAnsi="方正仿宋_GB2312" w:eastAsia="方正仿宋_GB2312" w:cs="方正仿宋_GB2312"/>
          <w:color w:val="000000"/>
          <w:sz w:val="28"/>
          <w:szCs w:val="28"/>
        </w:rPr>
        <w:t>%；项目支出</w:t>
      </w:r>
      <w:r>
        <w:rPr>
          <w:rFonts w:hint="eastAsia" w:ascii="方正仿宋_GB2312" w:hAnsi="方正仿宋_GB2312" w:eastAsia="方正仿宋_GB2312" w:cs="方正仿宋_GB2312"/>
          <w:color w:val="000000"/>
          <w:kern w:val="2"/>
          <w:sz w:val="28"/>
          <w:szCs w:val="28"/>
        </w:rPr>
        <w:t>275.09</w:t>
      </w:r>
      <w:r>
        <w:rPr>
          <w:rFonts w:hint="eastAsia" w:ascii="方正仿宋_GB2312" w:hAnsi="方正仿宋_GB2312" w:eastAsia="方正仿宋_GB2312" w:cs="方正仿宋_GB2312"/>
          <w:color w:val="000000"/>
          <w:sz w:val="28"/>
          <w:szCs w:val="28"/>
        </w:rPr>
        <w:t xml:space="preserve">万元，占 </w:t>
      </w:r>
      <w:r>
        <w:rPr>
          <w:rFonts w:hint="eastAsia" w:ascii="方正仿宋_GB2312" w:hAnsi="方正仿宋_GB2312" w:eastAsia="方正仿宋_GB2312" w:cs="方正仿宋_GB2312"/>
          <w:color w:val="000000"/>
          <w:kern w:val="2"/>
          <w:sz w:val="28"/>
          <w:szCs w:val="28"/>
        </w:rPr>
        <w:t>65.53</w:t>
      </w:r>
      <w:r>
        <w:rPr>
          <w:rFonts w:hint="eastAsia" w:ascii="方正仿宋_GB2312" w:hAnsi="方正仿宋_GB2312" w:eastAsia="方正仿宋_GB2312" w:cs="方正仿宋_GB2312"/>
          <w:color w:val="000000"/>
          <w:sz w:val="28"/>
          <w:szCs w:val="28"/>
        </w:rPr>
        <w:t>%；经营支出</w:t>
      </w:r>
      <w:r>
        <w:rPr>
          <w:rFonts w:hint="eastAsia" w:ascii="方正仿宋_GB2312" w:hAnsi="方正仿宋_GB2312" w:eastAsia="方正仿宋_GB2312" w:cs="方正仿宋_GB2312"/>
          <w:color w:val="000000"/>
          <w:kern w:val="2"/>
          <w:sz w:val="28"/>
          <w:szCs w:val="28"/>
        </w:rPr>
        <w:t>55.06</w:t>
      </w:r>
      <w:r>
        <w:rPr>
          <w:rFonts w:hint="eastAsia" w:ascii="方正仿宋_GB2312" w:hAnsi="方正仿宋_GB2312" w:eastAsia="方正仿宋_GB2312" w:cs="方正仿宋_GB2312"/>
          <w:color w:val="000000"/>
          <w:sz w:val="28"/>
          <w:szCs w:val="28"/>
        </w:rPr>
        <w:t xml:space="preserve">万元，占  </w:t>
      </w:r>
      <w:r>
        <w:rPr>
          <w:rFonts w:hint="eastAsia" w:ascii="方正仿宋_GB2312" w:hAnsi="方正仿宋_GB2312" w:eastAsia="方正仿宋_GB2312" w:cs="方正仿宋_GB2312"/>
          <w:color w:val="000000"/>
          <w:kern w:val="2"/>
          <w:sz w:val="28"/>
          <w:szCs w:val="28"/>
        </w:rPr>
        <w:t>13.12</w:t>
      </w:r>
      <w:r>
        <w:rPr>
          <w:rFonts w:hint="eastAsia" w:ascii="方正仿宋_GB2312" w:hAnsi="方正仿宋_GB2312" w:eastAsia="方正仿宋_GB2312" w:cs="方正仿宋_GB2312"/>
          <w:color w:val="000000"/>
          <w:sz w:val="28"/>
          <w:szCs w:val="28"/>
        </w:rPr>
        <w:t xml:space="preserve"> %； </w:t>
      </w:r>
      <w:bookmarkStart w:id="30" w:name="_Toc15377208"/>
      <w:bookmarkStart w:id="31" w:name="_Toc15396606"/>
    </w:p>
    <w:p>
      <w:pPr>
        <w:pStyle w:val="21"/>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drawing>
          <wp:inline distT="0" distB="0" distL="0" distR="0">
            <wp:extent cx="4662805" cy="2372360"/>
            <wp:effectExtent l="4445" t="4445" r="19050" b="234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方正仿宋_GB2312" w:hAnsi="方正仿宋_GB2312" w:eastAsia="方正仿宋_GB2312" w:cs="方正仿宋_GB2312"/>
        </w:rPr>
        <w:tab/>
      </w:r>
    </w:p>
    <w:p>
      <w:pPr>
        <w:pStyle w:val="10"/>
        <w:numPr>
          <w:ilvl w:val="0"/>
          <w:numId w:val="0"/>
        </w:numPr>
        <w:spacing w:line="600" w:lineRule="exact"/>
        <w:outlineLvl w:val="1"/>
        <w:rPr>
          <w:rStyle w:val="11"/>
          <w:rFonts w:hint="eastAsia" w:ascii="方正仿宋_GB2312" w:hAnsi="方正仿宋_GB2312" w:eastAsia="方正仿宋_GB2312" w:cs="方正仿宋_GB2312"/>
          <w:b w:val="0"/>
        </w:rPr>
      </w:pPr>
      <w:r>
        <w:rPr>
          <w:rFonts w:hint="eastAsia" w:ascii="方正仿宋_GB2312" w:hAnsi="方正仿宋_GB2312" w:eastAsia="方正仿宋_GB2312" w:cs="方正仿宋_GB2312"/>
          <w:color w:val="000000"/>
          <w:sz w:val="32"/>
          <w:szCs w:val="32"/>
        </w:rPr>
        <w:t>四、财</w:t>
      </w:r>
      <w:r>
        <w:rPr>
          <w:rStyle w:val="11"/>
          <w:rFonts w:hint="eastAsia" w:ascii="方正仿宋_GB2312" w:hAnsi="方正仿宋_GB2312" w:eastAsia="方正仿宋_GB2312" w:cs="方正仿宋_GB2312"/>
          <w:b w:val="0"/>
        </w:rPr>
        <w:t>政拨款收入支出决算总体情况说明</w:t>
      </w:r>
      <w:bookmarkEnd w:id="30"/>
      <w:bookmarkEnd w:id="31"/>
    </w:p>
    <w:p>
      <w:pPr>
        <w:pStyle w:val="10"/>
        <w:spacing w:line="60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2020年财政拨款收、支总计</w:t>
      </w:r>
      <w:r>
        <w:rPr>
          <w:rFonts w:hint="eastAsia" w:ascii="方正仿宋_GB2312" w:hAnsi="方正仿宋_GB2312" w:eastAsia="方正仿宋_GB2312" w:cs="方正仿宋_GB2312"/>
          <w:color w:val="000000"/>
          <w:kern w:val="2"/>
          <w:sz w:val="28"/>
          <w:szCs w:val="28"/>
        </w:rPr>
        <w:t>325.70</w:t>
      </w:r>
      <w:r>
        <w:rPr>
          <w:rFonts w:hint="eastAsia" w:ascii="方正仿宋_GB2312" w:hAnsi="方正仿宋_GB2312" w:eastAsia="方正仿宋_GB2312" w:cs="方正仿宋_GB2312"/>
          <w:color w:val="000000"/>
          <w:sz w:val="28"/>
          <w:szCs w:val="28"/>
        </w:rPr>
        <w:t>万元。与20</w:t>
      </w:r>
      <w:r>
        <w:rPr>
          <w:rFonts w:hint="eastAsia" w:ascii="方正仿宋_GB2312" w:hAnsi="方正仿宋_GB2312" w:eastAsia="方正仿宋_GB2312" w:cs="方正仿宋_GB2312"/>
          <w:color w:val="000000"/>
          <w:kern w:val="2"/>
          <w:sz w:val="28"/>
          <w:szCs w:val="28"/>
        </w:rPr>
        <w:t>19</w:t>
      </w:r>
      <w:r>
        <w:rPr>
          <w:rFonts w:hint="eastAsia" w:ascii="方正仿宋_GB2312" w:hAnsi="方正仿宋_GB2312" w:eastAsia="方正仿宋_GB2312" w:cs="方正仿宋_GB2312"/>
          <w:color w:val="000000"/>
          <w:sz w:val="28"/>
          <w:szCs w:val="28"/>
        </w:rPr>
        <w:t>年相比，财政拨款</w:t>
      </w:r>
      <w:r>
        <w:rPr>
          <w:rFonts w:hint="eastAsia" w:ascii="方正仿宋_GB2312" w:hAnsi="方正仿宋_GB2312" w:eastAsia="方正仿宋_GB2312" w:cs="方正仿宋_GB2312"/>
          <w:color w:val="000000" w:themeColor="text1"/>
          <w:sz w:val="28"/>
          <w:szCs w:val="28"/>
          <w14:textFill>
            <w14:solidFill>
              <w14:schemeClr w14:val="tx1"/>
            </w14:solidFill>
          </w14:textFill>
        </w:rPr>
        <w:t>收、支总计各减少</w:t>
      </w: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79.03</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w:t>
      </w:r>
      <w:r>
        <w:rPr>
          <w:rFonts w:hint="eastAsia" w:ascii="方正仿宋_GB2312" w:hAnsi="方正仿宋_GB2312" w:eastAsia="方正仿宋_GB2312" w:cs="方正仿宋_GB2312"/>
          <w:color w:val="000000"/>
          <w:sz w:val="28"/>
          <w:szCs w:val="28"/>
        </w:rPr>
        <w:t>下降</w:t>
      </w:r>
      <w:r>
        <w:rPr>
          <w:rFonts w:hint="eastAsia" w:ascii="方正仿宋_GB2312" w:hAnsi="方正仿宋_GB2312" w:eastAsia="方正仿宋_GB2312" w:cs="方正仿宋_GB2312"/>
          <w:color w:val="000000"/>
          <w:kern w:val="2"/>
          <w:sz w:val="28"/>
          <w:szCs w:val="28"/>
          <w:lang w:val="en-US" w:eastAsia="zh-CN" w:bidi="ar-SA"/>
        </w:rPr>
        <w:t>24.27</w:t>
      </w:r>
      <w:r>
        <w:rPr>
          <w:rFonts w:hint="eastAsia" w:ascii="方正仿宋_GB2312" w:hAnsi="方正仿宋_GB2312" w:eastAsia="方正仿宋_GB2312" w:cs="方正仿宋_GB2312"/>
          <w:color w:val="000000"/>
          <w:sz w:val="28"/>
          <w:szCs w:val="28"/>
        </w:rPr>
        <w:t>%。主要变动原因是厉行节约，项目减少，减少人员开支。</w:t>
      </w:r>
    </w:p>
    <w:p>
      <w:pPr>
        <w:pStyle w:val="10"/>
        <w:widowControl/>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rPr>
        <w:drawing>
          <wp:inline distT="0" distB="0" distL="0" distR="0">
            <wp:extent cx="4671060" cy="2518410"/>
            <wp:effectExtent l="4445" t="4445" r="10795"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0"/>
        <w:widowControl/>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color w:val="000000"/>
          <w:sz w:val="28"/>
          <w:szCs w:val="28"/>
        </w:rPr>
        <w:t>五、</w:t>
      </w:r>
      <w:r>
        <w:rPr>
          <w:rFonts w:hint="eastAsia" w:ascii="方正仿宋_GB2312" w:hAnsi="方正仿宋_GB2312" w:eastAsia="方正仿宋_GB2312" w:cs="方正仿宋_GB2312"/>
          <w:b/>
          <w:color w:val="000000"/>
          <w:sz w:val="28"/>
          <w:szCs w:val="28"/>
        </w:rPr>
        <w:t>一</w:t>
      </w:r>
      <w:r>
        <w:rPr>
          <w:rStyle w:val="11"/>
          <w:rFonts w:hint="eastAsia" w:ascii="方正仿宋_GB2312" w:hAnsi="方正仿宋_GB2312" w:eastAsia="方正仿宋_GB2312" w:cs="方正仿宋_GB2312"/>
          <w:b w:val="0"/>
          <w:sz w:val="28"/>
          <w:szCs w:val="28"/>
        </w:rPr>
        <w:t>般公共预算财政拨款支出决算情况说明</w:t>
      </w:r>
    </w:p>
    <w:p>
      <w:pPr>
        <w:pStyle w:val="10"/>
        <w:numPr>
          <w:ilvl w:val="0"/>
          <w:numId w:val="0"/>
        </w:numPr>
        <w:spacing w:line="600" w:lineRule="exact"/>
        <w:outlineLvl w:val="2"/>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（一）一般公共预算财政拨款支出决算总体情况</w:t>
      </w:r>
    </w:p>
    <w:p>
      <w:pPr>
        <w:pStyle w:val="10"/>
        <w:spacing w:line="60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2020年一般公共预算财政拨款支出</w:t>
      </w:r>
      <w:r>
        <w:rPr>
          <w:rFonts w:hint="eastAsia" w:ascii="方正仿宋_GB2312" w:hAnsi="方正仿宋_GB2312" w:eastAsia="方正仿宋_GB2312" w:cs="方正仿宋_GB2312"/>
          <w:color w:val="000000"/>
          <w:kern w:val="2"/>
          <w:sz w:val="28"/>
          <w:szCs w:val="28"/>
          <w:lang w:val="en-US" w:eastAsia="zh-CN" w:bidi="ar-SA"/>
        </w:rPr>
        <w:t>325.69</w:t>
      </w:r>
      <w:r>
        <w:rPr>
          <w:rFonts w:hint="eastAsia" w:ascii="方正仿宋_GB2312" w:hAnsi="方正仿宋_GB2312" w:eastAsia="方正仿宋_GB2312" w:cs="方正仿宋_GB2312"/>
          <w:color w:val="000000"/>
          <w:sz w:val="28"/>
          <w:szCs w:val="28"/>
        </w:rPr>
        <w:t>万元，占本年支出合计的</w:t>
      </w:r>
      <w:r>
        <w:rPr>
          <w:rFonts w:hint="eastAsia" w:ascii="方正仿宋_GB2312" w:hAnsi="方正仿宋_GB2312" w:eastAsia="方正仿宋_GB2312" w:cs="方正仿宋_GB2312"/>
          <w:color w:val="000000"/>
          <w:kern w:val="2"/>
          <w:sz w:val="28"/>
          <w:szCs w:val="28"/>
          <w:lang w:val="en-US" w:eastAsia="zh-CN" w:bidi="ar-SA"/>
        </w:rPr>
        <w:t>71.60</w:t>
      </w:r>
      <w:r>
        <w:rPr>
          <w:rFonts w:hint="eastAsia" w:ascii="方正仿宋_GB2312" w:hAnsi="方正仿宋_GB2312" w:eastAsia="方正仿宋_GB2312" w:cs="方正仿宋_GB2312"/>
          <w:color w:val="000000"/>
          <w:sz w:val="28"/>
          <w:szCs w:val="28"/>
        </w:rPr>
        <w:t>%。与2019年相比，一般公共预算财政拨款减少增加</w:t>
      </w:r>
      <w:r>
        <w:rPr>
          <w:rFonts w:hint="eastAsia" w:ascii="方正仿宋_GB2312" w:hAnsi="方正仿宋_GB2312" w:eastAsia="方正仿宋_GB2312" w:cs="方正仿宋_GB2312"/>
          <w:color w:val="000000"/>
          <w:kern w:val="2"/>
          <w:sz w:val="28"/>
          <w:szCs w:val="28"/>
          <w:lang w:val="en-US" w:eastAsia="zh-CN" w:bidi="ar-SA"/>
        </w:rPr>
        <w:t>45.27</w:t>
      </w:r>
      <w:r>
        <w:rPr>
          <w:rFonts w:hint="eastAsia" w:ascii="方正仿宋_GB2312" w:hAnsi="方正仿宋_GB2312" w:eastAsia="方正仿宋_GB2312" w:cs="方正仿宋_GB2312"/>
          <w:color w:val="000000"/>
          <w:sz w:val="28"/>
          <w:szCs w:val="28"/>
        </w:rPr>
        <w:t xml:space="preserve">万元，下降 </w:t>
      </w:r>
      <w:r>
        <w:rPr>
          <w:rFonts w:hint="eastAsia" w:ascii="方正仿宋_GB2312" w:hAnsi="方正仿宋_GB2312" w:eastAsia="方正仿宋_GB2312" w:cs="方正仿宋_GB2312"/>
          <w:color w:val="000000"/>
          <w:kern w:val="2"/>
          <w:sz w:val="28"/>
          <w:szCs w:val="28"/>
          <w:lang w:val="en-US" w:eastAsia="zh-CN" w:bidi="ar-SA"/>
        </w:rPr>
        <w:t>13.90</w:t>
      </w:r>
      <w:r>
        <w:rPr>
          <w:rFonts w:hint="eastAsia" w:ascii="方正仿宋_GB2312" w:hAnsi="方正仿宋_GB2312" w:eastAsia="方正仿宋_GB2312" w:cs="方正仿宋_GB2312"/>
          <w:color w:val="000000"/>
          <w:sz w:val="28"/>
          <w:szCs w:val="28"/>
        </w:rPr>
        <w:t xml:space="preserve"> %。主要变动原因减少了项目工程的开支。</w:t>
      </w:r>
    </w:p>
    <w:p>
      <w:pPr>
        <w:pStyle w:val="10"/>
        <w:rPr>
          <w:rFonts w:hint="eastAsia" w:ascii="方正仿宋_GB2312" w:hAnsi="方正仿宋_GB2312" w:eastAsia="方正仿宋_GB2312" w:cs="方正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rPr>
        <w:drawing>
          <wp:inline distT="0" distB="0" distL="0" distR="0">
            <wp:extent cx="4681220" cy="2454275"/>
            <wp:effectExtent l="4445" t="4445" r="19685" b="1778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0"/>
        <w:numPr>
          <w:ilvl w:val="0"/>
          <w:numId w:val="0"/>
        </w:numPr>
        <w:spacing w:line="600" w:lineRule="exact"/>
        <w:ind w:firstLine="321" w:firstLineChars="100"/>
        <w:outlineLvl w:val="2"/>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（二）一般公共预算财政拨款支出决算结构情况</w:t>
      </w:r>
    </w:p>
    <w:p>
      <w:pPr>
        <w:pStyle w:val="10"/>
        <w:spacing w:line="600" w:lineRule="exact"/>
        <w:ind w:firstLine="640" w:firstLineChars="200"/>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pPr>
      <w:r>
        <w:rPr>
          <w:rFonts w:hint="eastAsia" w:ascii="方正仿宋_GB2312" w:hAnsi="方正仿宋_GB2312" w:eastAsia="方正仿宋_GB2312" w:cs="方正仿宋_GB2312"/>
          <w:color w:val="000000"/>
          <w:kern w:val="2"/>
          <w:sz w:val="32"/>
          <w:szCs w:val="32"/>
          <w:lang w:val="en-US" w:eastAsia="zh-CN" w:bidi="ar-SA"/>
        </w:rPr>
        <w:t>2020</w:t>
      </w:r>
      <w:r>
        <w:rPr>
          <w:rFonts w:hint="eastAsia" w:ascii="方正仿宋_GB2312" w:hAnsi="方正仿宋_GB2312" w:eastAsia="方正仿宋_GB2312" w:cs="方正仿宋_GB2312"/>
          <w:color w:val="000000"/>
          <w:sz w:val="32"/>
          <w:szCs w:val="32"/>
        </w:rPr>
        <w:t>年一般公共预算财</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政拨款支出</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325.68</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万元，主要用于以下方面:</w:t>
      </w:r>
      <w:r>
        <w:rPr>
          <w:rFonts w:hint="eastAsia" w:ascii="方正仿宋_GB2312" w:hAnsi="方正仿宋_GB2312" w:eastAsia="方正仿宋_GB2312" w:cs="方正仿宋_GB2312"/>
          <w:b/>
          <w:color w:val="000000" w:themeColor="text1"/>
          <w:sz w:val="32"/>
          <w:szCs w:val="32"/>
          <w14:textFill>
            <w14:solidFill>
              <w14:schemeClr w14:val="tx1"/>
            </w14:solidFill>
          </w14:textFill>
        </w:rPr>
        <w:t>社会保障和就业</w:t>
      </w:r>
      <w:r>
        <w:rPr>
          <w:rFonts w:hint="eastAsia" w:ascii="方正仿宋_GB2312" w:hAnsi="方正仿宋_GB2312" w:eastAsia="方正仿宋_GB2312" w:cs="方正仿宋_GB2312"/>
          <w:color w:val="000000" w:themeColor="text1"/>
          <w:sz w:val="32"/>
          <w:szCs w:val="32"/>
          <w14:textFill>
            <w14:solidFill>
              <w14:schemeClr w14:val="tx1"/>
            </w14:solidFill>
          </w14:textFill>
        </w:rPr>
        <w:t>支出</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312.74</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万元(其中工资福利支出</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118.11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万元、商品与服务支出</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18.42</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万元、对个人和家庭补助</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167.14</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万元、其他资本性支出</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9.07</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万元），占</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96.</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卫生健康支出</w:t>
      </w:r>
      <w:r>
        <w:rPr>
          <w:rFonts w:hint="eastAsia" w:ascii="方正仿宋_GB2312" w:hAnsi="方正仿宋_GB2312" w:eastAsia="方正仿宋_GB2312" w:cs="方正仿宋_GB2312"/>
          <w:b/>
          <w:bCs/>
          <w:color w:val="000000" w:themeColor="text1"/>
          <w:kern w:val="2"/>
          <w:sz w:val="32"/>
          <w:szCs w:val="32"/>
          <w:lang w:val="en-US" w:eastAsia="zh-CN" w:bidi="ar-SA"/>
          <w14:textFill>
            <w14:solidFill>
              <w14:schemeClr w14:val="tx1"/>
            </w14:solidFill>
          </w14:textFill>
        </w:rPr>
        <w:t>3.27</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万元，占</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1.01</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住房保障支出</w:t>
      </w:r>
      <w:r>
        <w:rPr>
          <w:rFonts w:hint="eastAsia" w:ascii="方正仿宋_GB2312" w:hAnsi="方正仿宋_GB2312" w:eastAsia="方正仿宋_GB2312" w:cs="方正仿宋_GB2312"/>
          <w:b/>
          <w:bCs/>
          <w:color w:val="000000" w:themeColor="text1"/>
          <w:kern w:val="2"/>
          <w:sz w:val="32"/>
          <w:szCs w:val="32"/>
          <w:lang w:val="en-US" w:eastAsia="zh-CN" w:bidi="ar-SA"/>
          <w14:textFill>
            <w14:solidFill>
              <w14:schemeClr w14:val="tx1"/>
            </w14:solidFill>
          </w14:textFill>
        </w:rPr>
        <w:t>9.68</w:t>
      </w:r>
      <w:r>
        <w:rPr>
          <w:rFonts w:hint="eastAsia" w:ascii="方正仿宋_GB2312" w:hAnsi="方正仿宋_GB2312" w:eastAsia="方正仿宋_GB2312" w:cs="方正仿宋_GB2312"/>
          <w:color w:val="000000" w:themeColor="text1"/>
          <w:sz w:val="32"/>
          <w:szCs w:val="32"/>
          <w14:textFill>
            <w14:solidFill>
              <w14:schemeClr w14:val="tx1"/>
            </w14:solidFill>
          </w14:textFill>
        </w:rPr>
        <w:t>万元，占</w:t>
      </w:r>
      <w:r>
        <w:rPr>
          <w:rFonts w:hint="eastAsia" w:ascii="方正仿宋_GB2312" w:hAnsi="方正仿宋_GB2312" w:eastAsia="方正仿宋_GB2312" w:cs="方正仿宋_GB2312"/>
          <w:color w:val="000000" w:themeColor="text1"/>
          <w:kern w:val="2"/>
          <w:sz w:val="32"/>
          <w:szCs w:val="32"/>
          <w:lang w:val="en-US" w:eastAsia="zh-CN" w:bidi="ar-SA"/>
          <w14:textFill>
            <w14:solidFill>
              <w14:schemeClr w14:val="tx1"/>
            </w14:solidFill>
          </w14:textFill>
        </w:rPr>
        <w:t>2.99</w:t>
      </w:r>
      <w:r>
        <w:rPr>
          <w:rFonts w:hint="eastAsia" w:ascii="方正仿宋_GB2312" w:hAnsi="方正仿宋_GB2312" w:eastAsia="方正仿宋_GB2312" w:cs="方正仿宋_GB2312"/>
          <w:color w:val="000000" w:themeColor="text1"/>
          <w:sz w:val="32"/>
          <w:szCs w:val="32"/>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lang w:eastAsia="zh-CN"/>
          <w14:textFill>
            <w14:solidFill>
              <w14:schemeClr w14:val="tx1"/>
            </w14:solidFill>
          </w14:textFill>
        </w:rPr>
        <w:t>。</w:t>
      </w:r>
    </w:p>
    <w:p>
      <w:pPr>
        <w:pStyle w:val="10"/>
        <w:widowControl/>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p>
    <w:p>
      <w:pPr>
        <w:pStyle w:val="10"/>
        <w:widowControl/>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r>
        <w:rPr>
          <w:rFonts w:hint="eastAsia" w:ascii="方正仿宋_GB2312" w:hAnsi="方正仿宋_GB2312" w:eastAsia="方正仿宋_GB2312" w:cs="方正仿宋_GB2312"/>
        </w:rPr>
        <w:drawing>
          <wp:inline distT="0" distB="0" distL="0" distR="0">
            <wp:extent cx="5346700" cy="2483485"/>
            <wp:effectExtent l="4445" t="4445" r="20955"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0"/>
        <w:widowControl/>
        <w:rPr>
          <w:rFonts w:hint="eastAsia" w:ascii="方正仿宋_GB2312" w:hAnsi="方正仿宋_GB2312" w:eastAsia="方正仿宋_GB2312" w:cs="方正仿宋_GB2312"/>
          <w:b/>
          <w:bCs/>
          <w:color w:val="000000" w:themeColor="text1"/>
          <w:sz w:val="28"/>
          <w:szCs w:val="28"/>
          <w14:textFill>
            <w14:solidFill>
              <w14:schemeClr w14:val="tx1"/>
            </w14:solidFill>
          </w14:textFill>
        </w:rPr>
      </w:pPr>
      <w:bookmarkStart w:id="32" w:name="_Toc15377212"/>
      <w:r>
        <w:rPr>
          <w:rFonts w:hint="eastAsia" w:ascii="方正仿宋_GB2312" w:hAnsi="方正仿宋_GB2312" w:eastAsia="方正仿宋_GB2312" w:cs="方正仿宋_GB2312"/>
          <w:b/>
          <w:color w:val="000000"/>
          <w:sz w:val="32"/>
          <w:szCs w:val="32"/>
        </w:rPr>
        <w:t>(三）一般公共预算财政拨款支出决算具体情况</w:t>
      </w:r>
      <w:bookmarkEnd w:id="32"/>
    </w:p>
    <w:p>
      <w:pPr>
        <w:pStyle w:val="10"/>
        <w:numPr>
          <w:ilvl w:val="0"/>
          <w:numId w:val="0"/>
        </w:numPr>
        <w:spacing w:line="600" w:lineRule="exact"/>
        <w:ind w:firstLine="560" w:firstLineChars="200"/>
        <w:outlineLvl w:val="2"/>
        <w:rPr>
          <w:rStyle w:val="6"/>
          <w:rFonts w:hint="eastAsia" w:ascii="方正仿宋_GB2312" w:hAnsi="方正仿宋_GB2312" w:eastAsia="方正仿宋_GB2312" w:cs="方正仿宋_GB2312"/>
          <w:b w:val="0"/>
          <w:color w:val="FF0000"/>
          <w:sz w:val="28"/>
          <w:szCs w:val="28"/>
        </w:rPr>
      </w:pP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2020</w:t>
      </w:r>
      <w:bookmarkStart w:id="33" w:name="_Toc15377213"/>
      <w:bookmarkStart w:id="34" w:name="_Toc15378460"/>
      <w:bookmarkStart w:id="35" w:name="_Toc15377444"/>
      <w:r>
        <w:rPr>
          <w:rFonts w:hint="eastAsia" w:ascii="方正仿宋_GB2312" w:hAnsi="方正仿宋_GB2312" w:eastAsia="方正仿宋_GB2312" w:cs="方正仿宋_GB2312"/>
          <w:color w:val="000000" w:themeColor="text1"/>
          <w:sz w:val="28"/>
          <w:szCs w:val="28"/>
          <w14:textFill>
            <w14:solidFill>
              <w14:schemeClr w14:val="tx1"/>
            </w14:solidFill>
          </w14:textFill>
        </w:rPr>
        <w:t>年一般公共预算支出决算数为</w:t>
      </w:r>
      <w:r>
        <w:rPr>
          <w:rFonts w:hint="eastAsia" w:ascii="方正仿宋_GB2312" w:hAnsi="方正仿宋_GB2312" w:eastAsia="方正仿宋_GB2312" w:cs="方正仿宋_GB2312"/>
          <w:color w:val="000000" w:themeColor="text1"/>
          <w:kern w:val="2"/>
          <w:sz w:val="28"/>
          <w:szCs w:val="28"/>
          <w:lang w:val="en-US" w:eastAsia="zh-CN" w:bidi="ar-SA"/>
          <w14:textFill>
            <w14:solidFill>
              <w14:schemeClr w14:val="tx1"/>
            </w14:solidFill>
          </w14:textFill>
        </w:rPr>
        <w:t>325.69</w:t>
      </w:r>
      <w:r>
        <w:rPr>
          <w:rFonts w:hint="eastAsia" w:ascii="方正仿宋_GB2312" w:hAnsi="方正仿宋_GB2312" w:eastAsia="方正仿宋_GB2312" w:cs="方正仿宋_GB2312"/>
          <w:color w:val="000000" w:themeColor="text1"/>
          <w:sz w:val="28"/>
          <w:szCs w:val="28"/>
          <w14:textFill>
            <w14:solidFill>
              <w14:schemeClr w14:val="tx1"/>
            </w14:solidFill>
          </w14:textFill>
        </w:rPr>
        <w:t>万元，</w:t>
      </w:r>
      <w:r>
        <w:rPr>
          <w:rStyle w:val="6"/>
          <w:rFonts w:hint="eastAsia" w:ascii="方正仿宋_GB2312" w:hAnsi="方正仿宋_GB2312" w:eastAsia="方正仿宋_GB2312" w:cs="方正仿宋_GB2312"/>
          <w:b w:val="0"/>
          <w:bCs/>
          <w:color w:val="000000" w:themeColor="text1"/>
          <w:sz w:val="28"/>
          <w:szCs w:val="28"/>
          <w14:textFill>
            <w14:solidFill>
              <w14:schemeClr w14:val="tx1"/>
            </w14:solidFill>
          </w14:textFill>
        </w:rPr>
        <w:t>完成</w:t>
      </w:r>
      <w:r>
        <w:rPr>
          <w:rStyle w:val="6"/>
          <w:rFonts w:hint="eastAsia" w:ascii="方正仿宋_GB2312" w:hAnsi="方正仿宋_GB2312" w:eastAsia="方正仿宋_GB2312" w:cs="方正仿宋_GB2312"/>
          <w:b w:val="0"/>
          <w:bCs/>
          <w:color w:val="000000"/>
          <w:sz w:val="28"/>
          <w:szCs w:val="28"/>
        </w:rPr>
        <w:t>预算</w:t>
      </w:r>
      <w:r>
        <w:rPr>
          <w:rStyle w:val="6"/>
          <w:rFonts w:hint="eastAsia" w:ascii="方正仿宋_GB2312" w:hAnsi="方正仿宋_GB2312" w:eastAsia="方正仿宋_GB2312" w:cs="方正仿宋_GB2312"/>
          <w:b w:val="0"/>
          <w:bCs/>
          <w:color w:val="000000"/>
          <w:kern w:val="2"/>
          <w:sz w:val="28"/>
          <w:szCs w:val="28"/>
          <w:lang w:val="en-US" w:eastAsia="zh-CN" w:bidi="ar-SA"/>
        </w:rPr>
        <w:t>95.47</w:t>
      </w:r>
      <w:r>
        <w:rPr>
          <w:rStyle w:val="6"/>
          <w:rFonts w:hint="eastAsia" w:ascii="方正仿宋_GB2312" w:hAnsi="方正仿宋_GB2312" w:eastAsia="方正仿宋_GB2312" w:cs="方正仿宋_GB2312"/>
          <w:b w:val="0"/>
          <w:bCs/>
          <w:color w:val="000000"/>
          <w:sz w:val="28"/>
          <w:szCs w:val="28"/>
        </w:rPr>
        <w:t>%。其中：</w:t>
      </w:r>
      <w:bookmarkEnd w:id="33"/>
      <w:bookmarkEnd w:id="34"/>
      <w:bookmarkEnd w:id="35"/>
    </w:p>
    <w:p>
      <w:pPr>
        <w:pStyle w:val="10"/>
        <w:spacing w:line="600" w:lineRule="exact"/>
        <w:ind w:firstLine="560" w:firstLineChars="200"/>
        <w:rPr>
          <w:rStyle w:val="6"/>
          <w:rFonts w:hint="eastAsia" w:ascii="方正仿宋_GB2312" w:hAnsi="方正仿宋_GB2312" w:eastAsia="方正仿宋_GB2312" w:cs="方正仿宋_GB2312"/>
          <w:b w:val="0"/>
          <w:bCs/>
          <w:color w:val="000000"/>
          <w:sz w:val="28"/>
          <w:szCs w:val="28"/>
        </w:rPr>
      </w:pPr>
      <w:r>
        <w:rPr>
          <w:rStyle w:val="6"/>
          <w:rFonts w:hint="eastAsia" w:ascii="方正仿宋_GB2312" w:hAnsi="方正仿宋_GB2312" w:eastAsia="方正仿宋_GB2312" w:cs="方正仿宋_GB2312"/>
          <w:b w:val="0"/>
          <w:bCs/>
          <w:color w:val="000000"/>
          <w:sz w:val="28"/>
          <w:szCs w:val="28"/>
        </w:rPr>
        <w:t>1.社会保障和就业支出（类）</w:t>
      </w:r>
      <w:r>
        <w:rPr>
          <w:rFonts w:hint="eastAsia" w:ascii="方正仿宋_GB2312" w:hAnsi="方正仿宋_GB2312" w:eastAsia="方正仿宋_GB2312" w:cs="方正仿宋_GB2312"/>
          <w:color w:val="000000"/>
          <w:kern w:val="0"/>
          <w:sz w:val="28"/>
          <w:szCs w:val="28"/>
        </w:rPr>
        <w:t>：本年总支出合计</w:t>
      </w:r>
      <w:r>
        <w:rPr>
          <w:rStyle w:val="6"/>
          <w:rFonts w:hint="eastAsia" w:ascii="方正仿宋_GB2312" w:hAnsi="方正仿宋_GB2312" w:eastAsia="方正仿宋_GB2312" w:cs="方正仿宋_GB2312"/>
          <w:b w:val="0"/>
          <w:bCs/>
          <w:color w:val="000000"/>
          <w:sz w:val="28"/>
          <w:szCs w:val="28"/>
        </w:rPr>
        <w:t>为</w:t>
      </w:r>
      <w:r>
        <w:rPr>
          <w:rStyle w:val="6"/>
          <w:rFonts w:hint="eastAsia" w:ascii="方正仿宋_GB2312" w:hAnsi="方正仿宋_GB2312" w:eastAsia="方正仿宋_GB2312" w:cs="方正仿宋_GB2312"/>
          <w:b w:val="0"/>
          <w:bCs/>
          <w:color w:val="000000"/>
          <w:kern w:val="2"/>
          <w:sz w:val="28"/>
          <w:szCs w:val="28"/>
          <w:lang w:val="en-US" w:eastAsia="zh-CN" w:bidi="ar-SA"/>
        </w:rPr>
        <w:t>325.69</w:t>
      </w:r>
      <w:r>
        <w:rPr>
          <w:rStyle w:val="6"/>
          <w:rFonts w:hint="eastAsia" w:ascii="方正仿宋_GB2312" w:hAnsi="方正仿宋_GB2312" w:eastAsia="方正仿宋_GB2312" w:cs="方正仿宋_GB2312"/>
          <w:b w:val="0"/>
          <w:bCs/>
          <w:color w:val="000000"/>
          <w:sz w:val="28"/>
          <w:szCs w:val="28"/>
        </w:rPr>
        <w:t>万元，其中基本支出</w:t>
      </w:r>
      <w:r>
        <w:rPr>
          <w:rStyle w:val="6"/>
          <w:rFonts w:hint="eastAsia" w:ascii="方正仿宋_GB2312" w:hAnsi="方正仿宋_GB2312" w:eastAsia="方正仿宋_GB2312" w:cs="方正仿宋_GB2312"/>
          <w:b w:val="0"/>
          <w:bCs/>
          <w:color w:val="000000"/>
          <w:kern w:val="2"/>
          <w:sz w:val="28"/>
          <w:szCs w:val="28"/>
          <w:lang w:val="en-US" w:eastAsia="zh-CN" w:bidi="ar-SA"/>
        </w:rPr>
        <w:t>89.66</w:t>
      </w:r>
      <w:r>
        <w:rPr>
          <w:rStyle w:val="6"/>
          <w:rFonts w:hint="eastAsia" w:ascii="方正仿宋_GB2312" w:hAnsi="方正仿宋_GB2312" w:eastAsia="方正仿宋_GB2312" w:cs="方正仿宋_GB2312"/>
          <w:b w:val="0"/>
          <w:bCs/>
          <w:color w:val="000000"/>
          <w:sz w:val="28"/>
          <w:szCs w:val="28"/>
        </w:rPr>
        <w:t>万元；项目支出</w:t>
      </w:r>
      <w:r>
        <w:rPr>
          <w:rStyle w:val="6"/>
          <w:rFonts w:hint="eastAsia" w:ascii="方正仿宋_GB2312" w:hAnsi="方正仿宋_GB2312" w:eastAsia="方正仿宋_GB2312" w:cs="方正仿宋_GB2312"/>
          <w:b w:val="0"/>
          <w:bCs/>
          <w:color w:val="000000"/>
          <w:kern w:val="2"/>
          <w:sz w:val="28"/>
          <w:szCs w:val="28"/>
          <w:lang w:val="en-US" w:eastAsia="zh-CN" w:bidi="ar-SA"/>
        </w:rPr>
        <w:t>236.03</w:t>
      </w:r>
      <w:r>
        <w:rPr>
          <w:rStyle w:val="6"/>
          <w:rFonts w:hint="eastAsia" w:ascii="方正仿宋_GB2312" w:hAnsi="方正仿宋_GB2312" w:eastAsia="方正仿宋_GB2312" w:cs="方正仿宋_GB2312"/>
          <w:b w:val="0"/>
          <w:bCs/>
          <w:color w:val="000000"/>
          <w:sz w:val="28"/>
          <w:szCs w:val="28"/>
        </w:rPr>
        <w:t>万元；完成预算100%。</w:t>
      </w:r>
    </w:p>
    <w:p>
      <w:pPr>
        <w:pStyle w:val="10"/>
        <w:spacing w:line="600" w:lineRule="exact"/>
        <w:ind w:firstLine="560" w:firstLineChars="200"/>
        <w:rPr>
          <w:rStyle w:val="6"/>
          <w:rFonts w:hint="eastAsia" w:ascii="方正仿宋_GB2312" w:hAnsi="方正仿宋_GB2312" w:eastAsia="方正仿宋_GB2312" w:cs="方正仿宋_GB2312"/>
          <w:b w:val="0"/>
          <w:bCs/>
          <w:color w:val="000000"/>
          <w:sz w:val="28"/>
          <w:szCs w:val="28"/>
        </w:rPr>
      </w:pPr>
      <w:r>
        <w:rPr>
          <w:rStyle w:val="6"/>
          <w:rFonts w:hint="eastAsia" w:ascii="方正仿宋_GB2312" w:hAnsi="方正仿宋_GB2312" w:eastAsia="方正仿宋_GB2312" w:cs="方正仿宋_GB2312"/>
          <w:b w:val="0"/>
          <w:bCs/>
          <w:color w:val="000000"/>
          <w:sz w:val="28"/>
          <w:szCs w:val="28"/>
        </w:rPr>
        <w:t>2、社会保障和就业支出（类）行政单位离退休（款）</w:t>
      </w:r>
      <w:r>
        <w:rPr>
          <w:rFonts w:hint="eastAsia" w:ascii="方正仿宋_GB2312" w:hAnsi="方正仿宋_GB2312" w:eastAsia="方正仿宋_GB2312" w:cs="方正仿宋_GB2312"/>
          <w:color w:val="000000"/>
          <w:kern w:val="0"/>
          <w:sz w:val="28"/>
          <w:szCs w:val="28"/>
        </w:rPr>
        <w:t>机关事业单位基本养老保险缴费支出（项）：</w:t>
      </w:r>
      <w:r>
        <w:rPr>
          <w:rStyle w:val="6"/>
          <w:rFonts w:hint="eastAsia" w:ascii="方正仿宋_GB2312" w:hAnsi="方正仿宋_GB2312" w:eastAsia="方正仿宋_GB2312" w:cs="方正仿宋_GB2312"/>
          <w:b w:val="0"/>
          <w:bCs/>
          <w:color w:val="000000"/>
          <w:sz w:val="28"/>
          <w:szCs w:val="28"/>
        </w:rPr>
        <w:t>支出决算为</w:t>
      </w:r>
      <w:r>
        <w:rPr>
          <w:rStyle w:val="6"/>
          <w:rFonts w:hint="eastAsia" w:ascii="方正仿宋_GB2312" w:hAnsi="方正仿宋_GB2312" w:eastAsia="方正仿宋_GB2312" w:cs="方正仿宋_GB2312"/>
          <w:b w:val="0"/>
          <w:bCs/>
          <w:color w:val="000000"/>
          <w:kern w:val="2"/>
          <w:sz w:val="28"/>
          <w:szCs w:val="28"/>
          <w:lang w:val="en-US" w:eastAsia="zh-CN" w:bidi="ar-SA"/>
        </w:rPr>
        <w:t>8.37</w:t>
      </w:r>
      <w:r>
        <w:rPr>
          <w:rStyle w:val="6"/>
          <w:rFonts w:hint="eastAsia" w:ascii="方正仿宋_GB2312" w:hAnsi="方正仿宋_GB2312" w:eastAsia="方正仿宋_GB2312" w:cs="方正仿宋_GB2312"/>
          <w:b w:val="0"/>
          <w:bCs/>
          <w:color w:val="000000"/>
          <w:sz w:val="28"/>
          <w:szCs w:val="28"/>
        </w:rPr>
        <w:t>万元，完成预算100%。</w:t>
      </w:r>
    </w:p>
    <w:p>
      <w:pPr>
        <w:pStyle w:val="10"/>
        <w:spacing w:line="600" w:lineRule="exact"/>
        <w:ind w:firstLine="560" w:firstLineChars="200"/>
        <w:rPr>
          <w:rStyle w:val="6"/>
          <w:rFonts w:hint="eastAsia" w:ascii="方正仿宋_GB2312" w:hAnsi="方正仿宋_GB2312" w:eastAsia="方正仿宋_GB2312" w:cs="方正仿宋_GB2312"/>
          <w:b w:val="0"/>
          <w:bCs/>
          <w:color w:val="000000"/>
          <w:sz w:val="28"/>
          <w:szCs w:val="28"/>
        </w:rPr>
      </w:pPr>
      <w:r>
        <w:rPr>
          <w:rStyle w:val="6"/>
          <w:rFonts w:hint="eastAsia" w:ascii="方正仿宋_GB2312" w:hAnsi="方正仿宋_GB2312" w:eastAsia="方正仿宋_GB2312" w:cs="方正仿宋_GB2312"/>
          <w:b w:val="0"/>
          <w:bCs/>
          <w:color w:val="000000"/>
          <w:sz w:val="28"/>
          <w:szCs w:val="28"/>
        </w:rPr>
        <w:t>3、社会保障和就业支出（类）行政单位离退休（款）</w:t>
      </w:r>
      <w:r>
        <w:rPr>
          <w:rFonts w:hint="eastAsia" w:ascii="方正仿宋_GB2312" w:hAnsi="方正仿宋_GB2312" w:eastAsia="方正仿宋_GB2312" w:cs="方正仿宋_GB2312"/>
          <w:color w:val="000000"/>
          <w:kern w:val="0"/>
          <w:sz w:val="28"/>
          <w:szCs w:val="28"/>
        </w:rPr>
        <w:t>机关事业单位职业年金缴费支出（项）：</w:t>
      </w:r>
      <w:r>
        <w:rPr>
          <w:rStyle w:val="6"/>
          <w:rFonts w:hint="eastAsia" w:ascii="方正仿宋_GB2312" w:hAnsi="方正仿宋_GB2312" w:eastAsia="方正仿宋_GB2312" w:cs="方正仿宋_GB2312"/>
          <w:b w:val="0"/>
          <w:bCs/>
          <w:color w:val="000000"/>
          <w:sz w:val="28"/>
          <w:szCs w:val="28"/>
        </w:rPr>
        <w:t>支出决算为</w:t>
      </w:r>
      <w:r>
        <w:rPr>
          <w:rStyle w:val="6"/>
          <w:rFonts w:hint="eastAsia" w:ascii="方正仿宋_GB2312" w:hAnsi="方正仿宋_GB2312" w:eastAsia="方正仿宋_GB2312" w:cs="方正仿宋_GB2312"/>
          <w:b w:val="0"/>
          <w:bCs/>
          <w:color w:val="000000"/>
          <w:kern w:val="2"/>
          <w:sz w:val="28"/>
          <w:szCs w:val="28"/>
          <w:lang w:val="en-US" w:eastAsia="zh-CN" w:bidi="ar-SA"/>
        </w:rPr>
        <w:t>4.19</w:t>
      </w:r>
      <w:r>
        <w:rPr>
          <w:rStyle w:val="6"/>
          <w:rFonts w:hint="eastAsia" w:ascii="方正仿宋_GB2312" w:hAnsi="方正仿宋_GB2312" w:eastAsia="方正仿宋_GB2312" w:cs="方正仿宋_GB2312"/>
          <w:b w:val="0"/>
          <w:bCs/>
          <w:color w:val="000000"/>
          <w:sz w:val="28"/>
          <w:szCs w:val="28"/>
        </w:rPr>
        <w:t>万元，完成预算100%。</w:t>
      </w:r>
    </w:p>
    <w:p>
      <w:pPr>
        <w:pStyle w:val="10"/>
        <w:shd w:val="clear" w:color="auto" w:fill="FFFFFF"/>
        <w:spacing w:line="520" w:lineRule="exact"/>
        <w:ind w:firstLine="280" w:firstLineChars="100"/>
        <w:rPr>
          <w:rFonts w:hint="eastAsia" w:ascii="方正仿宋_GB2312" w:hAnsi="方正仿宋_GB2312" w:eastAsia="方正仿宋_GB2312" w:cs="方正仿宋_GB2312"/>
          <w:bCs/>
          <w:color w:val="000000"/>
          <w:sz w:val="28"/>
          <w:szCs w:val="28"/>
        </w:rPr>
      </w:pPr>
      <w:r>
        <w:rPr>
          <w:rStyle w:val="6"/>
          <w:rFonts w:hint="eastAsia" w:ascii="方正仿宋_GB2312" w:hAnsi="方正仿宋_GB2312" w:eastAsia="方正仿宋_GB2312" w:cs="方正仿宋_GB2312"/>
          <w:b w:val="0"/>
          <w:bCs/>
          <w:color w:val="000000"/>
          <w:sz w:val="28"/>
          <w:szCs w:val="28"/>
        </w:rPr>
        <w:t>4、社会保障和就业支出（类）社会福利（款）老年福利（项）</w:t>
      </w:r>
      <w:r>
        <w:rPr>
          <w:rFonts w:hint="eastAsia" w:ascii="方正仿宋_GB2312" w:hAnsi="方正仿宋_GB2312" w:eastAsia="方正仿宋_GB2312" w:cs="方正仿宋_GB2312"/>
          <w:color w:val="000000"/>
          <w:kern w:val="0"/>
          <w:sz w:val="28"/>
          <w:szCs w:val="28"/>
        </w:rPr>
        <w:t>：</w:t>
      </w:r>
      <w:r>
        <w:rPr>
          <w:rStyle w:val="6"/>
          <w:rFonts w:hint="eastAsia" w:ascii="方正仿宋_GB2312" w:hAnsi="方正仿宋_GB2312" w:eastAsia="方正仿宋_GB2312" w:cs="方正仿宋_GB2312"/>
          <w:b w:val="0"/>
          <w:bCs/>
          <w:color w:val="000000"/>
          <w:sz w:val="28"/>
          <w:szCs w:val="28"/>
        </w:rPr>
        <w:t>支出决算为 1.41   万元，完成预算100%。</w:t>
      </w:r>
    </w:p>
    <w:p>
      <w:pPr>
        <w:pStyle w:val="10"/>
        <w:spacing w:line="600" w:lineRule="exact"/>
        <w:ind w:firstLine="280" w:firstLineChars="100"/>
        <w:rPr>
          <w:rStyle w:val="6"/>
          <w:rFonts w:hint="eastAsia" w:ascii="方正仿宋_GB2312" w:hAnsi="方正仿宋_GB2312" w:eastAsia="方正仿宋_GB2312" w:cs="方正仿宋_GB2312"/>
          <w:b w:val="0"/>
          <w:bCs/>
          <w:color w:val="000000"/>
          <w:sz w:val="28"/>
          <w:szCs w:val="28"/>
        </w:rPr>
      </w:pPr>
      <w:r>
        <w:rPr>
          <w:rStyle w:val="6"/>
          <w:rFonts w:hint="eastAsia" w:ascii="方正仿宋_GB2312" w:hAnsi="方正仿宋_GB2312" w:eastAsia="方正仿宋_GB2312" w:cs="方正仿宋_GB2312"/>
          <w:b w:val="0"/>
          <w:bCs/>
          <w:color w:val="000000"/>
          <w:sz w:val="28"/>
          <w:szCs w:val="28"/>
        </w:rPr>
        <w:t>5、社会保障和就业支出（类）社会福利（款）社会福利事业（项）</w:t>
      </w:r>
      <w:r>
        <w:rPr>
          <w:rFonts w:hint="eastAsia" w:ascii="方正仿宋_GB2312" w:hAnsi="方正仿宋_GB2312" w:eastAsia="方正仿宋_GB2312" w:cs="方正仿宋_GB2312"/>
          <w:color w:val="000000"/>
          <w:kern w:val="0"/>
          <w:sz w:val="28"/>
          <w:szCs w:val="28"/>
        </w:rPr>
        <w:t>：</w:t>
      </w:r>
      <w:r>
        <w:rPr>
          <w:rStyle w:val="6"/>
          <w:rFonts w:hint="eastAsia" w:ascii="方正仿宋_GB2312" w:hAnsi="方正仿宋_GB2312" w:eastAsia="方正仿宋_GB2312" w:cs="方正仿宋_GB2312"/>
          <w:b w:val="0"/>
          <w:bCs/>
          <w:color w:val="000000"/>
          <w:sz w:val="28"/>
          <w:szCs w:val="28"/>
        </w:rPr>
        <w:t>支出决算为  87.02 万元完成预算100%。</w:t>
      </w:r>
    </w:p>
    <w:p>
      <w:pPr>
        <w:pStyle w:val="10"/>
        <w:spacing w:line="600" w:lineRule="exact"/>
        <w:ind w:firstLine="280" w:firstLineChars="100"/>
        <w:rPr>
          <w:rStyle w:val="6"/>
          <w:rFonts w:hint="eastAsia" w:ascii="方正仿宋_GB2312" w:hAnsi="方正仿宋_GB2312" w:eastAsia="方正仿宋_GB2312" w:cs="方正仿宋_GB2312"/>
          <w:b w:val="0"/>
          <w:bCs/>
          <w:color w:val="000000"/>
          <w:sz w:val="28"/>
          <w:szCs w:val="28"/>
        </w:rPr>
      </w:pPr>
      <w:r>
        <w:rPr>
          <w:rStyle w:val="6"/>
          <w:rFonts w:hint="eastAsia" w:ascii="方正仿宋_GB2312" w:hAnsi="方正仿宋_GB2312" w:eastAsia="方正仿宋_GB2312" w:cs="方正仿宋_GB2312"/>
          <w:b w:val="0"/>
          <w:bCs/>
          <w:color w:val="000000"/>
          <w:sz w:val="28"/>
          <w:szCs w:val="28"/>
        </w:rPr>
        <w:t>7、社会保障和就业支出（类）社会福利（款）其他社会福利事业（项）</w:t>
      </w:r>
      <w:r>
        <w:rPr>
          <w:rFonts w:hint="eastAsia" w:ascii="方正仿宋_GB2312" w:hAnsi="方正仿宋_GB2312" w:eastAsia="方正仿宋_GB2312" w:cs="方正仿宋_GB2312"/>
          <w:color w:val="000000"/>
          <w:kern w:val="0"/>
          <w:sz w:val="28"/>
          <w:szCs w:val="28"/>
        </w:rPr>
        <w:t>：</w:t>
      </w:r>
      <w:r>
        <w:rPr>
          <w:rStyle w:val="6"/>
          <w:rFonts w:hint="eastAsia" w:ascii="方正仿宋_GB2312" w:hAnsi="方正仿宋_GB2312" w:eastAsia="方正仿宋_GB2312" w:cs="方正仿宋_GB2312"/>
          <w:b w:val="0"/>
          <w:bCs/>
          <w:color w:val="000000"/>
          <w:sz w:val="28"/>
          <w:szCs w:val="28"/>
        </w:rPr>
        <w:t>支出决算为 20.85 万元，完成预算100%。</w:t>
      </w:r>
    </w:p>
    <w:p>
      <w:pPr>
        <w:pStyle w:val="10"/>
        <w:spacing w:line="600" w:lineRule="exact"/>
        <w:ind w:firstLine="280" w:firstLineChars="100"/>
        <w:rPr>
          <w:rStyle w:val="6"/>
          <w:rFonts w:hint="eastAsia" w:ascii="方正仿宋_GB2312" w:hAnsi="方正仿宋_GB2312" w:eastAsia="方正仿宋_GB2312" w:cs="方正仿宋_GB2312"/>
          <w:b w:val="0"/>
          <w:bCs/>
          <w:color w:val="000000"/>
          <w:sz w:val="28"/>
          <w:szCs w:val="28"/>
        </w:rPr>
      </w:pPr>
      <w:r>
        <w:rPr>
          <w:rStyle w:val="6"/>
          <w:rFonts w:hint="eastAsia" w:ascii="方正仿宋_GB2312" w:hAnsi="方正仿宋_GB2312" w:eastAsia="方正仿宋_GB2312" w:cs="方正仿宋_GB2312"/>
          <w:b w:val="0"/>
          <w:bCs/>
          <w:color w:val="000000"/>
          <w:sz w:val="28"/>
          <w:szCs w:val="28"/>
        </w:rPr>
        <w:t>8、社会保障和就业支出（类）</w:t>
      </w:r>
      <w:r>
        <w:rPr>
          <w:rFonts w:hint="eastAsia" w:ascii="方正仿宋_GB2312" w:hAnsi="方正仿宋_GB2312" w:eastAsia="方正仿宋_GB2312" w:cs="方正仿宋_GB2312"/>
          <w:color w:val="000000"/>
          <w:kern w:val="0"/>
          <w:sz w:val="28"/>
          <w:szCs w:val="28"/>
        </w:rPr>
        <w:t>残疾人事业（款）其他残疾人事业支出（项）：</w:t>
      </w:r>
      <w:r>
        <w:rPr>
          <w:rStyle w:val="6"/>
          <w:rFonts w:hint="eastAsia" w:ascii="方正仿宋_GB2312" w:hAnsi="方正仿宋_GB2312" w:eastAsia="方正仿宋_GB2312" w:cs="方正仿宋_GB2312"/>
          <w:b w:val="0"/>
          <w:bCs/>
          <w:color w:val="000000"/>
          <w:sz w:val="28"/>
          <w:szCs w:val="28"/>
        </w:rPr>
        <w:t>支出决算为0.75万元，完成预算100%。</w:t>
      </w:r>
    </w:p>
    <w:p>
      <w:pPr>
        <w:pStyle w:val="10"/>
        <w:shd w:val="clear" w:color="auto" w:fill="FFFFFF"/>
        <w:spacing w:line="520" w:lineRule="exact"/>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9、社会保障和就业支出（类）特困人员救助供养（款）城市特困人员救助供养支出（项）：支出决算为 0.09 万元，完成预算100%。</w:t>
      </w:r>
    </w:p>
    <w:p>
      <w:pPr>
        <w:pStyle w:val="10"/>
        <w:shd w:val="clear" w:color="auto" w:fill="FFFFFF"/>
        <w:spacing w:line="520" w:lineRule="exact"/>
        <w:ind w:firstLine="280" w:firstLine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10、社会保障和就业支出（类）特困人员救助供养（款）农村特困人员救助供养支出（项）：支出决算为134.22万元完成预算100%。</w:t>
      </w:r>
    </w:p>
    <w:p>
      <w:pPr>
        <w:pStyle w:val="10"/>
        <w:spacing w:line="600" w:lineRule="exact"/>
        <w:ind w:firstLine="280" w:firstLineChars="100"/>
        <w:rPr>
          <w:rStyle w:val="6"/>
          <w:rFonts w:hint="eastAsia" w:ascii="方正仿宋_GB2312" w:hAnsi="方正仿宋_GB2312" w:eastAsia="方正仿宋_GB2312" w:cs="方正仿宋_GB2312"/>
          <w:b w:val="0"/>
          <w:bCs/>
          <w:color w:val="000000"/>
          <w:sz w:val="28"/>
          <w:szCs w:val="28"/>
        </w:rPr>
      </w:pPr>
      <w:r>
        <w:rPr>
          <w:rFonts w:hint="eastAsia" w:ascii="方正仿宋_GB2312" w:hAnsi="方正仿宋_GB2312" w:eastAsia="方正仿宋_GB2312" w:cs="方正仿宋_GB2312"/>
          <w:color w:val="000000"/>
          <w:kern w:val="0"/>
          <w:sz w:val="28"/>
          <w:szCs w:val="28"/>
        </w:rPr>
        <w:t>11、卫生健康支出（类）行政事业单位医疗（款）行政单位医疗（项）：</w:t>
      </w:r>
      <w:r>
        <w:rPr>
          <w:rStyle w:val="6"/>
          <w:rFonts w:hint="eastAsia" w:ascii="方正仿宋_GB2312" w:hAnsi="方正仿宋_GB2312" w:eastAsia="方正仿宋_GB2312" w:cs="方正仿宋_GB2312"/>
          <w:b w:val="0"/>
          <w:bCs/>
          <w:color w:val="000000"/>
          <w:sz w:val="28"/>
          <w:szCs w:val="28"/>
        </w:rPr>
        <w:t>支出决算为3.</w:t>
      </w:r>
      <w:r>
        <w:rPr>
          <w:rStyle w:val="6"/>
          <w:rFonts w:hint="eastAsia" w:ascii="方正仿宋_GB2312" w:hAnsi="方正仿宋_GB2312" w:eastAsia="方正仿宋_GB2312" w:cs="方正仿宋_GB2312"/>
          <w:b w:val="0"/>
          <w:bCs/>
          <w:color w:val="000000"/>
          <w:kern w:val="2"/>
          <w:sz w:val="28"/>
          <w:szCs w:val="28"/>
          <w:lang w:val="en-US" w:eastAsia="zh-CN" w:bidi="ar-SA"/>
        </w:rPr>
        <w:t>27</w:t>
      </w:r>
      <w:r>
        <w:rPr>
          <w:rStyle w:val="6"/>
          <w:rFonts w:hint="eastAsia" w:ascii="方正仿宋_GB2312" w:hAnsi="方正仿宋_GB2312" w:eastAsia="方正仿宋_GB2312" w:cs="方正仿宋_GB2312"/>
          <w:b w:val="0"/>
          <w:bCs/>
          <w:color w:val="000000"/>
          <w:sz w:val="28"/>
          <w:szCs w:val="28"/>
        </w:rPr>
        <w:t>万元，完成预算100%。</w:t>
      </w:r>
    </w:p>
    <w:p>
      <w:pPr>
        <w:pStyle w:val="10"/>
        <w:spacing w:line="600" w:lineRule="exact"/>
        <w:ind w:firstLine="280" w:firstLineChars="100"/>
        <w:rPr>
          <w:rStyle w:val="6"/>
          <w:rFonts w:hint="eastAsia" w:ascii="方正仿宋_GB2312" w:hAnsi="方正仿宋_GB2312" w:eastAsia="方正仿宋_GB2312" w:cs="方正仿宋_GB2312"/>
          <w:b w:val="0"/>
          <w:bCs/>
          <w:color w:val="000000"/>
          <w:sz w:val="28"/>
          <w:szCs w:val="28"/>
        </w:rPr>
      </w:pPr>
      <w:r>
        <w:rPr>
          <w:rFonts w:hint="eastAsia" w:ascii="方正仿宋_GB2312" w:hAnsi="方正仿宋_GB2312" w:eastAsia="方正仿宋_GB2312" w:cs="方正仿宋_GB2312"/>
          <w:color w:val="000000"/>
          <w:kern w:val="0"/>
          <w:sz w:val="28"/>
          <w:szCs w:val="28"/>
        </w:rPr>
        <w:t>12、卫生健康支出（类）行政事业单位医疗（款）事业单位医疗（项）：</w:t>
      </w:r>
      <w:r>
        <w:rPr>
          <w:rStyle w:val="6"/>
          <w:rFonts w:hint="eastAsia" w:ascii="方正仿宋_GB2312" w:hAnsi="方正仿宋_GB2312" w:eastAsia="方正仿宋_GB2312" w:cs="方正仿宋_GB2312"/>
          <w:b w:val="0"/>
          <w:bCs/>
          <w:color w:val="000000"/>
          <w:sz w:val="28"/>
          <w:szCs w:val="28"/>
        </w:rPr>
        <w:t>支出决算为</w:t>
      </w:r>
      <w:r>
        <w:rPr>
          <w:rStyle w:val="6"/>
          <w:rFonts w:hint="eastAsia" w:ascii="方正仿宋_GB2312" w:hAnsi="方正仿宋_GB2312" w:eastAsia="方正仿宋_GB2312" w:cs="方正仿宋_GB2312"/>
          <w:b w:val="0"/>
          <w:bCs/>
          <w:color w:val="000000"/>
          <w:kern w:val="2"/>
          <w:sz w:val="28"/>
          <w:szCs w:val="28"/>
          <w:lang w:val="en-US" w:eastAsia="zh-CN" w:bidi="ar-SA"/>
        </w:rPr>
        <w:t>3.27</w:t>
      </w:r>
      <w:r>
        <w:rPr>
          <w:rStyle w:val="6"/>
          <w:rFonts w:hint="eastAsia" w:ascii="方正仿宋_GB2312" w:hAnsi="方正仿宋_GB2312" w:eastAsia="方正仿宋_GB2312" w:cs="方正仿宋_GB2312"/>
          <w:b w:val="0"/>
          <w:bCs/>
          <w:color w:val="000000"/>
          <w:sz w:val="28"/>
          <w:szCs w:val="28"/>
        </w:rPr>
        <w:t>万元，完成预算100%。</w:t>
      </w:r>
    </w:p>
    <w:p>
      <w:pPr>
        <w:pStyle w:val="10"/>
        <w:spacing w:line="600" w:lineRule="exact"/>
        <w:ind w:firstLine="280" w:firstLineChars="100"/>
        <w:rPr>
          <w:rStyle w:val="6"/>
          <w:rFonts w:hint="eastAsia" w:ascii="方正仿宋_GB2312" w:hAnsi="方正仿宋_GB2312" w:eastAsia="方正仿宋_GB2312" w:cs="方正仿宋_GB2312"/>
          <w:b w:val="0"/>
          <w:bCs/>
          <w:color w:val="000000"/>
          <w:sz w:val="28"/>
          <w:szCs w:val="28"/>
        </w:rPr>
      </w:pPr>
      <w:r>
        <w:rPr>
          <w:rFonts w:hint="eastAsia" w:ascii="方正仿宋_GB2312" w:hAnsi="方正仿宋_GB2312" w:eastAsia="方正仿宋_GB2312" w:cs="方正仿宋_GB2312"/>
          <w:color w:val="000000"/>
          <w:kern w:val="0"/>
          <w:sz w:val="28"/>
          <w:szCs w:val="28"/>
        </w:rPr>
        <w:t>13、住房保障支出（类）住房改革支出（款）住房公积金（项）：</w:t>
      </w:r>
      <w:r>
        <w:rPr>
          <w:rStyle w:val="6"/>
          <w:rFonts w:hint="eastAsia" w:ascii="方正仿宋_GB2312" w:hAnsi="方正仿宋_GB2312" w:eastAsia="方正仿宋_GB2312" w:cs="方正仿宋_GB2312"/>
          <w:b w:val="0"/>
          <w:bCs/>
          <w:color w:val="000000"/>
          <w:sz w:val="28"/>
          <w:szCs w:val="28"/>
        </w:rPr>
        <w:t>支出决算为9.68万元，完成预算100%。</w:t>
      </w:r>
      <w:bookmarkStart w:id="36" w:name="_Toc15396608"/>
      <w:bookmarkStart w:id="37" w:name="_Toc15377214"/>
    </w:p>
    <w:p>
      <w:pPr>
        <w:pStyle w:val="10"/>
        <w:numPr>
          <w:ilvl w:val="0"/>
          <w:numId w:val="0"/>
        </w:numPr>
        <w:tabs>
          <w:tab w:val="right" w:pos="8306"/>
        </w:tabs>
        <w:spacing w:line="600" w:lineRule="exact"/>
        <w:ind w:firstLine="700" w:firstLineChars="250"/>
        <w:outlineLvl w:val="1"/>
        <w:rPr>
          <w:rStyle w:val="11"/>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8"/>
          <w:szCs w:val="28"/>
        </w:rPr>
        <w:t>六</w:t>
      </w:r>
      <w:r>
        <w:rPr>
          <w:rFonts w:hint="eastAsia" w:ascii="方正仿宋_GB2312" w:hAnsi="方正仿宋_GB2312" w:eastAsia="方正仿宋_GB2312" w:cs="方正仿宋_GB2312"/>
          <w:b/>
          <w:color w:val="000000"/>
          <w:sz w:val="28"/>
          <w:szCs w:val="28"/>
        </w:rPr>
        <w:t>、一</w:t>
      </w:r>
      <w:r>
        <w:rPr>
          <w:rStyle w:val="11"/>
          <w:rFonts w:hint="eastAsia" w:ascii="方正仿宋_GB2312" w:hAnsi="方正仿宋_GB2312" w:eastAsia="方正仿宋_GB2312" w:cs="方正仿宋_GB2312"/>
          <w:b w:val="0"/>
          <w:sz w:val="28"/>
          <w:szCs w:val="28"/>
        </w:rPr>
        <w:t>般公共预算财政拨款基本支出决算情况说明</w:t>
      </w:r>
      <w:bookmarkEnd w:id="36"/>
      <w:bookmarkEnd w:id="37"/>
      <w:r>
        <w:rPr>
          <w:rStyle w:val="11"/>
          <w:rFonts w:hint="eastAsia" w:ascii="方正仿宋_GB2312" w:hAnsi="方正仿宋_GB2312" w:eastAsia="方正仿宋_GB2312" w:cs="方正仿宋_GB2312"/>
          <w:b w:val="0"/>
          <w:sz w:val="28"/>
          <w:szCs w:val="28"/>
        </w:rPr>
        <w:tab/>
      </w:r>
    </w:p>
    <w:p>
      <w:pPr>
        <w:pStyle w:val="10"/>
        <w:spacing w:line="600" w:lineRule="exact"/>
        <w:ind w:firstLine="645"/>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32"/>
          <w:szCs w:val="32"/>
        </w:rPr>
        <w:t>20</w:t>
      </w:r>
      <w:r>
        <w:rPr>
          <w:rFonts w:hint="eastAsia" w:ascii="方正仿宋_GB2312" w:hAnsi="方正仿宋_GB2312" w:eastAsia="方正仿宋_GB2312" w:cs="方正仿宋_GB2312"/>
          <w:color w:val="000000"/>
          <w:sz w:val="32"/>
          <w:szCs w:val="32"/>
          <w:lang w:val="en-US" w:eastAsia="zh-CN"/>
        </w:rPr>
        <w:t>20</w:t>
      </w:r>
      <w:r>
        <w:rPr>
          <w:rFonts w:hint="eastAsia" w:ascii="方正仿宋_GB2312" w:hAnsi="方正仿宋_GB2312" w:eastAsia="方正仿宋_GB2312" w:cs="方正仿宋_GB2312"/>
          <w:color w:val="000000"/>
          <w:sz w:val="32"/>
          <w:szCs w:val="32"/>
        </w:rPr>
        <w:t>年一般公共预算财政拨款基本支出</w:t>
      </w:r>
      <w:r>
        <w:rPr>
          <w:rFonts w:hint="eastAsia" w:ascii="方正仿宋_GB2312" w:hAnsi="方正仿宋_GB2312" w:eastAsia="方正仿宋_GB2312" w:cs="方正仿宋_GB2312"/>
          <w:color w:val="000000"/>
          <w:kern w:val="2"/>
          <w:sz w:val="32"/>
          <w:szCs w:val="32"/>
          <w:lang w:val="en-US" w:eastAsia="zh-CN" w:bidi="ar-SA"/>
        </w:rPr>
        <w:t>89.64</w:t>
      </w:r>
      <w:r>
        <w:rPr>
          <w:rFonts w:hint="eastAsia" w:ascii="方正仿宋_GB2312" w:hAnsi="方正仿宋_GB2312" w:eastAsia="方正仿宋_GB2312" w:cs="方正仿宋_GB2312"/>
          <w:color w:val="000000"/>
          <w:sz w:val="32"/>
          <w:szCs w:val="32"/>
        </w:rPr>
        <w:t>万元，其中：人员经费</w:t>
      </w:r>
      <w:r>
        <w:rPr>
          <w:rFonts w:hint="eastAsia" w:ascii="方正仿宋_GB2312" w:hAnsi="方正仿宋_GB2312" w:eastAsia="方正仿宋_GB2312" w:cs="方正仿宋_GB2312"/>
          <w:color w:val="000000"/>
          <w:sz w:val="32"/>
          <w:szCs w:val="32"/>
          <w:lang w:val="en-US" w:eastAsia="zh-CN"/>
        </w:rPr>
        <w:t>81.84</w:t>
      </w:r>
      <w:r>
        <w:rPr>
          <w:rFonts w:hint="eastAsia" w:ascii="方正仿宋_GB2312" w:hAnsi="方正仿宋_GB2312" w:eastAsia="方正仿宋_GB2312" w:cs="方正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日常公用经费</w:t>
      </w:r>
      <w:r>
        <w:rPr>
          <w:rFonts w:hint="eastAsia" w:ascii="方正仿宋_GB2312" w:hAnsi="方正仿宋_GB2312" w:eastAsia="方正仿宋_GB2312" w:cs="方正仿宋_GB2312"/>
          <w:color w:val="000000"/>
          <w:sz w:val="32"/>
          <w:szCs w:val="32"/>
          <w:lang w:val="en-US" w:eastAsia="zh-CN"/>
        </w:rPr>
        <w:t>7.80</w:t>
      </w:r>
      <w:r>
        <w:rPr>
          <w:rFonts w:hint="eastAsia" w:ascii="方正仿宋_GB2312" w:hAnsi="方正仿宋_GB2312" w:eastAsia="方正仿宋_GB2312" w:cs="方正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方正仿宋_GB2312" w:hAnsi="方正仿宋_GB2312" w:eastAsia="方正仿宋_GB2312" w:cs="方正仿宋_GB2312"/>
          <w:color w:val="000000"/>
          <w:sz w:val="28"/>
          <w:szCs w:val="28"/>
        </w:rPr>
        <w:br w:type="textWrapping"/>
      </w:r>
      <w:r>
        <w:rPr>
          <w:rFonts w:hint="eastAsia" w:ascii="方正仿宋_GB2312" w:hAnsi="方正仿宋_GB2312" w:eastAsia="方正仿宋_GB2312" w:cs="方正仿宋_GB2312"/>
          <w:color w:val="000000"/>
          <w:sz w:val="28"/>
          <w:szCs w:val="28"/>
        </w:rPr>
        <w:t>　</w:t>
      </w:r>
      <w:bookmarkStart w:id="38" w:name="_Toc15396609"/>
      <w:bookmarkStart w:id="39" w:name="_Toc15377215"/>
      <w:r>
        <w:rPr>
          <w:rFonts w:hint="eastAsia" w:ascii="方正仿宋_GB2312" w:hAnsi="方正仿宋_GB2312" w:eastAsia="方正仿宋_GB2312" w:cs="方正仿宋_GB2312"/>
          <w:color w:val="000000"/>
          <w:sz w:val="28"/>
          <w:szCs w:val="28"/>
        </w:rPr>
        <w:t>七、</w:t>
      </w:r>
      <w:r>
        <w:rPr>
          <w:rStyle w:val="11"/>
          <w:rFonts w:hint="eastAsia" w:ascii="方正仿宋_GB2312" w:hAnsi="方正仿宋_GB2312" w:eastAsia="方正仿宋_GB2312" w:cs="方正仿宋_GB2312"/>
          <w:sz w:val="28"/>
          <w:szCs w:val="28"/>
        </w:rPr>
        <w:t>“</w:t>
      </w:r>
      <w:r>
        <w:rPr>
          <w:rStyle w:val="11"/>
          <w:rFonts w:hint="eastAsia" w:ascii="方正仿宋_GB2312" w:hAnsi="方正仿宋_GB2312" w:eastAsia="方正仿宋_GB2312" w:cs="方正仿宋_GB2312"/>
          <w:b w:val="0"/>
          <w:sz w:val="28"/>
          <w:szCs w:val="28"/>
        </w:rPr>
        <w:t>三公”经费财政拨款支出决算情况说明</w:t>
      </w:r>
      <w:bookmarkEnd w:id="38"/>
      <w:bookmarkEnd w:id="39"/>
    </w:p>
    <w:p>
      <w:pPr>
        <w:pStyle w:val="10"/>
        <w:numPr>
          <w:ilvl w:val="0"/>
          <w:numId w:val="0"/>
        </w:numPr>
        <w:spacing w:line="600" w:lineRule="exact"/>
        <w:outlineLvl w:val="2"/>
        <w:rPr>
          <w:rFonts w:hint="eastAsia" w:ascii="方正仿宋_GB2312" w:hAnsi="方正仿宋_GB2312" w:eastAsia="方正仿宋_GB2312" w:cs="方正仿宋_GB2312"/>
          <w:b/>
          <w:color w:val="000000"/>
          <w:sz w:val="28"/>
          <w:szCs w:val="28"/>
        </w:rPr>
      </w:pPr>
      <w:bookmarkStart w:id="40" w:name="_Toc15377216"/>
      <w:r>
        <w:rPr>
          <w:rFonts w:hint="eastAsia" w:ascii="方正仿宋_GB2312" w:hAnsi="方正仿宋_GB2312" w:eastAsia="方正仿宋_GB2312" w:cs="方正仿宋_GB2312"/>
          <w:b/>
          <w:color w:val="000000"/>
          <w:sz w:val="28"/>
          <w:szCs w:val="28"/>
        </w:rPr>
        <w:t>（一）“三公”经费财政拨款支出决算总体情况说明</w:t>
      </w:r>
      <w:bookmarkEnd w:id="40"/>
    </w:p>
    <w:p>
      <w:pPr>
        <w:pStyle w:val="10"/>
        <w:spacing w:line="600" w:lineRule="exact"/>
        <w:ind w:firstLine="640"/>
        <w:rPr>
          <w:rFonts w:hint="eastAsia" w:ascii="方正仿宋_GB2312" w:hAnsi="方正仿宋_GB2312" w:eastAsia="方正仿宋_GB2312" w:cs="方正仿宋_GB2312"/>
          <w:color w:val="000000"/>
          <w:sz w:val="32"/>
          <w:szCs w:val="32"/>
        </w:rPr>
      </w:pPr>
      <w:bookmarkStart w:id="41" w:name="_Toc15396610"/>
      <w:bookmarkStart w:id="42" w:name="_Toc15377218"/>
      <w:r>
        <w:rPr>
          <w:rFonts w:hint="eastAsia" w:ascii="方正仿宋_GB2312" w:hAnsi="方正仿宋_GB2312" w:eastAsia="方正仿宋_GB2312" w:cs="方正仿宋_GB2312"/>
          <w:color w:val="000000"/>
          <w:sz w:val="32"/>
          <w:szCs w:val="32"/>
        </w:rPr>
        <w:t>20</w:t>
      </w:r>
      <w:r>
        <w:rPr>
          <w:rFonts w:hint="eastAsia" w:ascii="方正仿宋_GB2312" w:hAnsi="方正仿宋_GB2312" w:eastAsia="方正仿宋_GB2312" w:cs="方正仿宋_GB2312"/>
          <w:color w:val="000000"/>
          <w:kern w:val="2"/>
          <w:sz w:val="32"/>
          <w:szCs w:val="32"/>
          <w:lang w:val="en-US" w:eastAsia="zh-CN" w:bidi="ar-SA"/>
        </w:rPr>
        <w:t>20</w:t>
      </w:r>
      <w:r>
        <w:rPr>
          <w:rFonts w:hint="eastAsia" w:ascii="方正仿宋_GB2312" w:hAnsi="方正仿宋_GB2312" w:eastAsia="方正仿宋_GB2312" w:cs="方正仿宋_GB2312"/>
          <w:color w:val="000000"/>
          <w:sz w:val="32"/>
          <w:szCs w:val="32"/>
        </w:rPr>
        <w:t>年“三公”经费财政拨款支出决算为</w:t>
      </w:r>
      <w:r>
        <w:rPr>
          <w:rFonts w:hint="eastAsia" w:ascii="方正仿宋_GB2312" w:hAnsi="方正仿宋_GB2312" w:eastAsia="方正仿宋_GB2312" w:cs="方正仿宋_GB2312"/>
          <w:color w:val="000000"/>
          <w:kern w:val="2"/>
          <w:sz w:val="32"/>
          <w:szCs w:val="32"/>
          <w:lang w:val="en-US" w:eastAsia="zh-CN" w:bidi="ar-SA"/>
        </w:rPr>
        <w:t>0.63</w:t>
      </w:r>
      <w:r>
        <w:rPr>
          <w:rFonts w:hint="eastAsia" w:ascii="方正仿宋_GB2312" w:hAnsi="方正仿宋_GB2312" w:eastAsia="方正仿宋_GB2312" w:cs="方正仿宋_GB2312"/>
          <w:color w:val="000000"/>
          <w:sz w:val="32"/>
          <w:szCs w:val="32"/>
        </w:rPr>
        <w:t>万元，完成预算56.25%，决算数小于预算数（或与预算数持平）的主要原因是公务接待费开支0.12万元，公务用车运行费开支</w:t>
      </w:r>
      <w:r>
        <w:rPr>
          <w:rFonts w:hint="eastAsia" w:ascii="方正仿宋_GB2312" w:hAnsi="方正仿宋_GB2312" w:eastAsia="方正仿宋_GB2312" w:cs="方正仿宋_GB2312"/>
          <w:color w:val="000000"/>
          <w:kern w:val="2"/>
          <w:sz w:val="32"/>
          <w:szCs w:val="32"/>
          <w:lang w:val="en-US" w:eastAsia="zh-CN" w:bidi="ar-SA"/>
        </w:rPr>
        <w:t>0.51</w:t>
      </w:r>
      <w:r>
        <w:rPr>
          <w:rFonts w:hint="eastAsia" w:ascii="方正仿宋_GB2312" w:hAnsi="方正仿宋_GB2312" w:eastAsia="方正仿宋_GB2312" w:cs="方正仿宋_GB2312"/>
          <w:color w:val="000000"/>
          <w:sz w:val="32"/>
          <w:szCs w:val="32"/>
        </w:rPr>
        <w:t>万元。</w:t>
      </w:r>
    </w:p>
    <w:p>
      <w:pPr>
        <w:pStyle w:val="10"/>
        <w:numPr>
          <w:ilvl w:val="0"/>
          <w:numId w:val="0"/>
        </w:numPr>
        <w:spacing w:line="600" w:lineRule="exact"/>
        <w:outlineLvl w:val="2"/>
        <w:rPr>
          <w:rFonts w:hint="eastAsia" w:ascii="方正仿宋_GB2312" w:hAnsi="方正仿宋_GB2312" w:eastAsia="方正仿宋_GB2312" w:cs="方正仿宋_GB2312"/>
          <w:b/>
          <w:color w:val="000000"/>
          <w:sz w:val="32"/>
          <w:szCs w:val="32"/>
        </w:rPr>
      </w:pPr>
      <w:bookmarkStart w:id="43" w:name="_Toc15377217"/>
      <w:r>
        <w:rPr>
          <w:rFonts w:hint="eastAsia" w:ascii="方正仿宋_GB2312" w:hAnsi="方正仿宋_GB2312" w:eastAsia="方正仿宋_GB2312" w:cs="方正仿宋_GB2312"/>
          <w:b/>
          <w:color w:val="000000"/>
          <w:sz w:val="32"/>
          <w:szCs w:val="32"/>
        </w:rPr>
        <w:t>（二）“三公”经费财政拨款支出决算具体情况说明</w:t>
      </w:r>
      <w:bookmarkEnd w:id="43"/>
    </w:p>
    <w:p>
      <w:pPr>
        <w:pStyle w:val="10"/>
        <w:spacing w:line="600" w:lineRule="exact"/>
        <w:ind w:firstLine="64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2020</w:t>
      </w:r>
      <w:r>
        <w:rPr>
          <w:rFonts w:hint="eastAsia" w:ascii="方正仿宋_GB2312" w:hAnsi="方正仿宋_GB2312" w:eastAsia="方正仿宋_GB2312" w:cs="方正仿宋_GB2312"/>
          <w:color w:val="000000"/>
          <w:sz w:val="32"/>
          <w:szCs w:val="32"/>
        </w:rPr>
        <w:t>年“三公”经费财政拨款支出决算中，因公出国（境）费支出决算</w:t>
      </w:r>
      <w:r>
        <w:rPr>
          <w:rFonts w:hint="eastAsia" w:ascii="方正仿宋_GB2312" w:hAnsi="方正仿宋_GB2312" w:eastAsia="方正仿宋_GB2312" w:cs="方正仿宋_GB2312"/>
          <w:color w:val="000000"/>
          <w:kern w:val="2"/>
          <w:sz w:val="32"/>
          <w:szCs w:val="32"/>
          <w:lang w:val="en-US" w:eastAsia="zh-CN" w:bidi="ar-SA"/>
        </w:rPr>
        <w:t>0</w:t>
      </w:r>
      <w:r>
        <w:rPr>
          <w:rFonts w:hint="eastAsia" w:ascii="方正仿宋_GB2312" w:hAnsi="方正仿宋_GB2312" w:eastAsia="方正仿宋_GB2312" w:cs="方正仿宋_GB2312"/>
          <w:color w:val="000000"/>
          <w:sz w:val="32"/>
          <w:szCs w:val="32"/>
        </w:rPr>
        <w:t>万元，占0%；公务用车购置及运行维护费支出决算</w:t>
      </w:r>
      <w:r>
        <w:rPr>
          <w:rFonts w:hint="eastAsia" w:ascii="方正仿宋_GB2312" w:hAnsi="方正仿宋_GB2312" w:eastAsia="方正仿宋_GB2312" w:cs="方正仿宋_GB2312"/>
          <w:color w:val="000000"/>
          <w:kern w:val="2"/>
          <w:sz w:val="32"/>
          <w:szCs w:val="32"/>
          <w:lang w:val="en-US" w:eastAsia="zh-CN" w:bidi="ar-SA"/>
        </w:rPr>
        <w:t>0.51</w:t>
      </w:r>
      <w:r>
        <w:rPr>
          <w:rFonts w:hint="eastAsia" w:ascii="方正仿宋_GB2312" w:hAnsi="方正仿宋_GB2312" w:eastAsia="方正仿宋_GB2312" w:cs="方正仿宋_GB2312"/>
          <w:color w:val="000000"/>
          <w:sz w:val="32"/>
          <w:szCs w:val="32"/>
        </w:rPr>
        <w:t>万元，占45.54%；公务接待费支出决算</w:t>
      </w:r>
      <w:r>
        <w:rPr>
          <w:rFonts w:hint="eastAsia" w:ascii="方正仿宋_GB2312" w:hAnsi="方正仿宋_GB2312" w:eastAsia="方正仿宋_GB2312" w:cs="方正仿宋_GB2312"/>
          <w:color w:val="000000"/>
          <w:kern w:val="2"/>
          <w:sz w:val="32"/>
          <w:szCs w:val="32"/>
          <w:lang w:val="en-US" w:eastAsia="zh-CN" w:bidi="ar-SA"/>
        </w:rPr>
        <w:t>0.12</w:t>
      </w:r>
      <w:r>
        <w:rPr>
          <w:rFonts w:hint="eastAsia" w:ascii="方正仿宋_GB2312" w:hAnsi="方正仿宋_GB2312" w:eastAsia="方正仿宋_GB2312" w:cs="方正仿宋_GB2312"/>
          <w:color w:val="000000"/>
          <w:sz w:val="32"/>
          <w:szCs w:val="32"/>
        </w:rPr>
        <w:t>万元，占</w:t>
      </w:r>
      <w:r>
        <w:rPr>
          <w:rFonts w:hint="eastAsia" w:ascii="方正仿宋_GB2312" w:hAnsi="方正仿宋_GB2312" w:eastAsia="方正仿宋_GB2312" w:cs="方正仿宋_GB2312"/>
          <w:color w:val="000000"/>
          <w:kern w:val="2"/>
          <w:sz w:val="32"/>
          <w:szCs w:val="32"/>
          <w:lang w:val="en-US" w:eastAsia="zh-CN" w:bidi="ar-SA"/>
        </w:rPr>
        <w:t>10.72</w:t>
      </w:r>
      <w:r>
        <w:rPr>
          <w:rFonts w:hint="eastAsia" w:ascii="方正仿宋_GB2312" w:hAnsi="方正仿宋_GB2312" w:eastAsia="方正仿宋_GB2312" w:cs="方正仿宋_GB2312"/>
          <w:color w:val="000000"/>
          <w:sz w:val="32"/>
          <w:szCs w:val="32"/>
        </w:rPr>
        <w:t>。具体情况如下：</w:t>
      </w:r>
    </w:p>
    <w:p>
      <w:pPr>
        <w:pStyle w:val="10"/>
        <w:ind w:firstLine="641"/>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rPr>
        <w:drawing>
          <wp:inline distT="0" distB="0" distL="0" distR="0">
            <wp:extent cx="4254500" cy="248412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1、</w:t>
      </w:r>
      <w:r>
        <w:rPr>
          <w:rFonts w:hint="eastAsia" w:ascii="方正仿宋_GB2312" w:hAnsi="方正仿宋_GB2312" w:eastAsia="方正仿宋_GB2312" w:cs="方正仿宋_GB2312"/>
          <w:b/>
          <w:color w:val="000000"/>
          <w:kern w:val="0"/>
          <w:sz w:val="31"/>
          <w:szCs w:val="31"/>
          <w:lang w:val="en-US" w:eastAsia="zh-CN" w:bidi="ar"/>
        </w:rPr>
        <w:t xml:space="preserve">因公出国（境）经费支出 </w:t>
      </w:r>
      <w:r>
        <w:rPr>
          <w:rFonts w:hint="eastAsia" w:ascii="方正仿宋_GB2312" w:hAnsi="方正仿宋_GB2312" w:eastAsia="方正仿宋_GB2312" w:cs="方正仿宋_GB2312"/>
          <w:color w:val="000000"/>
          <w:kern w:val="0"/>
          <w:sz w:val="31"/>
          <w:szCs w:val="31"/>
          <w:lang w:val="en-US" w:eastAsia="zh-CN" w:bidi="ar"/>
        </w:rPr>
        <w:t xml:space="preserve">0 万元，完成预算 0%。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 xml:space="preserve">全年安排因公出国（境）团组 0 次，出国（境）0 人。因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 xml:space="preserve">公出国（境）支出决算同 2019 年相同， 无增减，主要原因是无人出国。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 xml:space="preserve">开支内容包括：无。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2、</w:t>
      </w:r>
      <w:r>
        <w:rPr>
          <w:rFonts w:hint="eastAsia" w:ascii="方正仿宋_GB2312" w:hAnsi="方正仿宋_GB2312" w:eastAsia="方正仿宋_GB2312" w:cs="方正仿宋_GB2312"/>
          <w:b/>
          <w:color w:val="000000"/>
          <w:kern w:val="0"/>
          <w:sz w:val="31"/>
          <w:szCs w:val="31"/>
          <w:lang w:val="en-US" w:eastAsia="zh-CN" w:bidi="ar"/>
        </w:rPr>
        <w:t xml:space="preserve">公务用车购置及运行维护费支出 </w:t>
      </w:r>
      <w:r>
        <w:rPr>
          <w:rFonts w:hint="eastAsia" w:ascii="方正仿宋_GB2312" w:hAnsi="方正仿宋_GB2312" w:eastAsia="方正仿宋_GB2312" w:cs="方正仿宋_GB2312"/>
          <w:color w:val="000000"/>
          <w:kern w:val="0"/>
          <w:sz w:val="31"/>
          <w:szCs w:val="31"/>
          <w:lang w:val="en-US" w:eastAsia="zh-CN" w:bidi="ar"/>
        </w:rPr>
        <w:t xml:space="preserve">0.51万元,完成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 xml:space="preserve">预算 51.36%。公务用车购置及运行维护费支出决算比 2019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 xml:space="preserve">年增加 0.51 万元，增长51.36%。主要原因是我院特困人员因患尿毒症需每周透析2次，我院按照五保条例规定严格执行老有所依，老有所养，老有所为，老有所乐原则，关心关爱院民每周按时接送老人所产生的油费，维修维护保养等费用 。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其中：公务用车购</w:t>
      </w:r>
      <w:r>
        <w:rPr>
          <w:rFonts w:hint="eastAsia" w:ascii="方正仿宋_GB2312" w:hAnsi="方正仿宋_GB2312" w:eastAsia="方正仿宋_GB2312" w:cs="方正仿宋_GB2312"/>
          <w:b/>
          <w:color w:val="000000"/>
          <w:kern w:val="0"/>
          <w:sz w:val="31"/>
          <w:szCs w:val="31"/>
          <w:lang w:val="en-US" w:eastAsia="zh-CN" w:bidi="ar"/>
        </w:rPr>
        <w:t xml:space="preserve">置支出 </w:t>
      </w:r>
      <w:r>
        <w:rPr>
          <w:rFonts w:hint="eastAsia" w:ascii="方正仿宋_GB2312" w:hAnsi="方正仿宋_GB2312" w:eastAsia="方正仿宋_GB2312" w:cs="方正仿宋_GB2312"/>
          <w:color w:val="000000"/>
          <w:kern w:val="0"/>
          <w:sz w:val="31"/>
          <w:szCs w:val="31"/>
          <w:lang w:val="en-US" w:eastAsia="zh-CN" w:bidi="ar"/>
        </w:rPr>
        <w:t xml:space="preserve">0 万元。全年按规定更新购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 xml:space="preserve">置公务用车 0 辆，其中：轿车 0 辆、金额 0 万元，越野车 </w:t>
      </w:r>
    </w:p>
    <w:p>
      <w:pPr>
        <w:keepNext w:val="0"/>
        <w:keepLines w:val="0"/>
        <w:pageBreakBefore w:val="0"/>
        <w:widowControl/>
        <w:suppressLineNumbers w:val="0"/>
        <w:kinsoku/>
        <w:wordWrap/>
        <w:overflowPunct/>
        <w:topLinePunct w:val="0"/>
        <w:bidi w:val="0"/>
        <w:adjustRightInd/>
        <w:snapToGrid/>
        <w:spacing w:line="560" w:lineRule="exact"/>
        <w:ind w:firstLine="620"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0"/>
          <w:sz w:val="31"/>
          <w:szCs w:val="31"/>
          <w:lang w:val="en-US" w:eastAsia="zh-CN" w:bidi="ar"/>
        </w:rPr>
        <w:t xml:space="preserve">0 辆、金额 0 万元，载客汽车 0 辆、金额 0 万元。截至 2020 年 12 月底，单位共有公务用车 （福利院业务用车）1 辆，其中：皮卡车1 辆、 </w:t>
      </w:r>
    </w:p>
    <w:p>
      <w:pPr>
        <w:keepNext w:val="0"/>
        <w:keepLines w:val="0"/>
        <w:pageBreakBefore w:val="0"/>
        <w:widowControl/>
        <w:suppressLineNumbers w:val="0"/>
        <w:kinsoku/>
        <w:wordWrap/>
        <w:overflowPunct/>
        <w:topLinePunct w:val="0"/>
        <w:bidi w:val="0"/>
        <w:adjustRightInd/>
        <w:snapToGrid/>
        <w:spacing w:line="560" w:lineRule="exact"/>
        <w:ind w:firstLine="622"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color w:val="000000"/>
          <w:kern w:val="0"/>
          <w:sz w:val="31"/>
          <w:szCs w:val="31"/>
          <w:lang w:val="en-US" w:eastAsia="zh-CN" w:bidi="ar"/>
        </w:rPr>
        <w:t xml:space="preserve">公务用车运行维护费支出 </w:t>
      </w:r>
      <w:r>
        <w:rPr>
          <w:rFonts w:hint="eastAsia" w:ascii="方正仿宋_GB2312" w:hAnsi="方正仿宋_GB2312" w:eastAsia="方正仿宋_GB2312" w:cs="方正仿宋_GB2312"/>
          <w:color w:val="000000"/>
          <w:kern w:val="0"/>
          <w:sz w:val="31"/>
          <w:szCs w:val="31"/>
          <w:lang w:val="en-US" w:eastAsia="zh-CN" w:bidi="ar"/>
        </w:rPr>
        <w:t>0.51万元。主要用于接送福利院老人生病透析（住院）、工作人员外出走访入户调查、佳节购拉水果等所需的燃料费、维修费、停车费、保险费等出。</w:t>
      </w:r>
    </w:p>
    <w:p>
      <w:pPr>
        <w:keepNext w:val="0"/>
        <w:keepLines w:val="0"/>
        <w:pageBreakBefore w:val="0"/>
        <w:widowControl/>
        <w:suppressLineNumbers w:val="0"/>
        <w:kinsoku/>
        <w:wordWrap/>
        <w:overflowPunct/>
        <w:topLinePunct w:val="0"/>
        <w:bidi w:val="0"/>
        <w:adjustRightInd/>
        <w:snapToGrid/>
        <w:spacing w:line="560" w:lineRule="exact"/>
        <w:ind w:firstLine="622"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color w:val="000000"/>
          <w:kern w:val="0"/>
          <w:sz w:val="31"/>
          <w:szCs w:val="31"/>
          <w:lang w:val="en-US" w:eastAsia="zh-CN" w:bidi="ar"/>
        </w:rPr>
        <w:t xml:space="preserve">3.公务接待费支出 </w:t>
      </w:r>
      <w:r>
        <w:rPr>
          <w:rFonts w:hint="eastAsia" w:ascii="方正仿宋_GB2312" w:hAnsi="方正仿宋_GB2312" w:eastAsia="方正仿宋_GB2312" w:cs="方正仿宋_GB2312"/>
          <w:color w:val="000000"/>
          <w:kern w:val="0"/>
          <w:sz w:val="31"/>
          <w:szCs w:val="31"/>
          <w:lang w:val="en-US" w:eastAsia="zh-CN" w:bidi="ar"/>
        </w:rPr>
        <w:t xml:space="preserve">0.12万元，完成预算 100%。公务接待费支出决算比 2019 年增加0.12万元，增加120%。 主要原因是2019年无接待，2020年接待成都市郫都区民政局学习考察养老服务业发展研指导。其中： </w:t>
      </w:r>
    </w:p>
    <w:p>
      <w:pPr>
        <w:keepNext w:val="0"/>
        <w:keepLines w:val="0"/>
        <w:pageBreakBefore w:val="0"/>
        <w:widowControl/>
        <w:suppressLineNumbers w:val="0"/>
        <w:kinsoku/>
        <w:wordWrap/>
        <w:overflowPunct/>
        <w:topLinePunct w:val="0"/>
        <w:bidi w:val="0"/>
        <w:adjustRightInd/>
        <w:snapToGrid/>
        <w:spacing w:line="560" w:lineRule="exact"/>
        <w:ind w:firstLine="622"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color w:val="000000"/>
          <w:kern w:val="0"/>
          <w:sz w:val="31"/>
          <w:szCs w:val="31"/>
          <w:lang w:val="en-US" w:eastAsia="zh-CN" w:bidi="ar"/>
        </w:rPr>
        <w:t xml:space="preserve">国内公务接待支出 </w:t>
      </w:r>
      <w:r>
        <w:rPr>
          <w:rFonts w:hint="eastAsia" w:ascii="方正仿宋_GB2312" w:hAnsi="方正仿宋_GB2312" w:eastAsia="方正仿宋_GB2312" w:cs="方正仿宋_GB2312"/>
          <w:color w:val="000000"/>
          <w:kern w:val="0"/>
          <w:sz w:val="31"/>
          <w:szCs w:val="31"/>
          <w:lang w:val="en-US" w:eastAsia="zh-CN" w:bidi="ar"/>
        </w:rPr>
        <w:t xml:space="preserve">0.12万元，主要用于执行公务接待成都市郫都区民政局学习考察养老服务业发展研指导、 用餐费。国内公 务接待 1批次，15人次（不包括陪同人员），共计支出 0.12万元。 </w:t>
      </w:r>
    </w:p>
    <w:p>
      <w:pPr>
        <w:keepNext w:val="0"/>
        <w:keepLines w:val="0"/>
        <w:pageBreakBefore w:val="0"/>
        <w:widowControl/>
        <w:suppressLineNumbers w:val="0"/>
        <w:kinsoku/>
        <w:wordWrap/>
        <w:overflowPunct/>
        <w:topLinePunct w:val="0"/>
        <w:bidi w:val="0"/>
        <w:adjustRightInd/>
        <w:snapToGrid/>
        <w:spacing w:line="560" w:lineRule="exact"/>
        <w:ind w:firstLine="622" w:firstLineChars="200"/>
        <w:jc w:val="left"/>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color w:val="000000"/>
          <w:kern w:val="0"/>
          <w:sz w:val="31"/>
          <w:szCs w:val="31"/>
          <w:lang w:val="en-US" w:eastAsia="zh-CN" w:bidi="ar"/>
        </w:rPr>
        <w:t xml:space="preserve">外事接待支出 </w:t>
      </w:r>
      <w:r>
        <w:rPr>
          <w:rFonts w:hint="eastAsia" w:ascii="方正仿宋_GB2312" w:hAnsi="方正仿宋_GB2312" w:eastAsia="方正仿宋_GB2312" w:cs="方正仿宋_GB2312"/>
          <w:color w:val="000000"/>
          <w:kern w:val="0"/>
          <w:sz w:val="31"/>
          <w:szCs w:val="31"/>
          <w:lang w:val="en-US" w:eastAsia="zh-CN" w:bidi="ar"/>
        </w:rPr>
        <w:t xml:space="preserve">0 万元，外事接待 0 批次，0 人，共计支出0 万元。 </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八、</w:t>
      </w:r>
      <w:r>
        <w:rPr>
          <w:rStyle w:val="11"/>
          <w:rFonts w:hint="eastAsia" w:ascii="方正仿宋_GB2312" w:hAnsi="方正仿宋_GB2312" w:eastAsia="方正仿宋_GB2312" w:cs="方正仿宋_GB2312"/>
          <w:b w:val="0"/>
          <w:sz w:val="32"/>
          <w:szCs w:val="32"/>
        </w:rPr>
        <w:t>政府性基金预算支出决算情况说明</w:t>
      </w:r>
      <w:bookmarkEnd w:id="41"/>
      <w:bookmarkEnd w:id="42"/>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w:t>
      </w:r>
      <w:r>
        <w:rPr>
          <w:rFonts w:hint="eastAsia" w:ascii="方正仿宋_GB2312" w:hAnsi="方正仿宋_GB2312" w:eastAsia="方正仿宋_GB2312" w:cs="方正仿宋_GB2312"/>
          <w:color w:val="000000"/>
          <w:kern w:val="2"/>
          <w:sz w:val="32"/>
          <w:szCs w:val="32"/>
          <w:lang w:val="en-US" w:eastAsia="zh-CN" w:bidi="ar-SA"/>
        </w:rPr>
        <w:t>20</w:t>
      </w:r>
      <w:r>
        <w:rPr>
          <w:rFonts w:hint="eastAsia" w:ascii="方正仿宋_GB2312" w:hAnsi="方正仿宋_GB2312" w:eastAsia="方正仿宋_GB2312" w:cs="方正仿宋_GB2312"/>
          <w:color w:val="000000"/>
          <w:sz w:val="32"/>
          <w:szCs w:val="32"/>
        </w:rPr>
        <w:t>年政府性基金预算拨款支出0万元。</w:t>
      </w:r>
    </w:p>
    <w:p>
      <w:pPr>
        <w:pStyle w:val="10"/>
        <w:keepNext w:val="0"/>
        <w:keepLines w:val="0"/>
        <w:pageBreakBefore w:val="0"/>
        <w:numPr>
          <w:ilvl w:val="0"/>
          <w:numId w:val="0"/>
        </w:numPr>
        <w:kinsoku/>
        <w:wordWrap/>
        <w:overflowPunct/>
        <w:topLinePunct w:val="0"/>
        <w:bidi w:val="0"/>
        <w:adjustRightInd/>
        <w:snapToGrid/>
        <w:spacing w:beforeLines="0" w:afterLines="0" w:line="560" w:lineRule="exact"/>
        <w:ind w:firstLine="640" w:firstLineChars="200"/>
        <w:textAlignment w:val="auto"/>
        <w:outlineLvl w:val="1"/>
        <w:rPr>
          <w:rStyle w:val="11"/>
          <w:rFonts w:hint="eastAsia" w:ascii="方正仿宋_GB2312" w:hAnsi="方正仿宋_GB2312" w:eastAsia="方正仿宋_GB2312" w:cs="方正仿宋_GB2312"/>
          <w:b w:val="0"/>
          <w:sz w:val="32"/>
          <w:szCs w:val="32"/>
        </w:rPr>
      </w:pPr>
      <w:bookmarkStart w:id="44" w:name="_Toc15377219"/>
      <w:bookmarkStart w:id="45" w:name="_Toc15396611"/>
      <w:r>
        <w:rPr>
          <w:rStyle w:val="11"/>
          <w:rFonts w:hint="eastAsia" w:ascii="方正仿宋_GB2312" w:hAnsi="方正仿宋_GB2312" w:eastAsia="方正仿宋_GB2312" w:cs="方正仿宋_GB2312"/>
          <w:b w:val="0"/>
          <w:sz w:val="32"/>
          <w:szCs w:val="32"/>
        </w:rPr>
        <w:t>九、国有资本经营预算支出决算情况说明</w:t>
      </w:r>
      <w:bookmarkEnd w:id="44"/>
      <w:bookmarkEnd w:id="45"/>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w:t>
      </w:r>
      <w:r>
        <w:rPr>
          <w:rFonts w:hint="eastAsia" w:ascii="方正仿宋_GB2312" w:hAnsi="方正仿宋_GB2312" w:eastAsia="方正仿宋_GB2312" w:cs="方正仿宋_GB2312"/>
          <w:color w:val="000000"/>
          <w:kern w:val="2"/>
          <w:sz w:val="32"/>
          <w:szCs w:val="32"/>
          <w:lang w:val="en-US" w:eastAsia="zh-CN" w:bidi="ar-SA"/>
        </w:rPr>
        <w:t>20</w:t>
      </w:r>
      <w:r>
        <w:rPr>
          <w:rFonts w:hint="eastAsia" w:ascii="方正仿宋_GB2312" w:hAnsi="方正仿宋_GB2312" w:eastAsia="方正仿宋_GB2312" w:cs="方正仿宋_GB2312"/>
          <w:color w:val="000000"/>
          <w:sz w:val="32"/>
          <w:szCs w:val="32"/>
        </w:rPr>
        <w:t>年国有资本经营预算拨款支出0万元。</w:t>
      </w:r>
    </w:p>
    <w:p>
      <w:pPr>
        <w:pStyle w:val="10"/>
        <w:keepNext w:val="0"/>
        <w:keepLines w:val="0"/>
        <w:pageBreakBefore w:val="0"/>
        <w:numPr>
          <w:ilvl w:val="0"/>
          <w:numId w:val="0"/>
        </w:numPr>
        <w:kinsoku/>
        <w:wordWrap/>
        <w:overflowPunct/>
        <w:topLinePunct w:val="0"/>
        <w:bidi w:val="0"/>
        <w:adjustRightInd/>
        <w:snapToGrid/>
        <w:spacing w:beforeLines="0" w:afterLines="0" w:line="560" w:lineRule="exact"/>
        <w:ind w:firstLine="640" w:firstLineChars="200"/>
        <w:textAlignment w:val="auto"/>
        <w:outlineLvl w:val="2"/>
        <w:rPr>
          <w:rStyle w:val="11"/>
          <w:rFonts w:hint="eastAsia" w:ascii="方正仿宋_GB2312" w:hAnsi="方正仿宋_GB2312" w:eastAsia="方正仿宋_GB2312" w:cs="方正仿宋_GB2312"/>
          <w:b w:val="0"/>
          <w:sz w:val="32"/>
          <w:szCs w:val="32"/>
        </w:rPr>
      </w:pPr>
      <w:bookmarkStart w:id="46" w:name="_Toc15396612"/>
      <w:bookmarkStart w:id="47" w:name="_Toc15377221"/>
      <w:r>
        <w:rPr>
          <w:rFonts w:hint="eastAsia" w:ascii="方正仿宋_GB2312" w:hAnsi="方正仿宋_GB2312" w:eastAsia="方正仿宋_GB2312" w:cs="方正仿宋_GB2312"/>
          <w:color w:val="000000"/>
          <w:sz w:val="32"/>
          <w:szCs w:val="32"/>
        </w:rPr>
        <w:t>十</w:t>
      </w:r>
      <w:r>
        <w:rPr>
          <w:rStyle w:val="11"/>
          <w:rFonts w:hint="eastAsia" w:ascii="方正仿宋_GB2312" w:hAnsi="方正仿宋_GB2312" w:eastAsia="方正仿宋_GB2312" w:cs="方正仿宋_GB2312"/>
          <w:sz w:val="32"/>
          <w:szCs w:val="32"/>
        </w:rPr>
        <w:t>、</w:t>
      </w:r>
      <w:r>
        <w:rPr>
          <w:rStyle w:val="11"/>
          <w:rFonts w:hint="eastAsia" w:ascii="方正仿宋_GB2312" w:hAnsi="方正仿宋_GB2312" w:eastAsia="方正仿宋_GB2312" w:cs="方正仿宋_GB2312"/>
          <w:b w:val="0"/>
          <w:sz w:val="32"/>
          <w:szCs w:val="32"/>
        </w:rPr>
        <w:t>其他重要事项的情况说明</w:t>
      </w:r>
      <w:bookmarkEnd w:id="46"/>
      <w:bookmarkEnd w:id="47"/>
      <w:bookmarkStart w:id="48" w:name="_Toc15377222"/>
      <w:bookmarkEnd w:id="48"/>
    </w:p>
    <w:p>
      <w:pPr>
        <w:pStyle w:val="10"/>
        <w:keepNext w:val="0"/>
        <w:keepLines w:val="0"/>
        <w:pageBreakBefore w:val="0"/>
        <w:numPr>
          <w:ilvl w:val="0"/>
          <w:numId w:val="0"/>
        </w:numPr>
        <w:kinsoku/>
        <w:wordWrap/>
        <w:overflowPunct/>
        <w:topLinePunct w:val="0"/>
        <w:bidi w:val="0"/>
        <w:adjustRightInd/>
        <w:snapToGrid/>
        <w:spacing w:beforeLines="0" w:afterLines="0" w:line="560" w:lineRule="exact"/>
        <w:ind w:firstLine="643" w:firstLineChars="200"/>
        <w:textAlignment w:val="auto"/>
        <w:outlineLvl w:val="2"/>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b/>
          <w:color w:val="000000"/>
          <w:sz w:val="32"/>
          <w:szCs w:val="32"/>
        </w:rPr>
        <w:t>（一）机关运行经费支出情况</w:t>
      </w:r>
      <w:bookmarkStart w:id="49" w:name="_Toc153772221"/>
      <w:bookmarkEnd w:id="49"/>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Style w:val="11"/>
          <w:rFonts w:hint="eastAsia" w:ascii="方正仿宋_GB2312" w:hAnsi="方正仿宋_GB2312" w:eastAsia="方正仿宋_GB2312" w:cs="方正仿宋_GB2312"/>
          <w:b w:val="0"/>
          <w:bCs w:val="0"/>
          <w:color w:val="000000" w:themeColor="text1"/>
          <w:sz w:val="32"/>
          <w:szCs w:val="32"/>
          <w14:textFill>
            <w14:solidFill>
              <w14:schemeClr w14:val="tx1"/>
            </w14:solidFill>
          </w14:textFill>
        </w:rPr>
      </w:pPr>
      <w:r>
        <w:rPr>
          <w:rFonts w:hint="eastAsia" w:ascii="方正仿宋_GB2312" w:hAnsi="方正仿宋_GB2312" w:eastAsia="方正仿宋_GB2312" w:cs="方正仿宋_GB2312"/>
          <w:color w:val="000000"/>
          <w:kern w:val="2"/>
          <w:sz w:val="32"/>
          <w:szCs w:val="32"/>
          <w:lang w:val="en-US" w:eastAsia="zh-CN" w:bidi="ar-SA"/>
        </w:rPr>
        <w:t>2020</w:t>
      </w:r>
      <w:r>
        <w:rPr>
          <w:rFonts w:hint="eastAsia" w:ascii="方正仿宋_GB2312" w:hAnsi="方正仿宋_GB2312" w:eastAsia="方正仿宋_GB2312" w:cs="方正仿宋_GB2312"/>
          <w:color w:val="000000"/>
          <w:sz w:val="32"/>
          <w:szCs w:val="32"/>
        </w:rPr>
        <w:t>年，机关运行经费支出0万元，</w:t>
      </w:r>
    </w:p>
    <w:p>
      <w:pPr>
        <w:pStyle w:val="10"/>
        <w:keepNext w:val="0"/>
        <w:keepLines w:val="0"/>
        <w:pageBreakBefore w:val="0"/>
        <w:numPr>
          <w:ilvl w:val="0"/>
          <w:numId w:val="0"/>
        </w:numPr>
        <w:kinsoku/>
        <w:wordWrap/>
        <w:overflowPunct/>
        <w:topLinePunct w:val="0"/>
        <w:autoSpaceDE w:val="0"/>
        <w:autoSpaceDN w:val="0"/>
        <w:bidi w:val="0"/>
        <w:adjustRightInd/>
        <w:snapToGrid/>
        <w:spacing w:beforeLines="0" w:afterLines="0" w:line="560" w:lineRule="exact"/>
        <w:ind w:firstLine="643" w:firstLineChars="200"/>
        <w:jc w:val="left"/>
        <w:textAlignment w:val="auto"/>
        <w:outlineLvl w:val="2"/>
        <w:rPr>
          <w:rFonts w:hint="eastAsia" w:ascii="方正仿宋_GB2312" w:hAnsi="方正仿宋_GB2312" w:eastAsia="方正仿宋_GB2312" w:cs="方正仿宋_GB2312"/>
          <w:b/>
          <w:color w:val="000000"/>
          <w:sz w:val="32"/>
          <w:szCs w:val="32"/>
        </w:rPr>
      </w:pPr>
      <w:bookmarkStart w:id="50" w:name="_Toc15377223"/>
      <w:r>
        <w:rPr>
          <w:rFonts w:hint="eastAsia" w:ascii="方正仿宋_GB2312" w:hAnsi="方正仿宋_GB2312" w:eastAsia="方正仿宋_GB2312" w:cs="方正仿宋_GB2312"/>
          <w:b/>
          <w:color w:val="000000"/>
          <w:sz w:val="32"/>
          <w:szCs w:val="32"/>
        </w:rPr>
        <w:t>（二）政府采购支出情况</w:t>
      </w:r>
      <w:bookmarkEnd w:id="50"/>
    </w:p>
    <w:p>
      <w:pPr>
        <w:pStyle w:val="10"/>
        <w:keepNext w:val="0"/>
        <w:keepLines w:val="0"/>
        <w:pageBreakBefore w:val="0"/>
        <w:kinsoku/>
        <w:wordWrap/>
        <w:overflowPunct/>
        <w:topLinePunct w:val="0"/>
        <w:bidi w:val="0"/>
        <w:adjustRightInd/>
        <w:snapToGrid/>
        <w:spacing w:beforeLines="0" w:afterLines="0" w:line="560" w:lineRule="exact"/>
        <w:ind w:firstLine="640" w:firstLineChars="200"/>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2020年，政府采购支出总额</w:t>
      </w:r>
      <w:r>
        <w:rPr>
          <w:rFonts w:hint="eastAsia" w:ascii="方正仿宋_GB2312" w:hAnsi="方正仿宋_GB2312" w:eastAsia="方正仿宋_GB2312" w:cs="方正仿宋_GB2312"/>
          <w:color w:val="000000"/>
          <w:kern w:val="2"/>
          <w:sz w:val="32"/>
          <w:szCs w:val="32"/>
          <w:lang w:val="en-US" w:eastAsia="zh-CN" w:bidi="ar-SA"/>
        </w:rPr>
        <w:t>17.30</w:t>
      </w:r>
      <w:r>
        <w:rPr>
          <w:rFonts w:hint="eastAsia" w:ascii="方正仿宋_GB2312" w:hAnsi="方正仿宋_GB2312" w:eastAsia="方正仿宋_GB2312" w:cs="方正仿宋_GB2312"/>
          <w:color w:val="000000"/>
          <w:sz w:val="32"/>
          <w:szCs w:val="32"/>
        </w:rPr>
        <w:t>万元，其中：政府采购货物支出</w:t>
      </w:r>
      <w:r>
        <w:rPr>
          <w:rFonts w:hint="eastAsia" w:ascii="方正仿宋_GB2312" w:hAnsi="方正仿宋_GB2312" w:eastAsia="方正仿宋_GB2312" w:cs="方正仿宋_GB2312"/>
          <w:color w:val="000000"/>
          <w:kern w:val="2"/>
          <w:sz w:val="32"/>
          <w:szCs w:val="32"/>
          <w:lang w:val="en-US" w:eastAsia="zh-CN" w:bidi="ar-SA"/>
        </w:rPr>
        <w:t>9.56</w:t>
      </w:r>
      <w:r>
        <w:rPr>
          <w:rFonts w:hint="eastAsia" w:ascii="方正仿宋_GB2312" w:hAnsi="方正仿宋_GB2312" w:eastAsia="方正仿宋_GB2312" w:cs="方正仿宋_GB2312"/>
          <w:color w:val="000000"/>
          <w:sz w:val="32"/>
          <w:szCs w:val="32"/>
        </w:rPr>
        <w:t>万元、政府采购工程支出</w:t>
      </w:r>
      <w:r>
        <w:rPr>
          <w:rFonts w:hint="eastAsia" w:ascii="方正仿宋_GB2312" w:hAnsi="方正仿宋_GB2312" w:eastAsia="方正仿宋_GB2312" w:cs="方正仿宋_GB2312"/>
          <w:color w:val="000000"/>
          <w:kern w:val="2"/>
          <w:sz w:val="32"/>
          <w:szCs w:val="32"/>
          <w:lang w:val="en-US" w:eastAsia="zh-CN" w:bidi="ar-SA"/>
        </w:rPr>
        <w:t>7.47</w:t>
      </w:r>
      <w:r>
        <w:rPr>
          <w:rFonts w:hint="eastAsia" w:ascii="方正仿宋_GB2312" w:hAnsi="方正仿宋_GB2312" w:eastAsia="方正仿宋_GB2312" w:cs="方正仿宋_GB2312"/>
          <w:color w:val="000000"/>
          <w:sz w:val="32"/>
          <w:szCs w:val="32"/>
        </w:rPr>
        <w:t>万元，主要用于养老机构适老化改造。授予中小企业合同金额</w:t>
      </w:r>
      <w:r>
        <w:rPr>
          <w:rFonts w:hint="eastAsia" w:ascii="方正仿宋_GB2312" w:hAnsi="方正仿宋_GB2312" w:eastAsia="方正仿宋_GB2312" w:cs="方正仿宋_GB2312"/>
          <w:color w:val="000000"/>
          <w:kern w:val="2"/>
          <w:sz w:val="32"/>
          <w:szCs w:val="32"/>
          <w:lang w:val="en-US" w:eastAsia="zh-CN" w:bidi="ar-SA"/>
        </w:rPr>
        <w:t>9.56</w:t>
      </w:r>
      <w:r>
        <w:rPr>
          <w:rFonts w:hint="eastAsia" w:ascii="方正仿宋_GB2312" w:hAnsi="方正仿宋_GB2312" w:eastAsia="方正仿宋_GB2312" w:cs="方正仿宋_GB2312"/>
          <w:color w:val="000000"/>
          <w:sz w:val="32"/>
          <w:szCs w:val="32"/>
        </w:rPr>
        <w:t>万元，占政府采购支出总额的</w:t>
      </w:r>
      <w:r>
        <w:rPr>
          <w:rFonts w:hint="eastAsia" w:ascii="方正仿宋_GB2312" w:hAnsi="方正仿宋_GB2312" w:eastAsia="方正仿宋_GB2312" w:cs="方正仿宋_GB2312"/>
          <w:color w:val="000000"/>
          <w:sz w:val="32"/>
          <w:szCs w:val="32"/>
          <w:lang w:val="en-US" w:eastAsia="zh-CN"/>
        </w:rPr>
        <w:t>55.26</w:t>
      </w:r>
      <w:r>
        <w:rPr>
          <w:rFonts w:hint="eastAsia" w:ascii="方正仿宋_GB2312" w:hAnsi="方正仿宋_GB2312" w:eastAsia="方正仿宋_GB2312" w:cs="方正仿宋_GB2312"/>
          <w:color w:val="000000"/>
          <w:sz w:val="32"/>
          <w:szCs w:val="32"/>
        </w:rPr>
        <w:t>%。</w:t>
      </w:r>
    </w:p>
    <w:p>
      <w:pPr>
        <w:pStyle w:val="10"/>
        <w:keepNext w:val="0"/>
        <w:keepLines w:val="0"/>
        <w:pageBreakBefore w:val="0"/>
        <w:numPr>
          <w:ilvl w:val="0"/>
          <w:numId w:val="0"/>
        </w:numPr>
        <w:kinsoku/>
        <w:wordWrap/>
        <w:overflowPunct/>
        <w:topLinePunct w:val="0"/>
        <w:autoSpaceDE w:val="0"/>
        <w:autoSpaceDN w:val="0"/>
        <w:bidi w:val="0"/>
        <w:adjustRightInd/>
        <w:snapToGrid/>
        <w:spacing w:beforeLines="0" w:afterLines="0" w:line="560" w:lineRule="exact"/>
        <w:ind w:firstLine="643" w:firstLineChars="200"/>
        <w:jc w:val="left"/>
        <w:textAlignment w:val="auto"/>
        <w:outlineLvl w:val="2"/>
        <w:rPr>
          <w:rFonts w:hint="eastAsia" w:ascii="方正仿宋_GB2312" w:hAnsi="方正仿宋_GB2312" w:eastAsia="方正仿宋_GB2312" w:cs="方正仿宋_GB2312"/>
          <w:b/>
          <w:color w:val="000000"/>
          <w:sz w:val="32"/>
          <w:szCs w:val="32"/>
        </w:rPr>
      </w:pPr>
      <w:bookmarkStart w:id="51" w:name="_Toc15377224"/>
      <w:r>
        <w:rPr>
          <w:rFonts w:hint="eastAsia" w:ascii="方正仿宋_GB2312" w:hAnsi="方正仿宋_GB2312" w:eastAsia="方正仿宋_GB2312" w:cs="方正仿宋_GB2312"/>
          <w:b/>
          <w:color w:val="000000"/>
          <w:sz w:val="32"/>
          <w:szCs w:val="32"/>
        </w:rPr>
        <w:t>（三）国有资产占有使用情况</w:t>
      </w:r>
      <w:bookmarkEnd w:id="51"/>
    </w:p>
    <w:p>
      <w:pPr>
        <w:pStyle w:val="10"/>
        <w:keepNext w:val="0"/>
        <w:keepLines w:val="0"/>
        <w:pageBreakBefore w:val="0"/>
        <w:kinsoku/>
        <w:wordWrap/>
        <w:overflowPunct/>
        <w:topLinePunct w:val="0"/>
        <w:autoSpaceDE w:val="0"/>
        <w:autoSpaceDN w:val="0"/>
        <w:bidi w:val="0"/>
        <w:adjustRightInd/>
        <w:snapToGrid/>
        <w:spacing w:beforeLines="0" w:afterLines="0" w:line="560" w:lineRule="exact"/>
        <w:ind w:firstLine="640" w:firstLineChars="200"/>
        <w:jc w:val="left"/>
        <w:textAlignment w:val="auto"/>
        <w:rPr>
          <w:rFonts w:hint="eastAsia" w:ascii="方正仿宋_GB2312" w:hAnsi="方正仿宋_GB2312" w:eastAsia="方正仿宋_GB2312" w:cs="方正仿宋_GB2312"/>
          <w:b/>
          <w:color w:val="FF0000"/>
          <w:sz w:val="32"/>
          <w:szCs w:val="32"/>
        </w:rPr>
      </w:pPr>
      <w:r>
        <w:rPr>
          <w:rFonts w:hint="eastAsia" w:ascii="方正仿宋_GB2312" w:hAnsi="方正仿宋_GB2312" w:eastAsia="方正仿宋_GB2312" w:cs="方正仿宋_GB2312"/>
          <w:color w:val="000000"/>
          <w:sz w:val="32"/>
          <w:szCs w:val="32"/>
        </w:rPr>
        <w:t>截至20</w:t>
      </w:r>
      <w:r>
        <w:rPr>
          <w:rFonts w:hint="eastAsia" w:ascii="方正仿宋_GB2312" w:hAnsi="方正仿宋_GB2312" w:eastAsia="方正仿宋_GB2312" w:cs="方正仿宋_GB2312"/>
          <w:color w:val="000000"/>
          <w:kern w:val="2"/>
          <w:sz w:val="32"/>
          <w:szCs w:val="32"/>
          <w:lang w:val="en-US" w:eastAsia="zh-CN" w:bidi="ar-SA"/>
        </w:rPr>
        <w:t>20</w:t>
      </w:r>
      <w:r>
        <w:rPr>
          <w:rFonts w:hint="eastAsia" w:ascii="方正仿宋_GB2312" w:hAnsi="方正仿宋_GB2312" w:eastAsia="方正仿宋_GB2312" w:cs="方正仿宋_GB2312"/>
          <w:color w:val="000000"/>
          <w:sz w:val="32"/>
          <w:szCs w:val="32"/>
        </w:rPr>
        <w:t>年12月31日，嘉州福社会利院共有捐赠（皮卡车）1辆院内业务用车，其中：</w:t>
      </w:r>
      <w:r>
        <w:rPr>
          <w:rFonts w:hint="eastAsia" w:ascii="方正仿宋_GB2312" w:hAnsi="方正仿宋_GB2312" w:eastAsia="方正仿宋_GB2312" w:cs="方正仿宋_GB2312"/>
          <w:color w:val="000000" w:themeColor="text1"/>
          <w:sz w:val="32"/>
          <w:szCs w:val="32"/>
          <w14:textFill>
            <w14:solidFill>
              <w14:schemeClr w14:val="tx1"/>
            </w14:solidFill>
          </w14:textFill>
        </w:rPr>
        <w:t>单价50万元以上通用设备0台（套），单价100</w:t>
      </w:r>
      <w:r>
        <w:rPr>
          <w:rFonts w:hint="eastAsia" w:ascii="方正仿宋_GB2312" w:hAnsi="方正仿宋_GB2312" w:eastAsia="方正仿宋_GB2312" w:cs="方正仿宋_GB2312"/>
          <w:color w:val="000000"/>
          <w:sz w:val="32"/>
          <w:szCs w:val="32"/>
        </w:rPr>
        <w:t>万元以上专用设备0台（套）。</w:t>
      </w:r>
    </w:p>
    <w:p>
      <w:pPr>
        <w:pStyle w:val="10"/>
        <w:keepNext w:val="0"/>
        <w:keepLines w:val="0"/>
        <w:pageBreakBefore w:val="0"/>
        <w:numPr>
          <w:ilvl w:val="0"/>
          <w:numId w:val="0"/>
        </w:numPr>
        <w:kinsoku/>
        <w:wordWrap/>
        <w:overflowPunct/>
        <w:topLinePunct w:val="0"/>
        <w:autoSpaceDE w:val="0"/>
        <w:autoSpaceDN w:val="0"/>
        <w:bidi w:val="0"/>
        <w:adjustRightInd/>
        <w:snapToGrid/>
        <w:spacing w:beforeLines="0" w:afterLines="0" w:line="560" w:lineRule="exact"/>
        <w:ind w:firstLine="643" w:firstLineChars="200"/>
        <w:jc w:val="left"/>
        <w:textAlignment w:val="auto"/>
        <w:outlineLvl w:val="2"/>
        <w:rPr>
          <w:rFonts w:hint="eastAsia" w:ascii="方正仿宋_GB2312" w:hAnsi="方正仿宋_GB2312" w:eastAsia="方正仿宋_GB2312" w:cs="方正仿宋_GB2312"/>
          <w:b/>
          <w:color w:val="000000"/>
          <w:sz w:val="32"/>
          <w:szCs w:val="32"/>
        </w:rPr>
      </w:pPr>
      <w:r>
        <w:rPr>
          <w:rFonts w:hint="eastAsia" w:ascii="方正仿宋_GB2312" w:hAnsi="方正仿宋_GB2312" w:eastAsia="方正仿宋_GB2312" w:cs="方正仿宋_GB2312"/>
          <w:b/>
          <w:color w:val="000000"/>
          <w:sz w:val="32"/>
          <w:szCs w:val="32"/>
        </w:rPr>
        <w:t>（四）预算绩效管理情况。</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预算绩效管理要求，本部门（单位）在年初预算编制阶段，组织对聘用人员劳务费、特困人员护理费等5项目开展了预算事前绩效评估，对5个项目编制了绩效目标，预算执行过程中，选取5个项目开展绩效监控，年终执行完毕后，对5个项目开展了绩效目标完成梳理填报。</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部门按要求对2020年部门整体支出开展绩效自评，从评价情况来看部门支出绩效进一步的提高，通过绩效评价工作的开展，有力地推动了单位加强项目科学规划提升了单位项目的管理水平圆满完成了年度绩效目标，本部门未组织开展项目支出绩效评价。</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1.项目绩效目标完成情况。</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本部门在2020年度部门决算中反映“聘用人员劳务费””特困人员救济费”“特困人员护理费”“基本运营补贴”等4个项目绩效目标实际完成情况。</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（1）聘用人员劳务费项目绩效目标完成情况综述。项目全年预算数</w:t>
      </w:r>
      <w:r>
        <w:rPr>
          <w:rFonts w:hint="eastAsia" w:ascii="方正仿宋_GB2312" w:hAnsi="方正仿宋_GB2312" w:eastAsia="方正仿宋_GB2312" w:cs="方正仿宋_GB2312"/>
          <w:color w:val="auto"/>
          <w:kern w:val="2"/>
          <w:sz w:val="32"/>
          <w:szCs w:val="32"/>
          <w:lang w:val="en-US" w:eastAsia="zh-CN" w:bidi="ar-SA"/>
        </w:rPr>
        <w:t>94.41</w:t>
      </w:r>
      <w:r>
        <w:rPr>
          <w:rFonts w:hint="eastAsia" w:ascii="方正仿宋_GB2312" w:hAnsi="方正仿宋_GB2312" w:eastAsia="方正仿宋_GB2312" w:cs="方正仿宋_GB2312"/>
          <w:sz w:val="32"/>
          <w:szCs w:val="32"/>
        </w:rPr>
        <w:t>万元，执行数为</w:t>
      </w:r>
      <w:r>
        <w:rPr>
          <w:rFonts w:hint="eastAsia" w:ascii="方正仿宋_GB2312" w:hAnsi="方正仿宋_GB2312" w:eastAsia="方正仿宋_GB2312" w:cs="方正仿宋_GB2312"/>
          <w:color w:val="auto"/>
          <w:kern w:val="2"/>
          <w:sz w:val="32"/>
          <w:szCs w:val="32"/>
          <w:lang w:val="en-US" w:eastAsia="zh-CN" w:bidi="ar-SA"/>
        </w:rPr>
        <w:t>74.14</w:t>
      </w:r>
      <w:r>
        <w:rPr>
          <w:rFonts w:hint="eastAsia" w:ascii="方正仿宋_GB2312" w:hAnsi="方正仿宋_GB2312" w:eastAsia="方正仿宋_GB2312" w:cs="方正仿宋_GB2312"/>
          <w:sz w:val="32"/>
          <w:szCs w:val="32"/>
        </w:rPr>
        <w:t>万元（按政府相关要求，聘用护理人员每月基本工资和保险（养老保险、医疗保险、失业险）从就业局公岗资金列支；基本工资0.3绩效和保险（生育、工伤）从单位年初财政预算内列支），完成预算的</w:t>
      </w:r>
      <w:r>
        <w:rPr>
          <w:rFonts w:hint="eastAsia" w:ascii="方正仿宋_GB2312" w:hAnsi="方正仿宋_GB2312" w:eastAsia="方正仿宋_GB2312" w:cs="方正仿宋_GB2312"/>
          <w:color w:val="auto"/>
          <w:kern w:val="2"/>
          <w:sz w:val="32"/>
          <w:szCs w:val="32"/>
          <w:lang w:val="en-US" w:eastAsia="zh-CN" w:bidi="ar-SA"/>
        </w:rPr>
        <w:t>78.53</w:t>
      </w:r>
      <w:r>
        <w:rPr>
          <w:rFonts w:hint="eastAsia" w:ascii="方正仿宋_GB2312" w:hAnsi="方正仿宋_GB2312" w:eastAsia="方正仿宋_GB2312" w:cs="方正仿宋_GB2312"/>
          <w:sz w:val="32"/>
          <w:szCs w:val="32"/>
        </w:rPr>
        <w:t>%。通过项目实施，保证聘用人员的工资和五险绩效按月足额发放，推动了养老护理工作的开展。</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fill="FFFFFF"/>
        </w:rPr>
      </w:pPr>
      <w:r>
        <w:rPr>
          <w:rFonts w:hint="eastAsia" w:ascii="方正仿宋_GB2312" w:hAnsi="方正仿宋_GB2312" w:eastAsia="方正仿宋_GB2312" w:cs="方正仿宋_GB2312"/>
          <w:color w:val="000000"/>
          <w:kern w:val="0"/>
          <w:sz w:val="32"/>
          <w:szCs w:val="32"/>
          <w:shd w:val="clear" w:fill="FFFFFF"/>
        </w:rPr>
        <w:t>2、特困人员救助供养金绩效目标完成情况综述。项目全年预算数为</w:t>
      </w:r>
      <w:r>
        <w:rPr>
          <w:rFonts w:hint="eastAsia" w:ascii="方正仿宋_GB2312" w:hAnsi="方正仿宋_GB2312" w:eastAsia="方正仿宋_GB2312" w:cs="方正仿宋_GB2312"/>
          <w:color w:val="000000"/>
          <w:kern w:val="0"/>
          <w:sz w:val="32"/>
          <w:szCs w:val="32"/>
          <w:shd w:val="clear" w:fill="FFFFFF"/>
          <w:lang w:val="en-US" w:eastAsia="zh-CN" w:bidi="ar-SA"/>
        </w:rPr>
        <w:t>113.28</w:t>
      </w:r>
      <w:r>
        <w:rPr>
          <w:rFonts w:hint="eastAsia" w:ascii="方正仿宋_GB2312" w:hAnsi="方正仿宋_GB2312" w:eastAsia="方正仿宋_GB2312" w:cs="方正仿宋_GB2312"/>
          <w:color w:val="000000"/>
          <w:kern w:val="0"/>
          <w:sz w:val="32"/>
          <w:szCs w:val="32"/>
          <w:shd w:val="clear" w:fill="FFFFFF"/>
        </w:rPr>
        <w:t>万元，执行数为</w:t>
      </w:r>
      <w:r>
        <w:rPr>
          <w:rFonts w:hint="eastAsia" w:ascii="方正仿宋_GB2312" w:hAnsi="方正仿宋_GB2312" w:eastAsia="方正仿宋_GB2312" w:cs="方正仿宋_GB2312"/>
          <w:color w:val="000000"/>
          <w:kern w:val="0"/>
          <w:sz w:val="32"/>
          <w:szCs w:val="32"/>
          <w:shd w:val="clear" w:fill="FFFFFF"/>
          <w:lang w:val="en-US" w:eastAsia="zh-CN" w:bidi="ar-SA"/>
        </w:rPr>
        <w:t>110.10</w:t>
      </w:r>
      <w:r>
        <w:rPr>
          <w:rFonts w:hint="eastAsia" w:ascii="方正仿宋_GB2312" w:hAnsi="方正仿宋_GB2312" w:eastAsia="方正仿宋_GB2312" w:cs="方正仿宋_GB2312"/>
          <w:color w:val="000000"/>
          <w:kern w:val="0"/>
          <w:sz w:val="32"/>
          <w:szCs w:val="32"/>
          <w:shd w:val="clear" w:fill="FFFFFF"/>
        </w:rPr>
        <w:t>万元（新增了临时物价补贴和城市三无人员生活费），完成年初预算97.20%。通过项目实施，使入住的特困人员生活得到保障,进一步提高了特困人员的幸福感和满意度。 </w:t>
      </w:r>
      <w:r>
        <w:rPr>
          <w:rFonts w:hint="eastAsia" w:ascii="方正仿宋_GB2312" w:hAnsi="方正仿宋_GB2312" w:eastAsia="方正仿宋_GB2312" w:cs="方正仿宋_GB2312"/>
          <w:color w:val="000000"/>
          <w:kern w:val="0"/>
          <w:sz w:val="32"/>
          <w:szCs w:val="32"/>
          <w:shd w:val="clear" w:fill="FFFFFF"/>
        </w:rPr>
        <w:br w:type="textWrapping"/>
      </w:r>
      <w:r>
        <w:rPr>
          <w:rFonts w:hint="eastAsia" w:ascii="方正仿宋_GB2312" w:hAnsi="方正仿宋_GB2312" w:eastAsia="方正仿宋_GB2312" w:cs="方正仿宋_GB2312"/>
          <w:color w:val="000000"/>
          <w:kern w:val="0"/>
          <w:sz w:val="32"/>
          <w:szCs w:val="32"/>
          <w:shd w:val="clear" w:fill="FFFFFF"/>
        </w:rPr>
        <w:t>　　3、特困人员护理费绩效目标完成情况综述。项目全年预算数为</w:t>
      </w:r>
      <w:r>
        <w:rPr>
          <w:rFonts w:hint="eastAsia" w:ascii="方正仿宋_GB2312" w:hAnsi="方正仿宋_GB2312" w:eastAsia="方正仿宋_GB2312" w:cs="方正仿宋_GB2312"/>
          <w:color w:val="000000"/>
          <w:kern w:val="0"/>
          <w:sz w:val="32"/>
          <w:szCs w:val="32"/>
          <w:shd w:val="clear" w:fill="FFFFFF"/>
          <w:lang w:val="en-US" w:eastAsia="zh-CN" w:bidi="ar-SA"/>
        </w:rPr>
        <w:t>35.52</w:t>
      </w:r>
      <w:r>
        <w:rPr>
          <w:rFonts w:hint="eastAsia" w:ascii="方正仿宋_GB2312" w:hAnsi="方正仿宋_GB2312" w:eastAsia="方正仿宋_GB2312" w:cs="方正仿宋_GB2312"/>
          <w:color w:val="000000"/>
          <w:kern w:val="0"/>
          <w:sz w:val="32"/>
          <w:szCs w:val="32"/>
          <w:shd w:val="clear" w:fill="FFFFFF"/>
        </w:rPr>
        <w:t>万元，执行数为23.50万元，完成年初预算66.16%。通过项目实施，保障了特困老人护理要求，达到精心护理，切实维护了特困老人的合法利益。　　</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fill="FFFFFF"/>
        </w:rPr>
      </w:pPr>
      <w:r>
        <w:rPr>
          <w:rFonts w:hint="eastAsia" w:ascii="方正仿宋_GB2312" w:hAnsi="方正仿宋_GB2312" w:eastAsia="方正仿宋_GB2312" w:cs="方正仿宋_GB2312"/>
          <w:color w:val="000000"/>
          <w:kern w:val="0"/>
          <w:sz w:val="32"/>
          <w:szCs w:val="32"/>
          <w:shd w:val="clear" w:fill="FFFFFF"/>
        </w:rPr>
        <w:t>4、基础运转绩效目标完成情况综述。项目全年预算数为8万元，执行数为</w:t>
      </w:r>
      <w:r>
        <w:rPr>
          <w:rFonts w:hint="eastAsia" w:ascii="方正仿宋_GB2312" w:hAnsi="方正仿宋_GB2312" w:eastAsia="方正仿宋_GB2312" w:cs="方正仿宋_GB2312"/>
          <w:color w:val="000000"/>
          <w:kern w:val="0"/>
          <w:sz w:val="32"/>
          <w:szCs w:val="32"/>
          <w:shd w:val="clear" w:fill="FFFFFF"/>
          <w:lang w:val="en-US" w:eastAsia="zh-CN" w:bidi="ar-SA"/>
        </w:rPr>
        <w:t>8</w:t>
      </w:r>
      <w:r>
        <w:rPr>
          <w:rFonts w:hint="eastAsia" w:ascii="方正仿宋_GB2312" w:hAnsi="方正仿宋_GB2312" w:eastAsia="方正仿宋_GB2312" w:cs="方正仿宋_GB2312"/>
          <w:color w:val="000000"/>
          <w:kern w:val="0"/>
          <w:sz w:val="32"/>
          <w:szCs w:val="32"/>
          <w:shd w:val="clear" w:fill="FFFFFF"/>
        </w:rPr>
        <w:t>万元（按实际入住人员申请资金），完成年初预算</w:t>
      </w:r>
      <w:r>
        <w:rPr>
          <w:rFonts w:hint="eastAsia" w:ascii="方正仿宋_GB2312" w:hAnsi="方正仿宋_GB2312" w:eastAsia="方正仿宋_GB2312" w:cs="方正仿宋_GB2312"/>
          <w:color w:val="000000"/>
          <w:kern w:val="0"/>
          <w:sz w:val="32"/>
          <w:szCs w:val="32"/>
          <w:shd w:val="clear" w:fill="FFFFFF"/>
          <w:lang w:val="en-US" w:eastAsia="zh-CN" w:bidi="ar-SA"/>
        </w:rPr>
        <w:t>100</w:t>
      </w:r>
      <w:r>
        <w:rPr>
          <w:rFonts w:hint="eastAsia" w:ascii="方正仿宋_GB2312" w:hAnsi="方正仿宋_GB2312" w:eastAsia="方正仿宋_GB2312" w:cs="方正仿宋_GB2312"/>
          <w:color w:val="000000"/>
          <w:kern w:val="0"/>
          <w:sz w:val="32"/>
          <w:szCs w:val="32"/>
          <w:shd w:val="clear" w:fill="FFFFFF"/>
        </w:rPr>
        <w:t>%。通过项目实施，保障了院内正常运转。</w:t>
      </w: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fill="FFFFFF"/>
        </w:rPr>
      </w:pPr>
    </w:p>
    <w:p>
      <w:pPr>
        <w:pStyle w:val="10"/>
        <w:keepNext w:val="0"/>
        <w:keepLines w:val="0"/>
        <w:pageBreakBefore w:val="0"/>
        <w:kinsoku/>
        <w:wordWrap/>
        <w:overflowPunct/>
        <w:topLinePunct w:val="0"/>
        <w:bidi w:val="0"/>
        <w:adjustRightInd/>
        <w:snapToGrid/>
        <w:spacing w:beforeLines="0" w:afterLines="0" w:line="560" w:lineRule="exact"/>
        <w:ind w:firstLine="640" w:firstLineChars="200"/>
        <w:textAlignment w:val="auto"/>
        <w:rPr>
          <w:rFonts w:hint="eastAsia" w:ascii="方正仿宋_GB2312" w:hAnsi="方正仿宋_GB2312" w:eastAsia="方正仿宋_GB2312" w:cs="方正仿宋_GB2312"/>
          <w:color w:val="000000"/>
          <w:kern w:val="0"/>
          <w:sz w:val="32"/>
          <w:szCs w:val="32"/>
          <w:shd w:val="clear" w:fill="FFFFFF"/>
        </w:rPr>
      </w:pPr>
    </w:p>
    <w:tbl>
      <w:tblPr>
        <w:tblStyle w:val="4"/>
        <w:tblpPr w:leftFromText="180" w:rightFromText="180" w:vertAnchor="text" w:horzAnchor="page" w:tblpXSpec="center" w:tblpY="423"/>
        <w:tblW w:w="9959" w:type="dxa"/>
        <w:jc w:val="center"/>
        <w:tblLayout w:type="fixed"/>
        <w:tblCellMar>
          <w:top w:w="15" w:type="dxa"/>
          <w:left w:w="15" w:type="dxa"/>
          <w:bottom w:w="0" w:type="dxa"/>
          <w:right w:w="15" w:type="dxa"/>
        </w:tblCellMar>
      </w:tblPr>
      <w:tblGrid>
        <w:gridCol w:w="724"/>
        <w:gridCol w:w="1027"/>
        <w:gridCol w:w="1025"/>
        <w:gridCol w:w="2398"/>
        <w:gridCol w:w="2393"/>
        <w:gridCol w:w="2392"/>
      </w:tblGrid>
      <w:tr>
        <w:tblPrEx>
          <w:tblCellMar>
            <w:top w:w="15" w:type="dxa"/>
            <w:left w:w="15" w:type="dxa"/>
            <w:bottom w:w="0" w:type="dxa"/>
            <w:right w:w="15" w:type="dxa"/>
          </w:tblCellMar>
        </w:tblPrEx>
        <w:trPr>
          <w:trHeight w:val="1034" w:hRule="atLeast"/>
          <w:jc w:val="center"/>
        </w:trPr>
        <w:tc>
          <w:tcPr>
            <w:tcW w:w="9959" w:type="dxa"/>
            <w:gridSpan w:val="6"/>
            <w:vAlign w:val="center"/>
          </w:tcPr>
          <w:p>
            <w:pPr>
              <w:pStyle w:val="10"/>
              <w:widowControl w:val="0"/>
              <w:jc w:val="center"/>
              <w:textAlignment w:val="center"/>
              <w:rPr>
                <w:rFonts w:hint="eastAsia" w:ascii="方正仿宋_GB2312" w:hAnsi="方正仿宋_GB2312" w:eastAsia="方正仿宋_GB2312" w:cs="方正仿宋_GB2312"/>
                <w:color w:val="000000"/>
                <w:sz w:val="36"/>
                <w:szCs w:val="36"/>
              </w:rPr>
            </w:pPr>
            <w:r>
              <w:rPr>
                <w:rFonts w:hint="eastAsia" w:ascii="方正仿宋_GB2312" w:hAnsi="方正仿宋_GB2312" w:eastAsia="方正仿宋_GB2312" w:cs="方正仿宋_GB2312"/>
                <w:b/>
                <w:bCs/>
                <w:color w:val="000000"/>
                <w:kern w:val="0"/>
                <w:sz w:val="36"/>
                <w:szCs w:val="36"/>
              </w:rPr>
              <w:t>项目绩效目标完成情况表</w:t>
            </w:r>
            <w:r>
              <w:rPr>
                <w:rFonts w:hint="eastAsia" w:ascii="方正仿宋_GB2312" w:hAnsi="方正仿宋_GB2312" w:eastAsia="方正仿宋_GB2312" w:cs="方正仿宋_GB2312"/>
                <w:b/>
                <w:bCs/>
                <w:color w:val="000000"/>
                <w:kern w:val="0"/>
                <w:sz w:val="36"/>
                <w:szCs w:val="36"/>
              </w:rPr>
              <w:br w:type="textWrapping"/>
            </w:r>
            <w:r>
              <w:rPr>
                <w:rFonts w:hint="eastAsia" w:ascii="方正仿宋_GB2312" w:hAnsi="方正仿宋_GB2312" w:eastAsia="方正仿宋_GB2312" w:cs="方正仿宋_GB2312"/>
                <w:color w:val="000000"/>
                <w:kern w:val="0"/>
                <w:sz w:val="36"/>
                <w:szCs w:val="36"/>
              </w:rPr>
              <w:t>(</w:t>
            </w:r>
            <w:r>
              <w:rPr>
                <w:rFonts w:hint="eastAsia" w:ascii="方正仿宋_GB2312" w:hAnsi="方正仿宋_GB2312" w:eastAsia="方正仿宋_GB2312" w:cs="方正仿宋_GB2312"/>
                <w:color w:val="000000"/>
                <w:kern w:val="0"/>
                <w:sz w:val="36"/>
                <w:szCs w:val="36"/>
                <w:lang w:val="en-US" w:eastAsia="zh-CN" w:bidi="ar-SA"/>
              </w:rPr>
              <w:t>2020</w:t>
            </w:r>
            <w:r>
              <w:rPr>
                <w:rFonts w:hint="eastAsia" w:ascii="方正仿宋_GB2312" w:hAnsi="方正仿宋_GB2312" w:eastAsia="方正仿宋_GB2312" w:cs="方正仿宋_GB2312"/>
                <w:color w:val="000000"/>
                <w:kern w:val="0"/>
                <w:sz w:val="36"/>
                <w:szCs w:val="36"/>
              </w:rPr>
              <w:t>年度)</w:t>
            </w:r>
          </w:p>
        </w:tc>
      </w:tr>
      <w:tr>
        <w:tblPrEx>
          <w:tblCellMar>
            <w:top w:w="15" w:type="dxa"/>
            <w:left w:w="15" w:type="dxa"/>
            <w:bottom w:w="0" w:type="dxa"/>
            <w:right w:w="15" w:type="dxa"/>
          </w:tblCellMar>
        </w:tblPrEx>
        <w:trPr>
          <w:trHeight w:val="276" w:hRule="atLeast"/>
          <w:jc w:val="center"/>
        </w:trPr>
        <w:tc>
          <w:tcPr>
            <w:tcW w:w="2776"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项目名称</w:t>
            </w:r>
          </w:p>
        </w:tc>
        <w:tc>
          <w:tcPr>
            <w:tcW w:w="7183"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聘用人员劳务费</w:t>
            </w:r>
          </w:p>
        </w:tc>
      </w:tr>
      <w:tr>
        <w:tblPrEx>
          <w:tblCellMar>
            <w:top w:w="15" w:type="dxa"/>
            <w:left w:w="15" w:type="dxa"/>
            <w:bottom w:w="0" w:type="dxa"/>
            <w:right w:w="15" w:type="dxa"/>
          </w:tblCellMar>
        </w:tblPrEx>
        <w:trPr>
          <w:trHeight w:val="923" w:hRule="atLeast"/>
          <w:jc w:val="center"/>
        </w:trPr>
        <w:tc>
          <w:tcPr>
            <w:tcW w:w="2776"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预算单位</w:t>
            </w:r>
          </w:p>
        </w:tc>
        <w:tc>
          <w:tcPr>
            <w:tcW w:w="7183"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ind w:firstLine="1920" w:firstLineChars="800"/>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嘉州社会福利院</w:t>
            </w:r>
          </w:p>
        </w:tc>
      </w:tr>
      <w:tr>
        <w:tblPrEx>
          <w:tblCellMar>
            <w:top w:w="15" w:type="dxa"/>
            <w:left w:w="15" w:type="dxa"/>
            <w:bottom w:w="0" w:type="dxa"/>
            <w:right w:w="15"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2"/>
              </w:rPr>
            </w:pPr>
            <w:r>
              <w:rPr>
                <w:rFonts w:hint="eastAsia" w:ascii="方正仿宋_GB2312" w:hAnsi="方正仿宋_GB2312" w:eastAsia="方正仿宋_GB2312" w:cs="方正仿宋_GB2312"/>
                <w:color w:val="000000"/>
                <w:kern w:val="0"/>
                <w:sz w:val="22"/>
              </w:rPr>
              <w:t>预算执行情况(万元)</w:t>
            </w:r>
          </w:p>
        </w:tc>
        <w:tc>
          <w:tcPr>
            <w:tcW w:w="2052"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预算数:</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94.41</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74.14</w:t>
            </w:r>
          </w:p>
        </w:tc>
      </w:tr>
      <w:tr>
        <w:tblPrEx>
          <w:tblCellMar>
            <w:top w:w="15" w:type="dxa"/>
            <w:left w:w="15" w:type="dxa"/>
            <w:bottom w:w="0" w:type="dxa"/>
            <w:right w:w="15" w:type="dxa"/>
          </w:tblCellMar>
        </w:tblPrEx>
        <w:trPr>
          <w:trHeight w:val="276"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2"/>
              </w:rPr>
            </w:pPr>
          </w:p>
        </w:tc>
        <w:tc>
          <w:tcPr>
            <w:tcW w:w="2052"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94.41</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74.14</w:t>
            </w:r>
          </w:p>
        </w:tc>
      </w:tr>
      <w:tr>
        <w:tblPrEx>
          <w:tblCellMar>
            <w:top w:w="15" w:type="dxa"/>
            <w:left w:w="15" w:type="dxa"/>
            <w:bottom w:w="0" w:type="dxa"/>
            <w:right w:w="15" w:type="dxa"/>
          </w:tblCellMar>
        </w:tblPrEx>
        <w:trPr>
          <w:trHeight w:val="415"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2"/>
              </w:rPr>
            </w:pPr>
          </w:p>
        </w:tc>
        <w:tc>
          <w:tcPr>
            <w:tcW w:w="2052"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276" w:hRule="atLeast"/>
          <w:jc w:val="center"/>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2"/>
              </w:rPr>
            </w:pPr>
            <w:r>
              <w:rPr>
                <w:rFonts w:hint="eastAsia" w:ascii="方正仿宋_GB2312" w:hAnsi="方正仿宋_GB2312" w:eastAsia="方正仿宋_GB2312" w:cs="方正仿宋_GB2312"/>
                <w:color w:val="000000"/>
                <w:kern w:val="0"/>
                <w:sz w:val="22"/>
              </w:rPr>
              <w:t>年度目标完成情况</w:t>
            </w:r>
          </w:p>
        </w:tc>
        <w:tc>
          <w:tcPr>
            <w:tcW w:w="445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预期目标</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实际完成目标</w:t>
            </w:r>
          </w:p>
        </w:tc>
      </w:tr>
      <w:tr>
        <w:tblPrEx>
          <w:tblCellMar>
            <w:top w:w="15" w:type="dxa"/>
            <w:left w:w="15" w:type="dxa"/>
            <w:bottom w:w="0" w:type="dxa"/>
            <w:right w:w="15" w:type="dxa"/>
          </w:tblCellMar>
        </w:tblPrEx>
        <w:trPr>
          <w:trHeight w:val="780" w:hRule="atLeast"/>
          <w:jc w:val="center"/>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2"/>
              </w:rPr>
            </w:pPr>
          </w:p>
        </w:tc>
        <w:tc>
          <w:tcPr>
            <w:tcW w:w="445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保障聘用人员21人最低工资五险0.3绩效</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保障聘用人员21人2险0.3绩效</w:t>
            </w:r>
          </w:p>
        </w:tc>
      </w:tr>
      <w:tr>
        <w:tblPrEx>
          <w:tblCellMar>
            <w:top w:w="15" w:type="dxa"/>
            <w:left w:w="15" w:type="dxa"/>
            <w:bottom w:w="0" w:type="dxa"/>
            <w:right w:w="15" w:type="dxa"/>
          </w:tblCellMar>
        </w:tblPrEx>
        <w:trPr>
          <w:trHeight w:val="551" w:hRule="atLeast"/>
          <w:jc w:val="center"/>
        </w:trPr>
        <w:tc>
          <w:tcPr>
            <w:tcW w:w="724" w:type="dxa"/>
            <w:vMerge w:val="restart"/>
            <w:tcBorders>
              <w:top w:val="single" w:color="000000" w:sz="4" w:space="0"/>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2"/>
              </w:rPr>
            </w:pPr>
            <w:r>
              <w:rPr>
                <w:rFonts w:hint="eastAsia" w:ascii="方正仿宋_GB2312" w:hAnsi="方正仿宋_GB2312" w:eastAsia="方正仿宋_GB2312" w:cs="方正仿宋_GB2312"/>
                <w:color w:val="000000"/>
                <w:sz w:val="22"/>
              </w:rPr>
              <w:t>绩效指标完成情况</w:t>
            </w: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二级指标</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三级指标</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实际完成指标值(包含数字及文字描述)</w:t>
            </w:r>
          </w:p>
        </w:tc>
      </w:tr>
      <w:tr>
        <w:tblPrEx>
          <w:tblCellMar>
            <w:top w:w="15" w:type="dxa"/>
            <w:left w:w="15" w:type="dxa"/>
            <w:bottom w:w="0" w:type="dxa"/>
            <w:right w:w="15" w:type="dxa"/>
          </w:tblCellMar>
        </w:tblPrEx>
        <w:trPr>
          <w:trHeight w:val="603" w:hRule="atLeast"/>
          <w:jc w:val="center"/>
        </w:trPr>
        <w:tc>
          <w:tcPr>
            <w:tcW w:w="724"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数量指标</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发放聘用人员人数</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按实际需要聘用人数确定</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2020年聘用21人</w:t>
            </w:r>
          </w:p>
        </w:tc>
      </w:tr>
      <w:tr>
        <w:tblPrEx>
          <w:tblCellMar>
            <w:top w:w="15" w:type="dxa"/>
            <w:left w:w="15" w:type="dxa"/>
            <w:bottom w:w="0" w:type="dxa"/>
            <w:right w:w="15" w:type="dxa"/>
          </w:tblCellMar>
        </w:tblPrEx>
        <w:trPr>
          <w:trHeight w:val="796" w:hRule="atLeast"/>
          <w:jc w:val="center"/>
        </w:trPr>
        <w:tc>
          <w:tcPr>
            <w:tcW w:w="724"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时效指标</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项目完成时点及资金支付进度</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每月底转劳务派遣公司次月5号前通过商行直发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每月底转劳务派遣公司次月5号前通过商行直发</w:t>
            </w:r>
          </w:p>
        </w:tc>
      </w:tr>
      <w:tr>
        <w:tblPrEx>
          <w:tblCellMar>
            <w:top w:w="15" w:type="dxa"/>
            <w:left w:w="15" w:type="dxa"/>
            <w:bottom w:w="0" w:type="dxa"/>
            <w:right w:w="15" w:type="dxa"/>
          </w:tblCellMar>
        </w:tblPrEx>
        <w:trPr>
          <w:trHeight w:val="684" w:hRule="atLeast"/>
          <w:jc w:val="center"/>
        </w:trPr>
        <w:tc>
          <w:tcPr>
            <w:tcW w:w="724"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680" w:hRule="atLeast"/>
          <w:jc w:val="center"/>
        </w:trPr>
        <w:tc>
          <w:tcPr>
            <w:tcW w:w="724"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678" w:hRule="atLeast"/>
          <w:jc w:val="center"/>
        </w:trPr>
        <w:tc>
          <w:tcPr>
            <w:tcW w:w="724"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556" w:hRule="atLeast"/>
          <w:jc w:val="center"/>
        </w:trPr>
        <w:tc>
          <w:tcPr>
            <w:tcW w:w="724"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社会效益</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保障聘用人员资金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年度内完成</w:t>
            </w:r>
          </w:p>
        </w:tc>
      </w:tr>
      <w:tr>
        <w:tblPrEx>
          <w:tblCellMar>
            <w:top w:w="15" w:type="dxa"/>
            <w:left w:w="15" w:type="dxa"/>
            <w:bottom w:w="0" w:type="dxa"/>
            <w:right w:w="15" w:type="dxa"/>
          </w:tblCellMar>
        </w:tblPrEx>
        <w:trPr>
          <w:trHeight w:val="692" w:hRule="atLeast"/>
          <w:jc w:val="center"/>
        </w:trPr>
        <w:tc>
          <w:tcPr>
            <w:tcW w:w="724"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1050" w:hRule="atLeast"/>
          <w:jc w:val="center"/>
        </w:trPr>
        <w:tc>
          <w:tcPr>
            <w:tcW w:w="724" w:type="dxa"/>
            <w:vMerge w:val="continue"/>
            <w:tcBorders>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27"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聘用人员满意度</w:t>
            </w:r>
          </w:p>
        </w:tc>
        <w:tc>
          <w:tcPr>
            <w:tcW w:w="2398"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r>
    </w:tbl>
    <w:p>
      <w:pPr>
        <w:pStyle w:val="10"/>
        <w:spacing w:line="580" w:lineRule="exact"/>
        <w:rPr>
          <w:rFonts w:hint="eastAsia" w:ascii="方正仿宋_GB2312" w:hAnsi="方正仿宋_GB2312" w:eastAsia="方正仿宋_GB2312" w:cs="方正仿宋_GB2312"/>
          <w:sz w:val="32"/>
          <w:szCs w:val="32"/>
        </w:rPr>
      </w:pPr>
    </w:p>
    <w:tbl>
      <w:tblPr>
        <w:tblStyle w:val="4"/>
        <w:tblpPr w:leftFromText="180" w:rightFromText="180" w:vertAnchor="text" w:horzAnchor="page" w:tblpXSpec="center" w:tblpY="423"/>
        <w:tblW w:w="10102" w:type="dxa"/>
        <w:jc w:val="center"/>
        <w:tblLayout w:type="fixed"/>
        <w:tblCellMar>
          <w:top w:w="15" w:type="dxa"/>
          <w:left w:w="15" w:type="dxa"/>
          <w:bottom w:w="0" w:type="dxa"/>
          <w:right w:w="15" w:type="dxa"/>
        </w:tblCellMar>
      </w:tblPr>
      <w:tblGrid>
        <w:gridCol w:w="860"/>
        <w:gridCol w:w="891"/>
        <w:gridCol w:w="1031"/>
        <w:gridCol w:w="2010"/>
        <w:gridCol w:w="2781"/>
        <w:gridCol w:w="2529"/>
      </w:tblGrid>
      <w:tr>
        <w:tblPrEx>
          <w:tblCellMar>
            <w:top w:w="15" w:type="dxa"/>
            <w:left w:w="15" w:type="dxa"/>
            <w:bottom w:w="0" w:type="dxa"/>
            <w:right w:w="15" w:type="dxa"/>
          </w:tblCellMar>
        </w:tblPrEx>
        <w:trPr>
          <w:trHeight w:val="1034" w:hRule="atLeast"/>
          <w:jc w:val="center"/>
        </w:trPr>
        <w:tc>
          <w:tcPr>
            <w:tcW w:w="10102" w:type="dxa"/>
            <w:gridSpan w:val="6"/>
            <w:vAlign w:val="center"/>
          </w:tcPr>
          <w:p>
            <w:pPr>
              <w:pStyle w:val="10"/>
              <w:widowControl w:val="0"/>
              <w:jc w:val="center"/>
              <w:textAlignment w:val="center"/>
              <w:rPr>
                <w:rFonts w:hint="eastAsia" w:ascii="方正仿宋_GB2312" w:hAnsi="方正仿宋_GB2312" w:eastAsia="方正仿宋_GB2312" w:cs="方正仿宋_GB2312"/>
                <w:color w:val="000000"/>
                <w:sz w:val="36"/>
                <w:szCs w:val="36"/>
              </w:rPr>
            </w:pPr>
            <w:r>
              <w:rPr>
                <w:rFonts w:hint="eastAsia" w:ascii="方正仿宋_GB2312" w:hAnsi="方正仿宋_GB2312" w:eastAsia="方正仿宋_GB2312" w:cs="方正仿宋_GB2312"/>
                <w:b/>
                <w:bCs/>
                <w:color w:val="000000"/>
                <w:kern w:val="0"/>
                <w:sz w:val="36"/>
                <w:szCs w:val="36"/>
              </w:rPr>
              <w:t>项目绩效目标完成情况表</w:t>
            </w:r>
            <w:r>
              <w:rPr>
                <w:rFonts w:hint="eastAsia" w:ascii="方正仿宋_GB2312" w:hAnsi="方正仿宋_GB2312" w:eastAsia="方正仿宋_GB2312" w:cs="方正仿宋_GB2312"/>
                <w:b/>
                <w:bCs/>
                <w:color w:val="000000"/>
                <w:kern w:val="0"/>
                <w:sz w:val="36"/>
                <w:szCs w:val="36"/>
              </w:rPr>
              <w:br w:type="textWrapping"/>
            </w:r>
            <w:r>
              <w:rPr>
                <w:rFonts w:hint="eastAsia" w:ascii="方正仿宋_GB2312" w:hAnsi="方正仿宋_GB2312" w:eastAsia="方正仿宋_GB2312" w:cs="方正仿宋_GB2312"/>
                <w:color w:val="000000"/>
                <w:kern w:val="0"/>
                <w:sz w:val="36"/>
                <w:szCs w:val="36"/>
              </w:rPr>
              <w:t>(</w:t>
            </w:r>
            <w:r>
              <w:rPr>
                <w:rFonts w:hint="eastAsia" w:ascii="方正仿宋_GB2312" w:hAnsi="方正仿宋_GB2312" w:eastAsia="方正仿宋_GB2312" w:cs="方正仿宋_GB2312"/>
                <w:color w:val="000000"/>
                <w:kern w:val="0"/>
                <w:sz w:val="36"/>
                <w:szCs w:val="36"/>
                <w:lang w:val="en-US" w:eastAsia="zh-CN" w:bidi="ar-SA"/>
              </w:rPr>
              <w:t>2020</w:t>
            </w:r>
            <w:r>
              <w:rPr>
                <w:rFonts w:hint="eastAsia" w:ascii="方正仿宋_GB2312" w:hAnsi="方正仿宋_GB2312" w:eastAsia="方正仿宋_GB2312" w:cs="方正仿宋_GB2312"/>
                <w:color w:val="000000"/>
                <w:kern w:val="0"/>
                <w:sz w:val="36"/>
                <w:szCs w:val="36"/>
              </w:rPr>
              <w:t xml:space="preserve"> 年度)</w:t>
            </w:r>
          </w:p>
        </w:tc>
      </w:tr>
      <w:tr>
        <w:tblPrEx>
          <w:tblCellMar>
            <w:top w:w="15" w:type="dxa"/>
            <w:left w:w="15" w:type="dxa"/>
            <w:bottom w:w="0" w:type="dxa"/>
            <w:right w:w="15"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项目名称</w:t>
            </w:r>
          </w:p>
        </w:tc>
        <w:tc>
          <w:tcPr>
            <w:tcW w:w="732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农村五保生活费</w:t>
            </w:r>
          </w:p>
        </w:tc>
      </w:tr>
      <w:tr>
        <w:tblPrEx>
          <w:tblCellMar>
            <w:top w:w="15" w:type="dxa"/>
            <w:left w:w="15" w:type="dxa"/>
            <w:bottom w:w="0" w:type="dxa"/>
            <w:right w:w="15"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预算单位</w:t>
            </w:r>
          </w:p>
        </w:tc>
        <w:tc>
          <w:tcPr>
            <w:tcW w:w="7320"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嘉州社会福利院</w:t>
            </w:r>
          </w:p>
        </w:tc>
      </w:tr>
      <w:tr>
        <w:tblPrEx>
          <w:tblCellMar>
            <w:top w:w="15" w:type="dxa"/>
            <w:left w:w="15" w:type="dxa"/>
            <w:bottom w:w="0" w:type="dxa"/>
            <w:right w:w="15" w:type="dxa"/>
          </w:tblCellMar>
        </w:tblPrEx>
        <w:trPr>
          <w:trHeight w:val="276" w:hRule="atLeast"/>
          <w:jc w:val="center"/>
        </w:trPr>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预算执行情况(万元)</w:t>
            </w:r>
          </w:p>
        </w:tc>
        <w:tc>
          <w:tcPr>
            <w:tcW w:w="1922"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预算数:</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113.28</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执行数:</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110.10</w:t>
            </w:r>
          </w:p>
        </w:tc>
      </w:tr>
      <w:tr>
        <w:tblPrEx>
          <w:tblCellMar>
            <w:top w:w="15" w:type="dxa"/>
            <w:left w:w="15" w:type="dxa"/>
            <w:bottom w:w="0" w:type="dxa"/>
            <w:right w:w="15" w:type="dxa"/>
          </w:tblCellMar>
        </w:tblPrEx>
        <w:trPr>
          <w:trHeight w:val="276"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1922"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 xml:space="preserve">      113.28</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110.10</w:t>
            </w:r>
          </w:p>
        </w:tc>
      </w:tr>
      <w:tr>
        <w:tblPrEx>
          <w:tblCellMar>
            <w:top w:w="15" w:type="dxa"/>
            <w:left w:w="15" w:type="dxa"/>
            <w:bottom w:w="0" w:type="dxa"/>
            <w:right w:w="15" w:type="dxa"/>
          </w:tblCellMar>
        </w:tblPrEx>
        <w:trPr>
          <w:trHeight w:val="761"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1922"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276" w:hRule="atLeast"/>
          <w:jc w:val="center"/>
        </w:trPr>
        <w:tc>
          <w:tcPr>
            <w:tcW w:w="860"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年度目标完成情况</w:t>
            </w:r>
          </w:p>
        </w:tc>
        <w:tc>
          <w:tcPr>
            <w:tcW w:w="393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预期目标</w:t>
            </w:r>
          </w:p>
        </w:tc>
        <w:tc>
          <w:tcPr>
            <w:tcW w:w="531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实际完成目标</w:t>
            </w:r>
          </w:p>
        </w:tc>
      </w:tr>
      <w:tr>
        <w:tblPrEx>
          <w:tblCellMar>
            <w:top w:w="15" w:type="dxa"/>
            <w:left w:w="15" w:type="dxa"/>
            <w:bottom w:w="0" w:type="dxa"/>
            <w:right w:w="15" w:type="dxa"/>
          </w:tblCellMar>
        </w:tblPrEx>
        <w:trPr>
          <w:trHeight w:val="776" w:hRule="atLeast"/>
          <w:jc w:val="center"/>
        </w:trPr>
        <w:tc>
          <w:tcPr>
            <w:tcW w:w="860"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393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保障集中供养五保老人生活、物资</w:t>
            </w:r>
          </w:p>
        </w:tc>
        <w:tc>
          <w:tcPr>
            <w:tcW w:w="5310"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保障集中供养农村五保城市三无老人生活、物资、零用、水电等需要</w:t>
            </w:r>
          </w:p>
        </w:tc>
      </w:tr>
      <w:tr>
        <w:tblPrEx>
          <w:tblCellMar>
            <w:top w:w="15" w:type="dxa"/>
            <w:left w:w="15" w:type="dxa"/>
            <w:bottom w:w="0" w:type="dxa"/>
            <w:right w:w="15" w:type="dxa"/>
          </w:tblCellMar>
        </w:tblPrEx>
        <w:trPr>
          <w:trHeight w:val="830" w:hRule="atLeast"/>
          <w:jc w:val="center"/>
        </w:trPr>
        <w:tc>
          <w:tcPr>
            <w:tcW w:w="860" w:type="dxa"/>
            <w:vMerge w:val="restart"/>
            <w:tcBorders>
              <w:top w:val="single" w:color="000000" w:sz="4" w:space="0"/>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绩效指标完成情况</w:t>
            </w: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一级指标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二级指标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三级指标</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预期指标值(包含数字及文字描述)</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实际完成指标值(包含数字及文字描述)</w:t>
            </w:r>
          </w:p>
        </w:tc>
      </w:tr>
      <w:tr>
        <w:tblPrEx>
          <w:tblCellMar>
            <w:top w:w="15" w:type="dxa"/>
            <w:left w:w="15" w:type="dxa"/>
            <w:bottom w:w="0" w:type="dxa"/>
            <w:right w:w="15" w:type="dxa"/>
          </w:tblCellMar>
        </w:tblPrEx>
        <w:trPr>
          <w:trHeight w:val="829" w:hRule="atLeast"/>
          <w:jc w:val="center"/>
        </w:trPr>
        <w:tc>
          <w:tcPr>
            <w:tcW w:w="860"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数量指标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救助集中供养特困人员</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救助特困人员175人，保障集中供养老人衣食住行</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实际救助153人，保障集中供养老人衣食住行</w:t>
            </w:r>
          </w:p>
        </w:tc>
      </w:tr>
      <w:tr>
        <w:tblPrEx>
          <w:tblCellMar>
            <w:top w:w="15" w:type="dxa"/>
            <w:left w:w="15" w:type="dxa"/>
            <w:bottom w:w="0" w:type="dxa"/>
            <w:right w:w="15" w:type="dxa"/>
          </w:tblCellMar>
        </w:tblPrEx>
        <w:trPr>
          <w:trHeight w:val="826" w:hRule="atLeast"/>
          <w:jc w:val="center"/>
        </w:trPr>
        <w:tc>
          <w:tcPr>
            <w:tcW w:w="860"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质量指标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保障特困人员基本生活</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每月按实际入住人员申请资金</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每月按实际入住人员安排当月申请的资金</w:t>
            </w:r>
          </w:p>
        </w:tc>
      </w:tr>
      <w:tr>
        <w:tblPrEx>
          <w:tblCellMar>
            <w:top w:w="15" w:type="dxa"/>
            <w:left w:w="15" w:type="dxa"/>
            <w:bottom w:w="0" w:type="dxa"/>
            <w:right w:w="15" w:type="dxa"/>
          </w:tblCellMar>
        </w:tblPrEx>
        <w:trPr>
          <w:trHeight w:val="669" w:hRule="atLeast"/>
          <w:jc w:val="center"/>
        </w:trPr>
        <w:tc>
          <w:tcPr>
            <w:tcW w:w="860"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694" w:hRule="atLeast"/>
          <w:jc w:val="center"/>
        </w:trPr>
        <w:tc>
          <w:tcPr>
            <w:tcW w:w="860"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679" w:hRule="atLeast"/>
          <w:jc w:val="center"/>
        </w:trPr>
        <w:tc>
          <w:tcPr>
            <w:tcW w:w="860"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826" w:hRule="atLeast"/>
          <w:jc w:val="center"/>
        </w:trPr>
        <w:tc>
          <w:tcPr>
            <w:tcW w:w="860"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时效指标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民生资金保障</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年度内完成</w:t>
            </w:r>
          </w:p>
        </w:tc>
      </w:tr>
      <w:tr>
        <w:tblPrEx>
          <w:tblCellMar>
            <w:top w:w="15" w:type="dxa"/>
            <w:left w:w="15" w:type="dxa"/>
            <w:bottom w:w="0" w:type="dxa"/>
            <w:right w:w="15" w:type="dxa"/>
          </w:tblCellMar>
        </w:tblPrEx>
        <w:trPr>
          <w:trHeight w:val="966" w:hRule="atLeast"/>
          <w:jc w:val="center"/>
        </w:trPr>
        <w:tc>
          <w:tcPr>
            <w:tcW w:w="860"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社会效益指标</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改善老人生活条件</w:t>
            </w: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保障入住老人生活条件</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年度内完成</w:t>
            </w:r>
          </w:p>
        </w:tc>
      </w:tr>
      <w:tr>
        <w:tblPrEx>
          <w:tblCellMar>
            <w:top w:w="15" w:type="dxa"/>
            <w:left w:w="15" w:type="dxa"/>
            <w:bottom w:w="0" w:type="dxa"/>
            <w:right w:w="15" w:type="dxa"/>
          </w:tblCellMar>
        </w:tblPrEx>
        <w:trPr>
          <w:trHeight w:val="1050" w:hRule="atLeast"/>
          <w:jc w:val="center"/>
        </w:trPr>
        <w:tc>
          <w:tcPr>
            <w:tcW w:w="860" w:type="dxa"/>
            <w:vMerge w:val="continue"/>
            <w:tcBorders>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89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满意度指标</w:t>
            </w:r>
          </w:p>
        </w:tc>
        <w:tc>
          <w:tcPr>
            <w:tcW w:w="103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入住老人满意度</w:t>
            </w:r>
          </w:p>
        </w:tc>
        <w:tc>
          <w:tcPr>
            <w:tcW w:w="201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781"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》98%</w:t>
            </w:r>
          </w:p>
        </w:tc>
        <w:tc>
          <w:tcPr>
            <w:tcW w:w="25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r>
    </w:tbl>
    <w:p>
      <w:pPr>
        <w:pStyle w:val="10"/>
        <w:spacing w:line="580" w:lineRule="exact"/>
        <w:rPr>
          <w:rFonts w:hint="eastAsia" w:ascii="方正仿宋_GB2312" w:hAnsi="方正仿宋_GB2312" w:eastAsia="方正仿宋_GB2312" w:cs="方正仿宋_GB2312"/>
          <w:sz w:val="32"/>
          <w:szCs w:val="32"/>
        </w:rPr>
      </w:pPr>
    </w:p>
    <w:tbl>
      <w:tblPr>
        <w:tblStyle w:val="4"/>
        <w:tblpPr w:leftFromText="180" w:rightFromText="180" w:vertAnchor="text" w:horzAnchor="page" w:tblpXSpec="center" w:tblpY="423"/>
        <w:tblW w:w="9959" w:type="dxa"/>
        <w:jc w:val="center"/>
        <w:tblLayout w:type="fixed"/>
        <w:tblCellMar>
          <w:top w:w="15" w:type="dxa"/>
          <w:left w:w="15" w:type="dxa"/>
          <w:bottom w:w="0" w:type="dxa"/>
          <w:right w:w="15" w:type="dxa"/>
        </w:tblCellMar>
      </w:tblPr>
      <w:tblGrid>
        <w:gridCol w:w="1002"/>
        <w:gridCol w:w="1043"/>
        <w:gridCol w:w="1200"/>
        <w:gridCol w:w="1929"/>
        <w:gridCol w:w="2393"/>
        <w:gridCol w:w="2392"/>
      </w:tblGrid>
      <w:tr>
        <w:tblPrEx>
          <w:tblCellMar>
            <w:top w:w="15" w:type="dxa"/>
            <w:left w:w="15" w:type="dxa"/>
            <w:bottom w:w="0" w:type="dxa"/>
            <w:right w:w="15" w:type="dxa"/>
          </w:tblCellMar>
        </w:tblPrEx>
        <w:trPr>
          <w:trHeight w:val="1034" w:hRule="atLeast"/>
          <w:jc w:val="center"/>
        </w:trPr>
        <w:tc>
          <w:tcPr>
            <w:tcW w:w="9959" w:type="dxa"/>
            <w:gridSpan w:val="6"/>
            <w:vAlign w:val="center"/>
          </w:tcPr>
          <w:p>
            <w:pPr>
              <w:pStyle w:val="10"/>
              <w:widowControl w:val="0"/>
              <w:jc w:val="center"/>
              <w:textAlignment w:val="center"/>
              <w:rPr>
                <w:rFonts w:hint="eastAsia" w:ascii="方正仿宋_GB2312" w:hAnsi="方正仿宋_GB2312" w:eastAsia="方正仿宋_GB2312" w:cs="方正仿宋_GB2312"/>
                <w:color w:val="000000"/>
                <w:sz w:val="36"/>
                <w:szCs w:val="36"/>
              </w:rPr>
            </w:pPr>
            <w:r>
              <w:rPr>
                <w:rFonts w:hint="eastAsia" w:ascii="方正仿宋_GB2312" w:hAnsi="方正仿宋_GB2312" w:eastAsia="方正仿宋_GB2312" w:cs="方正仿宋_GB2312"/>
                <w:b/>
                <w:bCs/>
                <w:color w:val="000000"/>
                <w:kern w:val="0"/>
                <w:sz w:val="36"/>
                <w:szCs w:val="36"/>
              </w:rPr>
              <w:t>项目绩效目标完成情况表</w:t>
            </w:r>
            <w:r>
              <w:rPr>
                <w:rFonts w:hint="eastAsia" w:ascii="方正仿宋_GB2312" w:hAnsi="方正仿宋_GB2312" w:eastAsia="方正仿宋_GB2312" w:cs="方正仿宋_GB2312"/>
                <w:b/>
                <w:bCs/>
                <w:color w:val="000000"/>
                <w:kern w:val="0"/>
                <w:sz w:val="36"/>
                <w:szCs w:val="36"/>
              </w:rPr>
              <w:br w:type="textWrapping"/>
            </w:r>
            <w:r>
              <w:rPr>
                <w:rFonts w:hint="eastAsia" w:ascii="方正仿宋_GB2312" w:hAnsi="方正仿宋_GB2312" w:eastAsia="方正仿宋_GB2312" w:cs="方正仿宋_GB2312"/>
                <w:color w:val="000000"/>
                <w:kern w:val="0"/>
                <w:sz w:val="36"/>
                <w:szCs w:val="36"/>
              </w:rPr>
              <w:t>(2020 年度)</w:t>
            </w:r>
          </w:p>
        </w:tc>
      </w:tr>
      <w:tr>
        <w:tblPrEx>
          <w:tblCellMar>
            <w:top w:w="15" w:type="dxa"/>
            <w:left w:w="15" w:type="dxa"/>
            <w:bottom w:w="0" w:type="dxa"/>
            <w:right w:w="15" w:type="dxa"/>
          </w:tblCellMar>
        </w:tblPrEx>
        <w:trPr>
          <w:trHeight w:val="276" w:hRule="atLeast"/>
          <w:jc w:val="center"/>
        </w:trPr>
        <w:tc>
          <w:tcPr>
            <w:tcW w:w="3245"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项目名称</w:t>
            </w:r>
          </w:p>
        </w:tc>
        <w:tc>
          <w:tcPr>
            <w:tcW w:w="671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特困人员护理费</w:t>
            </w:r>
          </w:p>
        </w:tc>
      </w:tr>
      <w:tr>
        <w:tblPrEx>
          <w:tblCellMar>
            <w:top w:w="15" w:type="dxa"/>
            <w:left w:w="15" w:type="dxa"/>
            <w:bottom w:w="0" w:type="dxa"/>
            <w:right w:w="15" w:type="dxa"/>
          </w:tblCellMar>
        </w:tblPrEx>
        <w:trPr>
          <w:trHeight w:val="276" w:hRule="atLeast"/>
          <w:jc w:val="center"/>
        </w:trPr>
        <w:tc>
          <w:tcPr>
            <w:tcW w:w="3245"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预算单位</w:t>
            </w:r>
          </w:p>
        </w:tc>
        <w:tc>
          <w:tcPr>
            <w:tcW w:w="671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嘉州社会福利院</w:t>
            </w:r>
          </w:p>
        </w:tc>
      </w:tr>
      <w:tr>
        <w:tblPrEx>
          <w:tblCellMar>
            <w:top w:w="15" w:type="dxa"/>
            <w:left w:w="15" w:type="dxa"/>
            <w:bottom w:w="0" w:type="dxa"/>
            <w:right w:w="15" w:type="dxa"/>
          </w:tblCellMar>
        </w:tblPrEx>
        <w:trPr>
          <w:trHeight w:val="276" w:hRule="atLeast"/>
          <w:jc w:val="center"/>
        </w:trPr>
        <w:tc>
          <w:tcPr>
            <w:tcW w:w="1002"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预算执行情况(万元)</w:t>
            </w: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预算数:</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35.52</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23.50</w:t>
            </w:r>
          </w:p>
        </w:tc>
      </w:tr>
      <w:tr>
        <w:tblPrEx>
          <w:tblCellMar>
            <w:top w:w="15" w:type="dxa"/>
            <w:left w:w="15" w:type="dxa"/>
            <w:bottom w:w="0" w:type="dxa"/>
            <w:right w:w="15" w:type="dxa"/>
          </w:tblCellMar>
        </w:tblPrEx>
        <w:trPr>
          <w:trHeight w:val="276"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35.52</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ind w:firstLine="720" w:firstLineChars="300"/>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23.50</w:t>
            </w:r>
          </w:p>
        </w:tc>
      </w:tr>
      <w:tr>
        <w:tblPrEx>
          <w:tblCellMar>
            <w:top w:w="15" w:type="dxa"/>
            <w:left w:w="15" w:type="dxa"/>
            <w:bottom w:w="0" w:type="dxa"/>
            <w:right w:w="15" w:type="dxa"/>
          </w:tblCellMar>
        </w:tblPrEx>
        <w:trPr>
          <w:trHeight w:val="477"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276" w:hRule="atLeast"/>
          <w:jc w:val="center"/>
        </w:trPr>
        <w:tc>
          <w:tcPr>
            <w:tcW w:w="1002"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年度目标完成情况</w:t>
            </w:r>
          </w:p>
        </w:tc>
        <w:tc>
          <w:tcPr>
            <w:tcW w:w="417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预期目标</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实际完成目标</w:t>
            </w:r>
          </w:p>
        </w:tc>
      </w:tr>
      <w:tr>
        <w:tblPrEx>
          <w:tblCellMar>
            <w:top w:w="15" w:type="dxa"/>
            <w:left w:w="15" w:type="dxa"/>
            <w:bottom w:w="0" w:type="dxa"/>
            <w:right w:w="15" w:type="dxa"/>
          </w:tblCellMar>
        </w:tblPrEx>
        <w:trPr>
          <w:trHeight w:val="772"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417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保障特困人员护理需要</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保障特困人员护理需要</w:t>
            </w:r>
          </w:p>
        </w:tc>
      </w:tr>
      <w:tr>
        <w:tblPrEx>
          <w:tblCellMar>
            <w:top w:w="15" w:type="dxa"/>
            <w:left w:w="15" w:type="dxa"/>
            <w:bottom w:w="0" w:type="dxa"/>
            <w:right w:w="15" w:type="dxa"/>
          </w:tblCellMar>
        </w:tblPrEx>
        <w:trPr>
          <w:trHeight w:val="827" w:hRule="atLeast"/>
          <w:jc w:val="center"/>
        </w:trPr>
        <w:tc>
          <w:tcPr>
            <w:tcW w:w="1002" w:type="dxa"/>
            <w:vMerge w:val="restart"/>
            <w:tcBorders>
              <w:top w:val="single" w:color="000000" w:sz="4" w:space="0"/>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绩效指标完成情况</w:t>
            </w: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一级指标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二级指标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三级指标</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实际完成指标值(包含数字及文字描述)</w:t>
            </w:r>
          </w:p>
        </w:tc>
      </w:tr>
      <w:tr>
        <w:tblPrEx>
          <w:tblCellMar>
            <w:top w:w="15" w:type="dxa"/>
            <w:left w:w="15" w:type="dxa"/>
            <w:bottom w:w="0" w:type="dxa"/>
            <w:right w:w="15" w:type="dxa"/>
          </w:tblCellMar>
        </w:tblPrEx>
        <w:trPr>
          <w:trHeight w:val="953"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数量指标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保障特困人员护理需求</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保障院内特困人员175人护理需要</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实际保障院内特困人员153人护理需要</w:t>
            </w:r>
          </w:p>
        </w:tc>
      </w:tr>
      <w:tr>
        <w:tblPrEx>
          <w:tblCellMar>
            <w:top w:w="15" w:type="dxa"/>
            <w:left w:w="15" w:type="dxa"/>
            <w:bottom w:w="0" w:type="dxa"/>
            <w:right w:w="15" w:type="dxa"/>
          </w:tblCellMar>
        </w:tblPrEx>
        <w:trPr>
          <w:trHeight w:val="980"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质量指标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保障特困人员基本护理</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每月按实际入住人员申请资金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每月按实际入住人员安排当月申请的资金</w:t>
            </w:r>
          </w:p>
        </w:tc>
      </w:tr>
      <w:tr>
        <w:tblPrEx>
          <w:tblCellMar>
            <w:top w:w="15" w:type="dxa"/>
            <w:left w:w="15" w:type="dxa"/>
            <w:bottom w:w="0" w:type="dxa"/>
            <w:right w:w="15" w:type="dxa"/>
          </w:tblCellMar>
        </w:tblPrEx>
        <w:trPr>
          <w:trHeight w:val="824"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866"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894"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639"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时效指标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民生保障资金</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年度内完成</w:t>
            </w:r>
          </w:p>
        </w:tc>
      </w:tr>
      <w:tr>
        <w:tblPrEx>
          <w:tblCellMar>
            <w:top w:w="15" w:type="dxa"/>
            <w:left w:w="15" w:type="dxa"/>
            <w:bottom w:w="0" w:type="dxa"/>
            <w:right w:w="15" w:type="dxa"/>
          </w:tblCellMar>
        </w:tblPrEx>
        <w:trPr>
          <w:trHeight w:val="832"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社会效益指标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保障老人护理条件</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保障入住老人180人护理需</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保障入住老人165人护理需求</w:t>
            </w:r>
          </w:p>
        </w:tc>
      </w:tr>
      <w:tr>
        <w:tblPrEx>
          <w:tblCellMar>
            <w:top w:w="15" w:type="dxa"/>
            <w:left w:w="15" w:type="dxa"/>
            <w:bottom w:w="0" w:type="dxa"/>
            <w:right w:w="15" w:type="dxa"/>
          </w:tblCellMar>
        </w:tblPrEx>
        <w:trPr>
          <w:trHeight w:val="1050" w:hRule="atLeast"/>
          <w:jc w:val="center"/>
        </w:trPr>
        <w:tc>
          <w:tcPr>
            <w:tcW w:w="1002" w:type="dxa"/>
            <w:vMerge w:val="continue"/>
            <w:tcBorders>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满意度指标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入住老人满意度</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r>
      <w:tr>
        <w:tblPrEx>
          <w:tblCellMar>
            <w:top w:w="15" w:type="dxa"/>
            <w:left w:w="15" w:type="dxa"/>
            <w:bottom w:w="0" w:type="dxa"/>
            <w:right w:w="15" w:type="dxa"/>
          </w:tblCellMar>
        </w:tblPrEx>
        <w:trPr>
          <w:trHeight w:val="1034" w:hRule="atLeast"/>
          <w:jc w:val="center"/>
        </w:trPr>
        <w:tc>
          <w:tcPr>
            <w:tcW w:w="9959" w:type="dxa"/>
            <w:gridSpan w:val="6"/>
            <w:vAlign w:val="center"/>
          </w:tcPr>
          <w:p>
            <w:pPr>
              <w:pStyle w:val="10"/>
              <w:widowControl w:val="0"/>
              <w:jc w:val="center"/>
              <w:textAlignment w:val="center"/>
              <w:rPr>
                <w:rFonts w:hint="eastAsia" w:ascii="方正仿宋_GB2312" w:hAnsi="方正仿宋_GB2312" w:eastAsia="方正仿宋_GB2312" w:cs="方正仿宋_GB2312"/>
                <w:color w:val="000000"/>
                <w:sz w:val="36"/>
                <w:szCs w:val="36"/>
              </w:rPr>
            </w:pPr>
            <w:r>
              <w:rPr>
                <w:rFonts w:hint="eastAsia" w:ascii="方正仿宋_GB2312" w:hAnsi="方正仿宋_GB2312" w:eastAsia="方正仿宋_GB2312" w:cs="方正仿宋_GB2312"/>
                <w:b/>
                <w:bCs/>
                <w:color w:val="000000"/>
                <w:kern w:val="0"/>
                <w:sz w:val="36"/>
                <w:szCs w:val="36"/>
              </w:rPr>
              <w:t>项目绩效目标完成情况表</w:t>
            </w:r>
            <w:r>
              <w:rPr>
                <w:rFonts w:hint="eastAsia" w:ascii="方正仿宋_GB2312" w:hAnsi="方正仿宋_GB2312" w:eastAsia="方正仿宋_GB2312" w:cs="方正仿宋_GB2312"/>
                <w:b/>
                <w:bCs/>
                <w:color w:val="000000"/>
                <w:kern w:val="0"/>
                <w:sz w:val="36"/>
                <w:szCs w:val="36"/>
              </w:rPr>
              <w:br w:type="textWrapping"/>
            </w:r>
            <w:r>
              <w:rPr>
                <w:rFonts w:hint="eastAsia" w:ascii="方正仿宋_GB2312" w:hAnsi="方正仿宋_GB2312" w:eastAsia="方正仿宋_GB2312" w:cs="方正仿宋_GB2312"/>
                <w:color w:val="000000"/>
                <w:kern w:val="0"/>
                <w:sz w:val="36"/>
                <w:szCs w:val="36"/>
              </w:rPr>
              <w:t>(2020年度)</w:t>
            </w:r>
          </w:p>
        </w:tc>
      </w:tr>
      <w:tr>
        <w:tblPrEx>
          <w:tblCellMar>
            <w:top w:w="15" w:type="dxa"/>
            <w:left w:w="15" w:type="dxa"/>
            <w:bottom w:w="0" w:type="dxa"/>
            <w:right w:w="15" w:type="dxa"/>
          </w:tblCellMar>
        </w:tblPrEx>
        <w:trPr>
          <w:trHeight w:val="276" w:hRule="atLeast"/>
          <w:jc w:val="center"/>
        </w:trPr>
        <w:tc>
          <w:tcPr>
            <w:tcW w:w="3245"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项目名称</w:t>
            </w:r>
          </w:p>
        </w:tc>
        <w:tc>
          <w:tcPr>
            <w:tcW w:w="671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基础运转</w:t>
            </w:r>
          </w:p>
        </w:tc>
      </w:tr>
      <w:tr>
        <w:tblPrEx>
          <w:tblCellMar>
            <w:top w:w="15" w:type="dxa"/>
            <w:left w:w="15" w:type="dxa"/>
            <w:bottom w:w="0" w:type="dxa"/>
            <w:right w:w="15" w:type="dxa"/>
          </w:tblCellMar>
        </w:tblPrEx>
        <w:trPr>
          <w:trHeight w:val="276" w:hRule="atLeast"/>
          <w:jc w:val="center"/>
        </w:trPr>
        <w:tc>
          <w:tcPr>
            <w:tcW w:w="3245"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预算单位</w:t>
            </w:r>
          </w:p>
        </w:tc>
        <w:tc>
          <w:tcPr>
            <w:tcW w:w="6714"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嘉州社会福利院</w:t>
            </w:r>
          </w:p>
        </w:tc>
      </w:tr>
      <w:tr>
        <w:tblPrEx>
          <w:tblCellMar>
            <w:top w:w="15" w:type="dxa"/>
            <w:left w:w="15" w:type="dxa"/>
            <w:bottom w:w="0" w:type="dxa"/>
            <w:right w:w="15" w:type="dxa"/>
          </w:tblCellMar>
        </w:tblPrEx>
        <w:trPr>
          <w:trHeight w:val="276" w:hRule="atLeast"/>
          <w:jc w:val="center"/>
        </w:trPr>
        <w:tc>
          <w:tcPr>
            <w:tcW w:w="1002"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预算执行情况(万元)</w:t>
            </w: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预算数:</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8</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ind w:firstLine="720" w:firstLineChars="300"/>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8</w:t>
            </w:r>
          </w:p>
        </w:tc>
      </w:tr>
      <w:tr>
        <w:tblPrEx>
          <w:tblCellMar>
            <w:top w:w="15" w:type="dxa"/>
            <w:left w:w="15" w:type="dxa"/>
            <w:bottom w:w="0" w:type="dxa"/>
            <w:right w:w="15" w:type="dxa"/>
          </w:tblCellMar>
        </w:tblPrEx>
        <w:trPr>
          <w:trHeight w:val="276"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8</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8</w:t>
            </w:r>
          </w:p>
        </w:tc>
      </w:tr>
      <w:tr>
        <w:tblPrEx>
          <w:tblCellMar>
            <w:top w:w="15" w:type="dxa"/>
            <w:left w:w="15" w:type="dxa"/>
            <w:bottom w:w="0" w:type="dxa"/>
            <w:right w:w="15" w:type="dxa"/>
          </w:tblCellMar>
        </w:tblPrEx>
        <w:trPr>
          <w:trHeight w:val="354"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2243"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276" w:hRule="atLeast"/>
          <w:jc w:val="center"/>
        </w:trPr>
        <w:tc>
          <w:tcPr>
            <w:tcW w:w="1002" w:type="dxa"/>
            <w:vMerge w:val="restart"/>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年度目标完成情况</w:t>
            </w:r>
          </w:p>
        </w:tc>
        <w:tc>
          <w:tcPr>
            <w:tcW w:w="417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预期目标</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实际完成目标</w:t>
            </w:r>
          </w:p>
        </w:tc>
      </w:tr>
      <w:tr>
        <w:tblPrEx>
          <w:tblCellMar>
            <w:top w:w="15" w:type="dxa"/>
            <w:left w:w="15" w:type="dxa"/>
            <w:bottom w:w="0" w:type="dxa"/>
            <w:right w:w="15" w:type="dxa"/>
          </w:tblCellMar>
        </w:tblPrEx>
        <w:trPr>
          <w:trHeight w:val="635" w:hRule="atLeast"/>
          <w:jc w:val="center"/>
        </w:trPr>
        <w:tc>
          <w:tcPr>
            <w:tcW w:w="1002" w:type="dxa"/>
            <w:vMerge w:val="continue"/>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rPr>
                <w:rFonts w:hint="eastAsia" w:ascii="方正仿宋_GB2312" w:hAnsi="方正仿宋_GB2312" w:eastAsia="方正仿宋_GB2312" w:cs="方正仿宋_GB2312"/>
                <w:color w:val="000000"/>
                <w:sz w:val="24"/>
              </w:rPr>
            </w:pPr>
          </w:p>
        </w:tc>
        <w:tc>
          <w:tcPr>
            <w:tcW w:w="4172" w:type="dxa"/>
            <w:gridSpan w:val="3"/>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确保有福利院正常运转</w:t>
            </w:r>
          </w:p>
        </w:tc>
        <w:tc>
          <w:tcPr>
            <w:tcW w:w="4785" w:type="dxa"/>
            <w:gridSpan w:val="2"/>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确保办公床位正常运转</w:t>
            </w:r>
          </w:p>
        </w:tc>
      </w:tr>
      <w:tr>
        <w:tblPrEx>
          <w:tblCellMar>
            <w:top w:w="15" w:type="dxa"/>
            <w:left w:w="15" w:type="dxa"/>
            <w:bottom w:w="0" w:type="dxa"/>
            <w:right w:w="15" w:type="dxa"/>
          </w:tblCellMar>
        </w:tblPrEx>
        <w:trPr>
          <w:trHeight w:val="686" w:hRule="atLeast"/>
          <w:jc w:val="center"/>
        </w:trPr>
        <w:tc>
          <w:tcPr>
            <w:tcW w:w="1002" w:type="dxa"/>
            <w:vMerge w:val="restart"/>
            <w:tcBorders>
              <w:top w:val="single" w:color="000000" w:sz="4" w:space="0"/>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绩效指标完成情况</w:t>
            </w: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一级指标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二级指标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三级指标</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实际完成指标值(包含数字及文字描述)</w:t>
            </w:r>
          </w:p>
        </w:tc>
      </w:tr>
      <w:tr>
        <w:tblPrEx>
          <w:tblCellMar>
            <w:top w:w="15" w:type="dxa"/>
            <w:left w:w="15" w:type="dxa"/>
            <w:bottom w:w="0" w:type="dxa"/>
            <w:right w:w="15" w:type="dxa"/>
          </w:tblCellMar>
        </w:tblPrEx>
        <w:trPr>
          <w:trHeight w:val="665"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数量指标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保障护院内正常运转</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院内设施设备维修维护水电办公等</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院内设施设备维修维护水电办公等</w:t>
            </w:r>
          </w:p>
        </w:tc>
      </w:tr>
      <w:tr>
        <w:tblPrEx>
          <w:tblCellMar>
            <w:top w:w="15" w:type="dxa"/>
            <w:left w:w="15" w:type="dxa"/>
            <w:bottom w:w="0" w:type="dxa"/>
            <w:right w:w="15" w:type="dxa"/>
          </w:tblCellMar>
        </w:tblPrEx>
        <w:trPr>
          <w:trHeight w:val="994"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质量指标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维持养老业持续稳定发展</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每月按实际入住人员申请资金</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每月按院内实际需要安排当月申请的资金</w:t>
            </w:r>
          </w:p>
        </w:tc>
      </w:tr>
      <w:tr>
        <w:tblPrEx>
          <w:tblCellMar>
            <w:top w:w="15" w:type="dxa"/>
            <w:left w:w="15" w:type="dxa"/>
            <w:bottom w:w="0" w:type="dxa"/>
            <w:right w:w="15" w:type="dxa"/>
          </w:tblCellMar>
        </w:tblPrEx>
        <w:trPr>
          <w:trHeight w:val="567"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866"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kern w:val="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491"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项目完成指标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668"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时效指标</w:t>
            </w: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保障院内正常运转</w:t>
            </w: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年度内完成</w:t>
            </w:r>
          </w:p>
        </w:tc>
      </w:tr>
      <w:tr>
        <w:tblPrEx>
          <w:tblCellMar>
            <w:top w:w="15" w:type="dxa"/>
            <w:left w:w="15" w:type="dxa"/>
            <w:bottom w:w="0" w:type="dxa"/>
            <w:right w:w="15" w:type="dxa"/>
          </w:tblCellMar>
        </w:tblPrEx>
        <w:trPr>
          <w:trHeight w:val="692" w:hRule="atLeast"/>
          <w:jc w:val="center"/>
        </w:trPr>
        <w:tc>
          <w:tcPr>
            <w:tcW w:w="1002" w:type="dxa"/>
            <w:vMerge w:val="continue"/>
            <w:tcBorders>
              <w:left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效益指标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r>
      <w:tr>
        <w:tblPrEx>
          <w:tblCellMar>
            <w:top w:w="15" w:type="dxa"/>
            <w:left w:w="15" w:type="dxa"/>
            <w:bottom w:w="0" w:type="dxa"/>
            <w:right w:w="15" w:type="dxa"/>
          </w:tblCellMar>
        </w:tblPrEx>
        <w:trPr>
          <w:trHeight w:val="675" w:hRule="atLeast"/>
          <w:jc w:val="center"/>
        </w:trPr>
        <w:tc>
          <w:tcPr>
            <w:tcW w:w="1002" w:type="dxa"/>
            <w:vMerge w:val="continue"/>
            <w:tcBorders>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04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rPr>
              <w:t>满意度指标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1929"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p>
        </w:tc>
        <w:tc>
          <w:tcPr>
            <w:tcW w:w="2393"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vAlign w:val="center"/>
          </w:tcPr>
          <w:p>
            <w:pPr>
              <w:pStyle w:val="10"/>
              <w:widowControl w:val="0"/>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r>
    </w:tbl>
    <w:p>
      <w:pPr>
        <w:pStyle w:val="10"/>
        <w:spacing w:line="420" w:lineRule="exact"/>
        <w:rPr>
          <w:rFonts w:hint="eastAsia" w:ascii="方正仿宋_GB2312" w:hAnsi="方正仿宋_GB2312" w:eastAsia="方正仿宋_GB2312" w:cs="方正仿宋_GB2312"/>
          <w:sz w:val="24"/>
        </w:rPr>
      </w:pPr>
    </w:p>
    <w:p>
      <w:pPr>
        <w:pStyle w:val="10"/>
        <w:spacing w:line="420" w:lineRule="exact"/>
        <w:ind w:firstLine="480" w:firstLineChars="200"/>
        <w:rPr>
          <w:rFonts w:hint="eastAsia" w:ascii="方正仿宋_GB2312" w:hAnsi="方正仿宋_GB2312" w:eastAsia="方正仿宋_GB2312" w:cs="方正仿宋_GB2312"/>
          <w:b/>
          <w:bCs/>
          <w:sz w:val="32"/>
          <w:szCs w:val="32"/>
        </w:rPr>
      </w:pPr>
      <w:r>
        <w:rPr>
          <w:rStyle w:val="13"/>
          <w:rFonts w:hint="eastAsia" w:ascii="方正仿宋_GB2312" w:hAnsi="方正仿宋_GB2312" w:eastAsia="方正仿宋_GB2312" w:cs="方正仿宋_GB2312"/>
          <w:color w:val="000000"/>
          <w:kern w:val="0"/>
          <w:sz w:val="24"/>
          <w:shd w:val="clear" w:fill="FFFFFF"/>
        </w:rPr>
        <w:t>　</w:t>
      </w:r>
      <w:r>
        <w:rPr>
          <w:rFonts w:hint="eastAsia" w:ascii="方正仿宋_GB2312" w:hAnsi="方正仿宋_GB2312" w:eastAsia="方正仿宋_GB2312" w:cs="方正仿宋_GB2312"/>
          <w:b/>
          <w:bCs/>
          <w:sz w:val="32"/>
          <w:szCs w:val="32"/>
        </w:rPr>
        <w:t>（三）部门开展绩效评价结果。</w:t>
      </w:r>
    </w:p>
    <w:p>
      <w:pPr>
        <w:pStyle w:val="10"/>
        <w:spacing w:line="420" w:lineRule="exact"/>
        <w:ind w:firstLine="640" w:firstLineChars="200"/>
        <w:rPr>
          <w:rFonts w:hint="eastAsia" w:ascii="方正仿宋_GB2312" w:hAnsi="方正仿宋_GB2312" w:eastAsia="方正仿宋_GB2312" w:cs="方正仿宋_GB2312"/>
          <w:i/>
          <w:color w:val="000000"/>
          <w:kern w:val="0"/>
          <w:sz w:val="32"/>
          <w:szCs w:val="32"/>
          <w:shd w:val="clear" w:fill="FFFFFF"/>
        </w:rPr>
      </w:pPr>
      <w:r>
        <w:rPr>
          <w:rStyle w:val="13"/>
          <w:rFonts w:hint="eastAsia" w:ascii="方正仿宋_GB2312" w:hAnsi="方正仿宋_GB2312" w:eastAsia="方正仿宋_GB2312" w:cs="方正仿宋_GB2312"/>
          <w:i w:val="0"/>
          <w:color w:val="000000"/>
          <w:kern w:val="0"/>
          <w:sz w:val="32"/>
          <w:szCs w:val="32"/>
          <w:shd w:val="clear" w:fill="FFFFFF"/>
        </w:rPr>
        <w:t>本部门按要求对2020年部门整体支出绩效评价情况开展自评，《嘉州社会福利院2020年部门整体支出绩效评价报告》见附件。</w:t>
      </w:r>
      <w:r>
        <w:rPr>
          <w:rFonts w:hint="eastAsia" w:ascii="方正仿宋_GB2312" w:hAnsi="方正仿宋_GB2312" w:eastAsia="方正仿宋_GB2312" w:cs="方正仿宋_GB2312"/>
          <w:i/>
          <w:color w:val="000000"/>
          <w:kern w:val="0"/>
          <w:sz w:val="32"/>
          <w:szCs w:val="32"/>
          <w:shd w:val="clear" w:fill="FFFFFF"/>
        </w:rPr>
        <w:t> </w:t>
      </w:r>
    </w:p>
    <w:p>
      <w:pPr>
        <w:pStyle w:val="10"/>
        <w:spacing w:line="420" w:lineRule="exact"/>
        <w:ind w:firstLine="643" w:firstLineChars="200"/>
        <w:rPr>
          <w:rFonts w:hint="eastAsia" w:ascii="方正仿宋_GB2312" w:hAnsi="方正仿宋_GB2312" w:eastAsia="方正仿宋_GB2312" w:cs="方正仿宋_GB2312"/>
          <w:b/>
          <w:color w:val="000000"/>
          <w:kern w:val="0"/>
          <w:sz w:val="32"/>
          <w:szCs w:val="32"/>
          <w:shd w:val="clear" w:fill="FFFFFF"/>
        </w:rPr>
      </w:pPr>
    </w:p>
    <w:p>
      <w:pPr>
        <w:pStyle w:val="10"/>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eastAsia" w:ascii="黑体" w:hAnsi="黑体" w:eastAsia="黑体" w:cs="黑体"/>
          <w:color w:val="000000"/>
          <w:kern w:val="0"/>
          <w:sz w:val="44"/>
          <w:szCs w:val="44"/>
          <w:shd w:val="clear" w:fill="FFFFFF"/>
        </w:rPr>
      </w:pPr>
      <w:r>
        <w:rPr>
          <w:rFonts w:hint="eastAsia" w:ascii="黑体" w:hAnsi="黑体" w:eastAsia="黑体" w:cs="黑体"/>
          <w:b/>
          <w:color w:val="000000"/>
          <w:kern w:val="0"/>
          <w:sz w:val="44"/>
          <w:szCs w:val="44"/>
          <w:shd w:val="clear" w:fill="FFFFFF"/>
        </w:rPr>
        <w:t>第三部分  名词解释</w:t>
      </w:r>
      <w:r>
        <w:rPr>
          <w:rFonts w:hint="eastAsia" w:ascii="黑体" w:hAnsi="黑体" w:eastAsia="黑体" w:cs="黑体"/>
          <w:color w:val="000000"/>
          <w:kern w:val="0"/>
          <w:sz w:val="44"/>
          <w:szCs w:val="44"/>
          <w:shd w:val="clear" w:fill="FFFFFF"/>
        </w:rPr>
        <w:t>。</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b/>
          <w:color w:val="000000"/>
          <w:kern w:val="0"/>
          <w:sz w:val="32"/>
          <w:szCs w:val="32"/>
          <w:shd w:val="clear" w:fill="FFFFFF"/>
        </w:rPr>
      </w:pPr>
      <w:r>
        <w:rPr>
          <w:rFonts w:hint="eastAsia" w:ascii="方正仿宋_GB2312" w:hAnsi="方正仿宋_GB2312" w:eastAsia="方正仿宋_GB2312" w:cs="方正仿宋_GB2312"/>
          <w:sz w:val="32"/>
          <w:szCs w:val="32"/>
        </w:rPr>
        <w:t>1.财政拨款收入：指单位从同级财政部门取得的财政预算资金。</w:t>
      </w:r>
    </w:p>
    <w:p>
      <w:pPr>
        <w:pStyle w:val="1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2.事业收入：指事业单位开展专业业务活动及辅助活动取得的收入等。</w:t>
      </w:r>
    </w:p>
    <w:p>
      <w:pPr>
        <w:pStyle w:val="1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3.经营收入：指事业单位在专业业务活动及其辅助活动之外开展非独立核算经营活动取得的收入。如福利院自费代养收入等。</w:t>
      </w:r>
    </w:p>
    <w:p>
      <w:pPr>
        <w:pStyle w:val="1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4.其他收入：指单位取得的除上述收入以外的各项收入。主要是废品收入、院内职工伙食费、工会费及社会捐赠等。 </w:t>
      </w:r>
    </w:p>
    <w:p>
      <w:pPr>
        <w:pStyle w:val="1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sz w:val="32"/>
          <w:szCs w:val="32"/>
        </w:rPr>
        <w:t>6.年初结</w:t>
      </w:r>
      <w:r>
        <w:rPr>
          <w:rFonts w:hint="eastAsia" w:ascii="方正仿宋_GB2312" w:hAnsi="方正仿宋_GB2312" w:eastAsia="方正仿宋_GB2312" w:cs="方正仿宋_GB2312"/>
          <w:color w:val="000000"/>
          <w:sz w:val="32"/>
          <w:szCs w:val="32"/>
        </w:rPr>
        <w:t xml:space="preserve">转和结余：指以前年度尚未完成、结转到本年按有关规定继续使用的资金。 </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7.结余分配：指事业单位按照事业单位会计制度的规定从非财政补助结余中分配的事业基金和职工福利基金等。</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8、年末结转和结余：指单位按有关规定结转到下年或以后年度继续使用的资金 </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9、社会保障和就业（类）行政事业单位离退休费（款）未归口管理的行政单位离退休（项）:反映未实行归口管理的行政单位（包括实行公务员管理的事业单位）开支的离退休支出。 </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10、社会保障和就业（类）行政事业单位离退休费（款） 机关事业单位基本养老保险缴费支出（项）:反映机关事业单位实施养老保险制度由单位缴纳的基本养老保险费的支出。</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11、社会保障和就业（类）行政事业单位离退休费（款） 机关事业单位职业年金缴费支出（项）:反映机关事业单位实施养老保险制度由单位实际缴纳的职业年金支出。 </w:t>
      </w:r>
    </w:p>
    <w:p>
      <w:pPr>
        <w:pStyle w:val="10"/>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sz w:val="28"/>
          <w:szCs w:val="28"/>
        </w:rPr>
        <w:t>他用于医疗卫生与计划生育方面的支出。</w:t>
      </w:r>
      <w:r>
        <w:rPr>
          <w:rFonts w:hint="eastAsia" w:ascii="方正仿宋_GB2312" w:hAnsi="方正仿宋_GB2312" w:eastAsia="方正仿宋_GB2312" w:cs="方正仿宋_GB2312"/>
          <w:sz w:val="28"/>
          <w:szCs w:val="28"/>
        </w:rPr>
        <w:br w:type="textWrapping"/>
      </w:r>
      <w:r>
        <w:rPr>
          <w:rFonts w:hint="eastAsia" w:ascii="方正仿宋_GB2312" w:hAnsi="方正仿宋_GB2312" w:eastAsia="方正仿宋_GB2312" w:cs="方正仿宋_GB2312"/>
          <w:sz w:val="28"/>
          <w:szCs w:val="28"/>
        </w:rPr>
        <w:t xml:space="preserve">    20、住房保障（类）住房改革支出（款） 住房公积金（项）:反映行政事业单位按人力资源和社会保障部、财政部规定的</w:t>
      </w:r>
      <w:r>
        <w:rPr>
          <w:rFonts w:hint="eastAsia" w:ascii="方正仿宋_GB2312" w:hAnsi="方正仿宋_GB2312" w:eastAsia="方正仿宋_GB2312" w:cs="方正仿宋_GB2312"/>
          <w:color w:val="000000"/>
          <w:sz w:val="32"/>
          <w:szCs w:val="32"/>
        </w:rPr>
        <w:t>12、社会保障和就业（类）社会福利（款）儿童福利（项）:反映对儿童提供福利服务方面的支出。</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13、社会保障和就业（类）社会福利（款）老年福利（项）:反映对老年人提供福利服务方面的支出。</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14、社会保障和就业（类）社会福利（款）其他社会福利支出（项）:反映除上述项目以外其他用于社会福利方面的支出。</w:t>
      </w:r>
      <w:r>
        <w:rPr>
          <w:rFonts w:hint="eastAsia" w:ascii="方正仿宋_GB2312" w:hAnsi="方正仿宋_GB2312" w:eastAsia="方正仿宋_GB2312" w:cs="方正仿宋_GB2312"/>
          <w:color w:val="000000"/>
          <w:sz w:val="32"/>
          <w:szCs w:val="32"/>
        </w:rPr>
        <w:br w:type="textWrapping"/>
      </w:r>
      <w:r>
        <w:rPr>
          <w:rFonts w:hint="eastAsia" w:ascii="方正仿宋_GB2312" w:hAnsi="方正仿宋_GB2312" w:eastAsia="方正仿宋_GB2312" w:cs="方正仿宋_GB2312"/>
          <w:color w:val="000000"/>
          <w:sz w:val="32"/>
          <w:szCs w:val="32"/>
        </w:rPr>
        <w:t xml:space="preserve">   15、社会保障和就业（类）残疾人事业（款）其他残疾人事业支出（项）反映除上述项目以外其他用于残疾人事业方面的支出。</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16、社会保障和就业（类）特困人员救助供养（款）农村特困人员救助供养支出（项）:反映农村特困人员救助供养支出。 </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17、社会保障和就业（类）其他生活救助（款）其他城市生活救助（项）:反映除最低生活保障、临时救助、特困人员供养外，用于城市生活困难居民生活救助的其他支出。 </w:t>
      </w:r>
      <w:r>
        <w:rPr>
          <w:rFonts w:hint="eastAsia" w:ascii="方正仿宋_GB2312" w:hAnsi="方正仿宋_GB2312" w:eastAsia="方正仿宋_GB2312" w:cs="方正仿宋_GB2312"/>
          <w:sz w:val="32"/>
          <w:szCs w:val="32"/>
        </w:rPr>
        <w:br w:type="textWrapping"/>
      </w:r>
      <w:r>
        <w:rPr>
          <w:rFonts w:hint="eastAsia" w:ascii="方正仿宋_GB2312" w:hAnsi="方正仿宋_GB2312" w:eastAsia="方正仿宋_GB2312" w:cs="方正仿宋_GB2312"/>
          <w:sz w:val="32"/>
          <w:szCs w:val="32"/>
        </w:rPr>
        <w:t xml:space="preserve">    18、医疗卫生与计划生育（类）行政事业单位医疗（款）事业单位医疗（项）: 反映财政部门集中安排的事业单位基本医疗保险缴费经费，未参加医疗保险的事业单位的公费医疗经费，按国家规定享受离休人员待遇的医疗经费。</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19、医疗卫生与计划生育（类）其他医疗卫生与计划生育（款）其他医疗卫生与计划生育支出（项）: 反映上述项目以外其基本工资和津贴补贴以及规定比例为职工缴纳的住房公积金。</w:t>
      </w:r>
    </w:p>
    <w:p>
      <w:pPr>
        <w:pStyle w:val="10"/>
        <w:keepNext w:val="0"/>
        <w:keepLines w:val="0"/>
        <w:pageBreakBefore w:val="0"/>
        <w:widowControl w:val="0"/>
        <w:kinsoku/>
        <w:wordWrap/>
        <w:overflowPunct/>
        <w:topLinePunct w:val="0"/>
        <w:autoSpaceDE/>
        <w:autoSpaceDN/>
        <w:bidi w:val="0"/>
        <w:adjustRightInd/>
        <w:snapToGrid/>
        <w:spacing w:line="540" w:lineRule="exact"/>
        <w:ind w:firstLine="800" w:firstLineChars="25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21、基本支出：指为保障机构正常运转、完成日常工作任务而发生的人员支出和公用支出。</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22、项目支出：指在基本支出之外为完成特定行政任务和事业发展目标所发生的支出。 </w:t>
      </w:r>
    </w:p>
    <w:p>
      <w:pPr>
        <w:pStyle w:val="10"/>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23、经营支出：指事业单位在专业业务活动及其辅助活动之外开展非独立核算经营活动发生的支出。</w:t>
      </w:r>
    </w:p>
    <w:p>
      <w:pPr>
        <w:pStyle w:val="18"/>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0"/>
        <w:spacing w:line="700" w:lineRule="exact"/>
        <w:ind w:firstLine="2891" w:firstLineChars="800"/>
        <w:rPr>
          <w:rFonts w:hint="eastAsia" w:ascii="方正仿宋_GB2312" w:hAnsi="方正仿宋_GB2312" w:eastAsia="方正仿宋_GB2312" w:cs="方正仿宋_GB2312"/>
          <w:b/>
          <w:color w:val="000000"/>
          <w:kern w:val="0"/>
          <w:sz w:val="36"/>
          <w:szCs w:val="32"/>
          <w:shd w:val="clear" w:fill="FFFFFF"/>
        </w:rPr>
      </w:pPr>
    </w:p>
    <w:p>
      <w:pPr>
        <w:pStyle w:val="10"/>
        <w:spacing w:line="700" w:lineRule="exact"/>
        <w:jc w:val="center"/>
        <w:rPr>
          <w:rFonts w:hint="eastAsia" w:ascii="黑体" w:hAnsi="黑体" w:eastAsia="黑体" w:cs="黑体"/>
          <w:b/>
          <w:color w:val="000000"/>
          <w:kern w:val="0"/>
          <w:sz w:val="44"/>
          <w:szCs w:val="44"/>
          <w:shd w:val="clear" w:fill="FFFFFF"/>
        </w:rPr>
      </w:pPr>
      <w:r>
        <w:rPr>
          <w:rFonts w:hint="eastAsia" w:ascii="黑体" w:hAnsi="黑体" w:eastAsia="黑体" w:cs="黑体"/>
          <w:b/>
          <w:color w:val="000000"/>
          <w:kern w:val="0"/>
          <w:sz w:val="44"/>
          <w:szCs w:val="44"/>
          <w:shd w:val="clear" w:fill="FFFFFF"/>
        </w:rPr>
        <w:t>第四部分  附件</w:t>
      </w:r>
    </w:p>
    <w:p>
      <w:pPr>
        <w:pStyle w:val="10"/>
        <w:spacing w:line="700" w:lineRule="exact"/>
        <w:rPr>
          <w:rFonts w:hint="eastAsia" w:ascii="黑体" w:hAnsi="黑体" w:eastAsia="黑体" w:cs="黑体"/>
          <w:color w:val="000000"/>
          <w:kern w:val="0"/>
          <w:sz w:val="32"/>
          <w:szCs w:val="32"/>
          <w:shd w:val="clear" w:fill="FFFFFF"/>
        </w:rPr>
      </w:pPr>
      <w:r>
        <w:rPr>
          <w:rFonts w:hint="eastAsia" w:ascii="黑体" w:hAnsi="黑体" w:eastAsia="黑体" w:cs="黑体"/>
          <w:color w:val="000000"/>
          <w:kern w:val="0"/>
          <w:sz w:val="32"/>
          <w:szCs w:val="32"/>
          <w:shd w:val="clear" w:fill="FFFFFF"/>
        </w:rPr>
        <w:t xml:space="preserve"> 附件</w:t>
      </w:r>
    </w:p>
    <w:p>
      <w:pPr>
        <w:pStyle w:val="23"/>
        <w:rPr>
          <w:rFonts w:hint="eastAsia" w:ascii="方正小标宋简体" w:hAnsi="方正小标宋简体" w:eastAsia="方正小标宋简体" w:cs="方正小标宋简体"/>
          <w:shd w:val="clear" w:fill="FFFFFF"/>
        </w:rPr>
      </w:pPr>
      <w:r>
        <w:rPr>
          <w:rFonts w:hint="eastAsia" w:ascii="方正小标宋简体" w:hAnsi="方正小标宋简体" w:eastAsia="方正小标宋简体" w:cs="方正小标宋简体"/>
          <w:shd w:val="clear" w:fill="FFFFFF"/>
        </w:rPr>
        <w:t>乐山市市中区嘉州社会福利院</w:t>
      </w:r>
    </w:p>
    <w:p>
      <w:pPr>
        <w:pStyle w:val="23"/>
        <w:rPr>
          <w:rFonts w:hint="eastAsia" w:ascii="方正小标宋简体" w:hAnsi="方正小标宋简体" w:eastAsia="方正小标宋简体" w:cs="方正小标宋简体"/>
          <w:shd w:val="clear" w:fill="FFFFFF"/>
        </w:rPr>
      </w:pPr>
      <w:r>
        <w:rPr>
          <w:rFonts w:hint="eastAsia" w:ascii="方正小标宋简体" w:hAnsi="方正小标宋简体" w:eastAsia="方正小标宋简体" w:cs="方正小标宋简体"/>
          <w:shd w:val="clear" w:fill="FFFFFF"/>
        </w:rPr>
        <w:t>2020年部门整体支出绩效评价报告</w:t>
      </w:r>
    </w:p>
    <w:p>
      <w:pPr>
        <w:pStyle w:val="10"/>
        <w:widowControl/>
        <w:snapToGrid w:val="0"/>
        <w:spacing w:line="540" w:lineRule="exact"/>
        <w:ind w:firstLine="720"/>
        <w:jc w:val="left"/>
        <w:rPr>
          <w:rFonts w:hint="eastAsia" w:ascii="方正仿宋_GB2312" w:hAnsi="方正仿宋_GB2312" w:eastAsia="方正仿宋_GB2312" w:cs="方正仿宋_GB2312"/>
          <w:color w:val="000000"/>
          <w:kern w:val="0"/>
          <w:sz w:val="28"/>
          <w:szCs w:val="28"/>
          <w:shd w:val="clear" w:fill="FFFFFF"/>
        </w:rPr>
      </w:pPr>
      <w:r>
        <w:rPr>
          <w:rFonts w:hint="eastAsia" w:ascii="方正仿宋_GB2312" w:hAnsi="方正仿宋_GB2312" w:eastAsia="方正仿宋_GB2312" w:cs="方正仿宋_GB2312"/>
          <w:color w:val="000000"/>
          <w:kern w:val="0"/>
          <w:sz w:val="28"/>
          <w:szCs w:val="28"/>
          <w:shd w:val="clear" w:fill="FFFFFF"/>
        </w:rPr>
        <w:t xml:space="preserve"> </w:t>
      </w:r>
    </w:p>
    <w:p>
      <w:pPr>
        <w:pStyle w:val="2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rPr>
        <w:t>一、部门概况</w:t>
      </w:r>
    </w:p>
    <w:p>
      <w:pPr>
        <w:pStyle w:val="2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Cs/>
          <w:sz w:val="32"/>
          <w:szCs w:val="32"/>
          <w:shd w:val="clear" w:fill="FFFFFF"/>
        </w:rPr>
        <w:t>（一）机构组成</w:t>
      </w:r>
      <w:r>
        <w:rPr>
          <w:rFonts w:hint="eastAsia" w:ascii="方正仿宋_GB2312" w:hAnsi="方正仿宋_GB2312" w:eastAsia="方正仿宋_GB2312" w:cs="方正仿宋_GB2312"/>
          <w:b/>
          <w:bCs/>
          <w:sz w:val="32"/>
          <w:szCs w:val="32"/>
          <w:shd w:val="clear" w:fill="FFFFFF"/>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乐山市嘉州社会福利院是区民政</w:t>
      </w:r>
      <w:bookmarkStart w:id="52" w:name="_GoBack1"/>
      <w:bookmarkEnd w:id="52"/>
      <w:r>
        <w:rPr>
          <w:rFonts w:hint="eastAsia" w:ascii="方正仿宋_GB2312" w:hAnsi="方正仿宋_GB2312" w:eastAsia="方正仿宋_GB2312" w:cs="方正仿宋_GB2312"/>
          <w:sz w:val="32"/>
          <w:szCs w:val="32"/>
        </w:rPr>
        <w:t>局下属事业单位，建成于2010年，位于乐山市市中区苏稽镇楠元村。</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（二）机构职能</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shd w:val="clear" w:fill="FFFFFF"/>
        </w:rPr>
      </w:pPr>
      <w:r>
        <w:rPr>
          <w:rFonts w:hint="eastAsia" w:ascii="方正仿宋_GB2312" w:hAnsi="方正仿宋_GB2312" w:eastAsia="方正仿宋_GB2312" w:cs="方正仿宋_GB2312"/>
          <w:sz w:val="32"/>
          <w:szCs w:val="32"/>
        </w:rPr>
        <w:t>主要面向全区特困人员、流量乞讨人员、复员军人等开展集中供养服务和面向社会开展代养服务</w:t>
      </w:r>
      <w:r>
        <w:rPr>
          <w:rFonts w:hint="eastAsia" w:ascii="方正仿宋_GB2312" w:hAnsi="方正仿宋_GB2312" w:eastAsia="方正仿宋_GB2312" w:cs="方正仿宋_GB2312"/>
          <w:sz w:val="32"/>
          <w:szCs w:val="32"/>
          <w:shd w:val="clear" w:fill="FFFFFF"/>
        </w:rPr>
        <w:t>。</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u w:val="none"/>
          <w:shd w:val="clear" w:fill="FFFFFF"/>
        </w:rPr>
      </w:pPr>
      <w:r>
        <w:rPr>
          <w:rFonts w:hint="eastAsia" w:ascii="方正仿宋_GB2312" w:hAnsi="方正仿宋_GB2312" w:eastAsia="方正仿宋_GB2312" w:cs="方正仿宋_GB2312"/>
          <w:b/>
          <w:bCs/>
          <w:sz w:val="32"/>
          <w:szCs w:val="32"/>
          <w:u w:val="none"/>
          <w:shd w:val="clear" w:fill="FFFFFF"/>
        </w:rPr>
        <w:t>（二）人员概况</w:t>
      </w:r>
      <w:r>
        <w:rPr>
          <w:rFonts w:hint="eastAsia" w:ascii="方正仿宋_GB2312" w:hAnsi="方正仿宋_GB2312" w:eastAsia="方正仿宋_GB2312" w:cs="方正仿宋_GB2312"/>
          <w:sz w:val="32"/>
          <w:szCs w:val="32"/>
          <w:u w:val="none"/>
          <w:shd w:val="clear" w:fill="FFFFFF"/>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事业编制数3个，实有事业编制人员8名，其中安置乐山福利厂分流人员5人，设置九级管理岗位主任 2名，事业工勤人员4人.专技2人</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shd w:val="clear" w:fill="FFFFFF"/>
        </w:rPr>
      </w:pPr>
      <w:r>
        <w:rPr>
          <w:rFonts w:hint="eastAsia" w:ascii="方正仿宋_GB2312" w:hAnsi="方正仿宋_GB2312" w:eastAsia="方正仿宋_GB2312" w:cs="方正仿宋_GB2312"/>
          <w:b/>
          <w:bCs/>
          <w:sz w:val="32"/>
          <w:szCs w:val="32"/>
          <w:shd w:val="clear" w:fill="FFFFFF"/>
        </w:rPr>
        <w:t>二、部门财政资金收支情况</w:t>
      </w:r>
      <w:r>
        <w:rPr>
          <w:rFonts w:hint="eastAsia" w:ascii="方正仿宋_GB2312" w:hAnsi="方正仿宋_GB2312" w:eastAsia="方正仿宋_GB2312" w:cs="方正仿宋_GB2312"/>
          <w:sz w:val="32"/>
          <w:szCs w:val="32"/>
          <w:shd w:val="clear" w:fill="FFFFFF"/>
        </w:rPr>
        <w:t>。</w:t>
      </w:r>
    </w:p>
    <w:p>
      <w:pPr>
        <w:pStyle w:val="2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shd w:val="clear" w:fill="FFFFFF"/>
        </w:rPr>
      </w:pPr>
      <w:r>
        <w:rPr>
          <w:rFonts w:hint="eastAsia" w:ascii="方正仿宋_GB2312" w:hAnsi="方正仿宋_GB2312" w:eastAsia="方正仿宋_GB2312" w:cs="方正仿宋_GB2312"/>
          <w:sz w:val="32"/>
          <w:szCs w:val="32"/>
          <w:shd w:val="clear" w:fill="FFFFFF"/>
        </w:rPr>
        <w:t>（一）</w:t>
      </w:r>
      <w:r>
        <w:rPr>
          <w:rFonts w:hint="eastAsia" w:ascii="方正仿宋_GB2312" w:hAnsi="方正仿宋_GB2312" w:eastAsia="方正仿宋_GB2312" w:cs="方正仿宋_GB2312"/>
          <w:b/>
          <w:bCs/>
          <w:sz w:val="32"/>
          <w:szCs w:val="32"/>
          <w:shd w:val="clear" w:fill="FFFFFF"/>
        </w:rPr>
        <w:t>部门财政资金收入支情况</w:t>
      </w:r>
      <w:r>
        <w:rPr>
          <w:rFonts w:hint="eastAsia" w:ascii="方正仿宋_GB2312" w:hAnsi="方正仿宋_GB2312" w:eastAsia="方正仿宋_GB2312" w:cs="方正仿宋_GB2312"/>
          <w:sz w:val="32"/>
          <w:szCs w:val="32"/>
          <w:shd w:val="clear" w:fill="FFFFFF"/>
        </w:rPr>
        <w:t>。</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方正仿宋_GB2312" w:hAnsi="方正仿宋_GB2312" w:eastAsia="方正仿宋_GB2312" w:cs="方正仿宋_GB2312"/>
          <w:sz w:val="32"/>
          <w:szCs w:val="32"/>
        </w:rPr>
        <w:t xml:space="preserve"> 2020年总收入454.9万元，全年社会保障和就业收入 260.56万元，分别是社会事业单位养老收入12.56万元（其中养老保险8.37万元，职业年金4.19万元）；社会福利收入88.43万元（其中社会福利事业87.02万元，养老服务1.41万元）其他残疾人事业费0.75万元；其他社会保障和就业8.50万元；特困人员救助16.00万元；特困人员救助供养134.31万元。医疗保障收入3.27万元。住房保障收入9.68万元。年初结余结转117.43万元（其中社会福利20.85万元，特困人员救助65.24万元，其他社会福利和就业31.34万元）经营收人55.06万元，其他经营收入8.90万元。</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rPr>
        <w:t xml:space="preserve">   （二）部门财政资金支出情况</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2020年总收入454.90万元， 全年基本支出89.66万元，分别是社会保障支出76.71万元，其中行政事业单位养老支出12.56万元（养老保险8.37万元，职业年金4.19万元）；社会福利支出63.40万元；其他残疾人事业费支出0.75万元，卫生与健康事业单位医疗支出3.27万元；住房保障支出9.68万元。全年项目支出收入支出275.09万元；分别是社会福利支出45.88万元（其中社会福利事业单位23.62万元，养老服务1.41万元，其他社会福利20.85万元）；临时救助支出16.00万元，特困人员救助供养支出173.38万元（其中城镇特困人员救助供养0.09万元，农村特困人员救助支出173.28万元）社会保障就业支出39.84万元。经营支出55.06万元。本年项目支出结转结余35.09万元。</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rPr>
        <w:t>三、部门整体预算绩效管理情况。</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rPr>
        <w:t>（一）部门预算管理</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sz w:val="32"/>
          <w:szCs w:val="32"/>
        </w:rPr>
        <w:t xml:space="preserve">    我单位严格遵守《预算法》及预决算相关规定，在区财政局的指导下，严肃认真编制预决算，如实反映单位财务状况；严格执行绩效管理工作相关规定，进一步规范财政资金管理，强化财政支出绩效理念，提高单位责任意识，提高资金使用效益,促进养老事业发展。严格按照年初预算使用经费，严格按照中央八项规定和省委省政府十项规定</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shd w:val="clear" w:fill="FFFFFF"/>
        </w:rPr>
        <w:t>2020年，按要求及时公开预决算。</w:t>
      </w:r>
      <w:r>
        <w:rPr>
          <w:rFonts w:hint="eastAsia" w:ascii="方正仿宋_GB2312" w:hAnsi="方正仿宋_GB2312" w:eastAsia="方正仿宋_GB2312" w:cs="方正仿宋_GB2312"/>
          <w:color w:val="000000"/>
          <w:sz w:val="32"/>
          <w:szCs w:val="32"/>
        </w:rPr>
        <w:t>我单位严格</w:t>
      </w:r>
      <w:r>
        <w:rPr>
          <w:rFonts w:hint="eastAsia" w:ascii="方正仿宋_GB2312" w:hAnsi="方正仿宋_GB2312" w:eastAsia="方正仿宋_GB2312" w:cs="方正仿宋_GB2312"/>
          <w:sz w:val="32"/>
          <w:szCs w:val="32"/>
        </w:rPr>
        <w:t>遵守各项财经纪律和政府采购制度，实施采购计划，遵守自主采购相关程序，资产管理制度，建立建全完善内控制度，在合同管理及工程项目管理上有所进步。</w:t>
      </w:r>
      <w:r>
        <w:rPr>
          <w:rFonts w:hint="eastAsia" w:ascii="方正仿宋_GB2312" w:hAnsi="方正仿宋_GB2312" w:eastAsia="方正仿宋_GB2312" w:cs="方正仿宋_GB2312"/>
          <w:color w:val="000000"/>
          <w:sz w:val="32"/>
          <w:szCs w:val="32"/>
        </w:rPr>
        <w:t>资金使用管理过程中，建立了资金使用管理制度和财务管理制度，并得到有效执行。资金拨付及时到位，使用规范，财务会计资料真实，无截留、挪用项目资金和其它违规问题。各项支出严格遵守财务管理制度，实行专款专用，专人管理，做到按时、按规定范围列支</w:t>
      </w:r>
      <w:r>
        <w:rPr>
          <w:rFonts w:hint="eastAsia" w:ascii="方正仿宋_GB2312" w:hAnsi="方正仿宋_GB2312" w:eastAsia="方正仿宋_GB2312" w:cs="方正仿宋_GB2312"/>
          <w:b w:val="0"/>
          <w:bCs w:val="0"/>
          <w:color w:val="000000"/>
          <w:sz w:val="32"/>
          <w:szCs w:val="32"/>
        </w:rPr>
        <w:t>。</w:t>
      </w:r>
      <w:r>
        <w:rPr>
          <w:rFonts w:hint="eastAsia" w:ascii="方正仿宋_GB2312" w:hAnsi="方正仿宋_GB2312" w:eastAsia="方正仿宋_GB2312" w:cs="方正仿宋_GB2312"/>
          <w:b w:val="0"/>
          <w:bCs w:val="0"/>
          <w:sz w:val="32"/>
          <w:szCs w:val="32"/>
        </w:rPr>
        <w:t>在保障基本运转的前提下，大力倡导厉行节约，把有限的资金用在刀刃上。20</w:t>
      </w:r>
      <w:r>
        <w:rPr>
          <w:rFonts w:hint="eastAsia" w:ascii="方正仿宋_GB2312" w:hAnsi="方正仿宋_GB2312" w:eastAsia="方正仿宋_GB2312" w:cs="方正仿宋_GB2312"/>
          <w:b w:val="0"/>
          <w:bCs w:val="0"/>
          <w:sz w:val="32"/>
          <w:szCs w:val="32"/>
          <w:lang w:val="en-US" w:eastAsia="zh-CN"/>
        </w:rPr>
        <w:t>20</w:t>
      </w:r>
      <w:r>
        <w:rPr>
          <w:rFonts w:hint="eastAsia" w:ascii="方正仿宋_GB2312" w:hAnsi="方正仿宋_GB2312" w:eastAsia="方正仿宋_GB2312" w:cs="方正仿宋_GB2312"/>
          <w:b w:val="0"/>
          <w:bCs w:val="0"/>
          <w:sz w:val="32"/>
          <w:szCs w:val="32"/>
        </w:rPr>
        <w:t xml:space="preserve">年全年无因公出国（境）费用。 </w:t>
      </w:r>
      <w:r>
        <w:rPr>
          <w:rFonts w:hint="eastAsia" w:ascii="方正仿宋_GB2312" w:hAnsi="方正仿宋_GB2312" w:eastAsia="方正仿宋_GB2312" w:cs="方正仿宋_GB2312"/>
          <w:b w:val="0"/>
          <w:bCs w:val="0"/>
          <w:sz w:val="32"/>
          <w:szCs w:val="32"/>
        </w:rPr>
        <w:br w:type="textWrapping"/>
      </w:r>
      <w:r>
        <w:rPr>
          <w:rFonts w:hint="eastAsia" w:ascii="方正仿宋_GB2312" w:hAnsi="方正仿宋_GB2312" w:eastAsia="方正仿宋_GB2312" w:cs="方正仿宋_GB2312"/>
          <w:b w:val="0"/>
          <w:bCs w:val="0"/>
          <w:sz w:val="32"/>
          <w:szCs w:val="32"/>
        </w:rPr>
        <w:t>　　按照相关规定，本单位部门预决算、“三公”经费预决算、其他重要财政资金使用情况均已公开公示。</w:t>
      </w:r>
    </w:p>
    <w:p>
      <w:pPr>
        <w:pStyle w:val="1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lang w:val="en-US" w:eastAsia="zh-CN"/>
        </w:rPr>
        <w:t>二</w:t>
      </w: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rPr>
        <w:t>综合管理情况</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sz w:val="32"/>
          <w:szCs w:val="32"/>
        </w:rPr>
      </w:pPr>
      <w:r>
        <w:rPr>
          <w:rFonts w:hint="eastAsia" w:ascii="方正仿宋_GB2312" w:hAnsi="方正仿宋_GB2312" w:eastAsia="方正仿宋_GB2312" w:cs="方正仿宋_GB2312"/>
          <w:b w:val="0"/>
          <w:bCs w:val="0"/>
          <w:sz w:val="32"/>
          <w:szCs w:val="32"/>
        </w:rPr>
        <w:t xml:space="preserve"> 本单位制定有财务管理制度、内控制度及后勤工作管理制度等，细化了财务工作，明确了财务管理人员各自的责任，规章制度建立健全，制度执行严格合规，管理规范。会计核算符合相关规定，做到了资金的专款专用，资金支付依据和开支标准合法合规，账务处理正确，核算准确，会计科目使用完整正确，无乱用会计科目的现象。本单位严格按政府采购相关规定进行采购。 </w:t>
      </w:r>
      <w:r>
        <w:rPr>
          <w:rFonts w:hint="eastAsia" w:ascii="方正仿宋_GB2312" w:hAnsi="方正仿宋_GB2312" w:eastAsia="方正仿宋_GB2312" w:cs="方正仿宋_GB2312"/>
          <w:b w:val="0"/>
          <w:bCs w:val="0"/>
          <w:sz w:val="32"/>
          <w:szCs w:val="32"/>
        </w:rPr>
        <w:br w:type="textWrapping"/>
      </w:r>
      <w:r>
        <w:rPr>
          <w:rFonts w:hint="eastAsia" w:ascii="方正仿宋_GB2312" w:hAnsi="方正仿宋_GB2312" w:eastAsia="方正仿宋_GB2312" w:cs="方正仿宋_GB2312"/>
          <w:b w:val="0"/>
          <w:bCs w:val="0"/>
          <w:sz w:val="32"/>
          <w:szCs w:val="32"/>
        </w:rPr>
        <w:t xml:space="preserve">　　本部门已按照财政局要求强化绩效管理理念，秉承客观公正、实事求是的原则开展了单位自评工作，把好的经验用于本校以后的工作中，力争使财政资金在更大程度上发挥积极的作用。 </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lang w:val="en-US" w:eastAsia="zh-CN"/>
        </w:rPr>
        <w:t>四、</w:t>
      </w:r>
      <w:r>
        <w:rPr>
          <w:rFonts w:hint="eastAsia" w:ascii="方正仿宋_GB2312" w:hAnsi="方正仿宋_GB2312" w:eastAsia="方正仿宋_GB2312" w:cs="方正仿宋_GB2312"/>
          <w:b/>
          <w:bCs/>
          <w:sz w:val="32"/>
          <w:szCs w:val="32"/>
          <w:shd w:val="clear" w:fill="FFFFFF"/>
        </w:rPr>
        <w:t>整体绩效。</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在区委、区政府及区民政局的领导下，嘉州社会福利院发展取得了新突破。一是我院共入住</w:t>
      </w:r>
      <w:r>
        <w:rPr>
          <w:rFonts w:hint="eastAsia" w:ascii="方正仿宋_GB2312" w:hAnsi="方正仿宋_GB2312" w:eastAsia="方正仿宋_GB2312" w:cs="方正仿宋_GB2312"/>
          <w:sz w:val="32"/>
          <w:szCs w:val="32"/>
          <w:lang w:val="en-US" w:eastAsia="zh-CN"/>
        </w:rPr>
        <w:t>202</w:t>
      </w:r>
      <w:r>
        <w:rPr>
          <w:rFonts w:hint="eastAsia" w:ascii="方正仿宋_GB2312" w:hAnsi="方正仿宋_GB2312" w:eastAsia="方正仿宋_GB2312" w:cs="方正仿宋_GB2312"/>
          <w:sz w:val="32"/>
          <w:szCs w:val="32"/>
        </w:rPr>
        <w:t>名老人，入住率占7</w:t>
      </w:r>
      <w:r>
        <w:rPr>
          <w:rFonts w:hint="eastAsia" w:ascii="方正仿宋_GB2312" w:hAnsi="方正仿宋_GB2312" w:eastAsia="方正仿宋_GB2312" w:cs="方正仿宋_GB2312"/>
          <w:sz w:val="32"/>
          <w:szCs w:val="32"/>
          <w:lang w:val="en-US" w:eastAsia="zh-CN"/>
        </w:rPr>
        <w:t>2.14</w:t>
      </w:r>
      <w:r>
        <w:rPr>
          <w:rFonts w:hint="eastAsia" w:ascii="方正仿宋_GB2312" w:hAnsi="方正仿宋_GB2312" w:eastAsia="方正仿宋_GB2312" w:cs="方正仿宋_GB2312"/>
          <w:sz w:val="32"/>
          <w:szCs w:val="32"/>
        </w:rPr>
        <w:t>%；二是适老化改造工程</w:t>
      </w:r>
      <w:r>
        <w:rPr>
          <w:rFonts w:hint="eastAsia" w:ascii="方正仿宋_GB2312" w:hAnsi="方正仿宋_GB2312" w:eastAsia="方正仿宋_GB2312" w:cs="方正仿宋_GB2312"/>
          <w:sz w:val="32"/>
          <w:szCs w:val="32"/>
          <w:lang w:val="en-US" w:eastAsia="zh-CN"/>
        </w:rPr>
        <w:t>财政财评评审以完成</w:t>
      </w:r>
      <w:r>
        <w:rPr>
          <w:rFonts w:hint="eastAsia" w:ascii="方正仿宋_GB2312" w:hAnsi="方正仿宋_GB2312" w:eastAsia="方正仿宋_GB2312" w:cs="方正仿宋_GB2312"/>
          <w:sz w:val="32"/>
          <w:szCs w:val="32"/>
        </w:rPr>
        <w:t>。三是我院</w:t>
      </w:r>
      <w:r>
        <w:rPr>
          <w:rFonts w:hint="eastAsia" w:ascii="方正仿宋_GB2312" w:hAnsi="方正仿宋_GB2312" w:eastAsia="方正仿宋_GB2312" w:cs="方正仿宋_GB2312"/>
          <w:sz w:val="32"/>
          <w:szCs w:val="32"/>
          <w:lang w:val="en-US" w:eastAsia="zh-CN"/>
        </w:rPr>
        <w:t>在不平凡的一年（新冠肺炎疫情）</w:t>
      </w:r>
      <w:r>
        <w:rPr>
          <w:rFonts w:hint="eastAsia" w:ascii="方正仿宋_GB2312" w:hAnsi="方正仿宋_GB2312" w:eastAsia="方正仿宋_GB2312" w:cs="方正仿宋_GB2312"/>
          <w:sz w:val="32"/>
          <w:szCs w:val="32"/>
        </w:rPr>
        <w:t>。是贯彻执行十三五规划的收官之年，也是脱贫攻坚的收官之年和全国养老机构服务质量建设专项行动收官之年，更是全国一盘棋抗击新冠肺炎病毒疫情取得阶段性胜利之年。</w:t>
      </w:r>
      <w:r>
        <w:rPr>
          <w:rFonts w:hint="eastAsia" w:ascii="方正仿宋_GB2312" w:hAnsi="方正仿宋_GB2312" w:eastAsia="方正仿宋_GB2312" w:cs="方正仿宋_GB2312"/>
          <w:sz w:val="32"/>
          <w:szCs w:val="32"/>
          <w:lang w:val="en-US" w:eastAsia="zh-CN"/>
        </w:rPr>
        <w:t>在</w:t>
      </w:r>
      <w:r>
        <w:rPr>
          <w:rFonts w:hint="eastAsia" w:ascii="方正仿宋_GB2312" w:hAnsi="方正仿宋_GB2312" w:eastAsia="方正仿宋_GB2312" w:cs="方正仿宋_GB2312"/>
          <w:sz w:val="32"/>
          <w:szCs w:val="32"/>
        </w:rPr>
        <w:t>服务质量得到全面提升，在上级主管部门的领导下，坚持稳中求进的总基调，总结过去，坚守初心，展望未来，紧抓新机遇，展现新作为，瞄准新目标，创新新形势。通过抓重点、克难关、创亮点，细化日常动态管理；抓细、抓实安全管理，树牢安全发展理念，为确保供养对象的生命安全和身体健康。我们更要厉行勤俭节约。</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另外，在完成项目资金绩效目标上，五保生活费、特困人员护理费按月按实有人数申请资金且每月及时拨付到位，全年五保生活费</w:t>
      </w:r>
      <w:r>
        <w:rPr>
          <w:rFonts w:hint="eastAsia" w:ascii="方正仿宋_GB2312" w:hAnsi="方正仿宋_GB2312" w:eastAsia="方正仿宋_GB2312" w:cs="方正仿宋_GB2312"/>
          <w:sz w:val="32"/>
          <w:szCs w:val="32"/>
          <w:lang w:val="en-US" w:eastAsia="zh-CN"/>
        </w:rPr>
        <w:t>和护理费</w:t>
      </w:r>
      <w:r>
        <w:rPr>
          <w:rFonts w:hint="eastAsia" w:ascii="方正仿宋_GB2312" w:hAnsi="方正仿宋_GB2312" w:eastAsia="方正仿宋_GB2312" w:cs="方正仿宋_GB2312"/>
          <w:sz w:val="32"/>
          <w:szCs w:val="32"/>
        </w:rPr>
        <w:t>累计支出</w:t>
      </w:r>
      <w:r>
        <w:rPr>
          <w:rFonts w:hint="eastAsia" w:ascii="方正仿宋_GB2312" w:hAnsi="方正仿宋_GB2312" w:eastAsia="方正仿宋_GB2312" w:cs="方正仿宋_GB2312"/>
          <w:sz w:val="32"/>
          <w:szCs w:val="32"/>
          <w:lang w:val="en-US" w:eastAsia="zh-CN"/>
        </w:rPr>
        <w:t>173.38</w:t>
      </w:r>
      <w:r>
        <w:rPr>
          <w:rFonts w:hint="eastAsia" w:ascii="方正仿宋_GB2312" w:hAnsi="方正仿宋_GB2312" w:eastAsia="方正仿宋_GB2312" w:cs="方正仿宋_GB2312"/>
          <w:sz w:val="32"/>
          <w:szCs w:val="32"/>
        </w:rPr>
        <w:t>万元，劳务费、床位运营补贴、业务费保障了聘用人员工资及绩效和日常运营。扎实推进政府基金绩效目标，认真做好养老机构服务建设项目，根据福利院的实际情况，合理规划建设项目，通过申请、预算、设计、立项、图审、财评、招投标等程序，稳步推进项目实施，按其进度支付资金。</w:t>
      </w:r>
    </w:p>
    <w:p>
      <w:pPr>
        <w:pStyle w:val="2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lang w:val="en-US" w:eastAsia="zh-CN"/>
        </w:rPr>
        <w:t>五、</w:t>
      </w:r>
      <w:r>
        <w:rPr>
          <w:rFonts w:hint="eastAsia" w:ascii="方正仿宋_GB2312" w:hAnsi="方正仿宋_GB2312" w:eastAsia="方正仿宋_GB2312" w:cs="方正仿宋_GB2312"/>
          <w:b/>
          <w:bCs/>
          <w:sz w:val="32"/>
          <w:szCs w:val="32"/>
          <w:shd w:val="clear" w:fill="FFFFFF"/>
        </w:rPr>
        <w:t>评价结论及建议</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lang w:val="en-US" w:eastAsia="zh-CN"/>
        </w:rPr>
        <w:t>一</w:t>
      </w: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rPr>
        <w:t>评价结论</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2020</w:t>
      </w:r>
      <w:r>
        <w:rPr>
          <w:rFonts w:hint="eastAsia" w:ascii="方正仿宋_GB2312" w:hAnsi="方正仿宋_GB2312" w:eastAsia="方正仿宋_GB2312" w:cs="方正仿宋_GB2312"/>
          <w:sz w:val="32"/>
          <w:szCs w:val="32"/>
        </w:rPr>
        <w:t>年部门预算编制准确、绩效目标完成度高；预算总体按进度执行，三公经费严格按预算执行；项目资金的审核与拨付程序合规、手续齐全；部门决算真实反映了单位财务情况；单位严格执行中央八项规定和四川省十项规定，无违反规定的行为。通过单位自评体系得分97.5</w:t>
      </w:r>
      <w:r>
        <w:rPr>
          <w:rFonts w:hint="eastAsia" w:ascii="方正仿宋_GB2312" w:hAnsi="方正仿宋_GB2312" w:eastAsia="方正仿宋_GB2312" w:cs="方正仿宋_GB2312"/>
          <w:sz w:val="32"/>
          <w:szCs w:val="32"/>
          <w:lang w:val="en-US" w:eastAsia="zh-CN"/>
        </w:rPr>
        <w:t>分。</w:t>
      </w:r>
    </w:p>
    <w:p>
      <w:pPr>
        <w:pStyle w:val="2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lang w:val="en-US" w:eastAsia="zh-CN"/>
        </w:rPr>
        <w:t>二</w:t>
      </w: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rPr>
        <w:t>存在问题。</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shd w:val="clear" w:fill="FFFFFF"/>
          <w:lang w:val="en-US" w:eastAsia="zh-CN"/>
        </w:rPr>
      </w:pPr>
      <w:r>
        <w:rPr>
          <w:rFonts w:hint="eastAsia" w:ascii="方正仿宋_GB2312" w:hAnsi="方正仿宋_GB2312" w:eastAsia="方正仿宋_GB2312" w:cs="方正仿宋_GB2312"/>
          <w:sz w:val="32"/>
          <w:szCs w:val="32"/>
          <w:shd w:val="clear" w:fill="FFFFFF"/>
          <w:lang w:val="en-US" w:eastAsia="zh-CN"/>
        </w:rPr>
        <w:t>1、一是因2020年年初全国突发疫情，我院执行上级部门的文件要求，全院实行封闭式管理，院民因长期不能出入自由，不能回家与亲人团聚过年，增加了一些小矛盾。也增加了工作人员的工作量。二是因生活物资价格上涨，特困人员生活费开支比上年上涨了16%.三是年初本该完成的适老化改造工程因疫情实行封院管理，施工方不能及时进院处理，使该工程进度上推迟到2020年10月施工方进场并完工，支付也就推迟了。</w:t>
      </w:r>
    </w:p>
    <w:p>
      <w:pPr>
        <w:pStyle w:val="10"/>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shd w:val="clear" w:fill="FFFFFF"/>
        </w:rPr>
      </w:pP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lang w:val="en-US" w:eastAsia="zh-CN"/>
        </w:rPr>
        <w:t>三</w:t>
      </w:r>
      <w:r>
        <w:rPr>
          <w:rFonts w:hint="eastAsia" w:ascii="方正仿宋_GB2312" w:hAnsi="方正仿宋_GB2312" w:eastAsia="方正仿宋_GB2312" w:cs="方正仿宋_GB2312"/>
          <w:b/>
          <w:bCs/>
          <w:sz w:val="32"/>
          <w:szCs w:val="32"/>
          <w:shd w:val="clear" w:fill="FFFFFF"/>
          <w:lang w:eastAsia="zh-CN"/>
        </w:rPr>
        <w:t>）</w:t>
      </w:r>
      <w:r>
        <w:rPr>
          <w:rFonts w:hint="eastAsia" w:ascii="方正仿宋_GB2312" w:hAnsi="方正仿宋_GB2312" w:eastAsia="方正仿宋_GB2312" w:cs="方正仿宋_GB2312"/>
          <w:b/>
          <w:bCs/>
          <w:sz w:val="32"/>
          <w:szCs w:val="32"/>
          <w:shd w:val="clear" w:fill="FFFFFF"/>
        </w:rPr>
        <w:t>改进建议</w:t>
      </w:r>
    </w:p>
    <w:p>
      <w:pPr>
        <w:pStyle w:val="10"/>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今后我单位将积极加强与财政及上级部门的沟通与联系，加强项目实施进度，尽力确保项目在两年内实施完毕。根据我单位实际情况，适当补足单位资金缺口，以便单位运转。 </w:t>
      </w:r>
    </w:p>
    <w:p>
      <w:pPr>
        <w:pStyle w:val="10"/>
        <w:snapToGrid w:val="0"/>
        <w:spacing w:line="600" w:lineRule="exact"/>
        <w:ind w:firstLine="280" w:firstLineChars="1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zh-CN"/>
        </w:rPr>
        <w:t>附件</w:t>
      </w:r>
      <w:r>
        <w:rPr>
          <w:rFonts w:hint="eastAsia" w:ascii="黑体" w:hAnsi="黑体" w:eastAsia="黑体" w:cs="黑体"/>
          <w:b w:val="0"/>
          <w:bCs/>
          <w:sz w:val="28"/>
          <w:szCs w:val="28"/>
          <w:lang w:val="en-US" w:eastAsia="zh-CN"/>
        </w:rPr>
        <w:t>6</w:t>
      </w:r>
    </w:p>
    <w:p>
      <w:pPr>
        <w:pStyle w:val="10"/>
        <w:snapToGrid w:val="0"/>
        <w:spacing w:line="600" w:lineRule="exact"/>
        <w:ind w:firstLine="320" w:firstLineChars="100"/>
        <w:jc w:val="cente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2020年部门整体支出绩效自评表</w:t>
      </w:r>
    </w:p>
    <w:tbl>
      <w:tblPr>
        <w:tblW w:w="9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1080"/>
        <w:gridCol w:w="2250"/>
        <w:gridCol w:w="1080"/>
        <w:gridCol w:w="1080"/>
        <w:gridCol w:w="1080"/>
        <w:gridCol w:w="96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二级指标</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三级指标</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备 注</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18"/>
                <w:szCs w:val="18"/>
                <w:u w:val="none"/>
              </w:rPr>
            </w:pPr>
            <w:r>
              <w:rPr>
                <w:rFonts w:hint="eastAsia" w:ascii="仿宋_GB2312" w:hAnsi="宋体" w:eastAsia="仿宋_GB2312" w:cs="仿宋_GB2312"/>
                <w:b/>
                <w:bCs/>
                <w:i w:val="0"/>
                <w:iCs w:val="0"/>
                <w:color w:val="000000"/>
                <w:kern w:val="0"/>
                <w:sz w:val="18"/>
                <w:szCs w:val="18"/>
                <w:u w:val="none"/>
                <w:bdr w:val="none" w:color="auto" w:sz="0" w:space="0"/>
                <w:lang w:val="en-US" w:eastAsia="zh-CN" w:bidi="ar"/>
              </w:rPr>
              <w:t>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预算编制</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报送时效（1分）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基础信息更新（1分）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超过规定5个工作日内扣0.5分，10个工作日内扣1分，以此类推，直至扣完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编制质量（2分）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预算编制准确（1分）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其中：预算资金总来源是指市级年初预算与执行中追加预算（不含当年上级专款）总和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部门预算审查（1分）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对预工委审查后提出并确需修改的问题，每个问题扣0.02分，直至扣完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绩效目标（5分）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部门整体绩效目标（2分）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部门整体绩效目标能完整、合理反映部门年度职责履行情况的得分，否则不得分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重点项目绩效目标（3分）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项目支出绩效目标编制不明确和量化的发现一个口0.5分，直至扣完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转移支付提前下达（1分）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转移支付提前下达（1分）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未按规定提前下达转移支付的，按比例进行扣分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专项转移支付分地区分项目编制（1分）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专项转移支付分地区分项目编制（1分）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未按规定编制的，按比例进行扣分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预算执行</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执行进度（10分）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省级财力专项预算分配时限（4分）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按《预算法》规定时限完成分配的考核得分，否则不得分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（20分）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中央专款分配合规率（3分）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（1-未按规定时间在一个月内分配的中央专款规模÷中央专款总规模）×指标分值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部门预算执行进度（3分）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部门预算实际列支数÷部门预算总额×指标分值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预算调整（4分）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执行中期评估（4分）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当中期评估调整取消资金与结余注销资金之和为零时，得满分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行政成本（6分）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节能降耗（3分）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根据机关事务管理局节能考核换算得分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“三公”经费（3分）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部门“三公”经费决算数一项超预算扣1分，两项超预算扣2分，以此类推，直至扣完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综合管理（40分）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债务管理（2分）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债务还本付息（2分）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实际还本付息金额÷应付金额×指标分值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非税收入执收情况（4分）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非税收入征收情况（2分）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发现有未按规定的非税收入项目、标准执收非税收入或有违反规定缓减免非税收入的，发现一次扣0.5分，直至扣完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非税收入上缴情况（2分）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发现未及时足额将非税收入缴入财政的或则截留、挪用非税收入的，发现一次扣0.5分，直至扣完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政府采购实施计划（4分）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政府采购实施计划编制（2分）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（1-调整或细化资金/政府采购预算资金）×分值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政府采购实施计划执行（2分）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（1-实施计划本案后的调整或细化资金/实施计划备案后的资金）×分值</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资产管理（6分）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资产管理信息系统建设情况（2分）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①未将所属单位国有资产纳入系统管理，每少一个单位扣1分。②未将资产变动情况及时录入系统，每次扣0.5分。③未落实人员负责管理系统，扣1分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行政事业单位资产清查开展情况（2分）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①未在规定时间内完成资产清查任务，扣1分。②资产清查结果与财政组织复核的结果误差超过10%的，扣1分。③未及时更新资产管理信息系统，导致系统资产数据与上报财政的资产清查结果不一致，扣1分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行政事业单位资产报表上报情况（2分）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①未落实专人负责资产报表，未及时上报资产报表，扣1分。②报表填报不规范，内容不完整，数据不真实，扣1分。③未提交分析报告，对资产变动情况未作分析说明，扣1分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内控制度管理（2分）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内部控制制度健全完整（2分）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内部控制制度健全完整并执行良好的得分，否则不得分。在本年度内因内控制度不健全或执行不到位，造成单位出现廉政风险或发生重大责任事故的不得分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信息公开（6分）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预算公开（2分）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按市级财政通知要求公开预算，未按要求公开的，发现一处口0.5分，直至扣完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决算公开（2分）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未按要求公开的，发现一处扣0.5分，直至扣完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绩效信息公开（2分）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未按要求公开的，发现一处扣0.5分，直至扣完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绩效评价（10分）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评价项目覆盖率（2分）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评价覆盖率=实施绩效评价项目数量/申报绩效目标数量×100%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评价层次（2分）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实施评价下级预算单位的得分，否则不得分</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评价结果报告（2分）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未按要求报送的，发现一处扣0.5分，直至扣完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整改完成率（4分）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完成率=应制定整改措施的项目数量/部门实际制定整改措施项目数量×100%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依法接受财政监督（6分）</w:t>
            </w: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是否按要求开展自查自纠（2分）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未在规定时间内报送自查自纠相关材料（包括：纸质和电子版）的，扣0.5分；报告内容不完整，扣1分；报表质量差（如：数据、逻辑、勾稽关系错误）等扣0.5分；直至扣完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重点检查发现违规违纪问题（2分）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专项检查发现的违纪违规问题，每个问题扣0.5分，直至扣完</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80" w:type="dxa"/>
            <w:vMerge w:val="continue"/>
            <w:tcBorders>
              <w:top w:val="single" w:color="000000" w:sz="4" w:space="0"/>
              <w:left w:val="single" w:color="000000" w:sz="4" w:space="0"/>
              <w:bottom w:val="single" w:color="auto"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auto"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存在问题整改是否到位（2分）</w:t>
            </w:r>
          </w:p>
        </w:tc>
        <w:tc>
          <w:tcPr>
            <w:tcW w:w="4200" w:type="dxa"/>
            <w:gridSpan w:val="4"/>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未在规定时间内完成整改，并提供相关证明材料的，每个问题扣0.5分，直至扣完</w:t>
            </w:r>
          </w:p>
        </w:tc>
        <w:tc>
          <w:tcPr>
            <w:tcW w:w="1080" w:type="dxa"/>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080" w:type="dxa"/>
            <w:vMerge w:val="restart"/>
            <w:tcBorders>
              <w:top w:val="single" w:color="auto" w:sz="4" w:space="0"/>
              <w:left w:val="single" w:color="auto"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整体效益（30分）</w:t>
            </w:r>
          </w:p>
        </w:tc>
        <w:tc>
          <w:tcPr>
            <w:tcW w:w="1080" w:type="dxa"/>
            <w:vMerge w:val="restart"/>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部门整体绩效（30分）</w:t>
            </w:r>
          </w:p>
        </w:tc>
        <w:tc>
          <w:tcPr>
            <w:tcW w:w="2250"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部门职责履行结果（10分）</w:t>
            </w:r>
          </w:p>
        </w:tc>
        <w:tc>
          <w:tcPr>
            <w:tcW w:w="4200" w:type="dxa"/>
            <w:gridSpan w:val="4"/>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根据市政府部门绩效评估结果换算</w:t>
            </w:r>
          </w:p>
        </w:tc>
        <w:tc>
          <w:tcPr>
            <w:tcW w:w="1080" w:type="dxa"/>
            <w:tcBorders>
              <w:top w:val="single" w:color="auto"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080" w:type="dxa"/>
            <w:vMerge w:val="continue"/>
            <w:tcBorders>
              <w:top w:val="single" w:color="000000" w:sz="4" w:space="0"/>
              <w:left w:val="single" w:color="auto"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重点项目绩效评价结果（10分）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根据市级财政部门组织实施项目绩效评价结果换算</w:t>
            </w:r>
          </w:p>
        </w:tc>
        <w:tc>
          <w:tcPr>
            <w:tcW w:w="1080"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080" w:type="dxa"/>
            <w:vMerge w:val="continue"/>
            <w:tcBorders>
              <w:top w:val="single" w:color="000000" w:sz="4" w:space="0"/>
              <w:left w:val="single" w:color="auto"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服务对象满意度（10分）</w:t>
            </w:r>
          </w:p>
        </w:tc>
        <w:tc>
          <w:tcPr>
            <w:tcW w:w="420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根据市政府部门绩效评估结果换算</w:t>
            </w:r>
          </w:p>
        </w:tc>
        <w:tc>
          <w:tcPr>
            <w:tcW w:w="1080"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nil"/>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3330" w:type="dxa"/>
            <w:gridSpan w:val="2"/>
            <w:tcBorders>
              <w:top w:val="nil"/>
              <w:left w:val="nil"/>
              <w:bottom w:val="single" w:color="auto" w:sz="4" w:space="0"/>
              <w:right w:val="nil"/>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1080" w:type="dxa"/>
            <w:tcBorders>
              <w:top w:val="nil"/>
              <w:left w:val="nil"/>
              <w:bottom w:val="single" w:color="auto" w:sz="4" w:space="0"/>
              <w:right w:val="nil"/>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总分</w:t>
            </w:r>
          </w:p>
        </w:tc>
        <w:tc>
          <w:tcPr>
            <w:tcW w:w="1080" w:type="dxa"/>
            <w:tcBorders>
              <w:top w:val="nil"/>
              <w:left w:val="nil"/>
              <w:bottom w:val="single" w:color="auto" w:sz="4" w:space="0"/>
              <w:right w:val="nil"/>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1080" w:type="dxa"/>
            <w:tcBorders>
              <w:top w:val="nil"/>
              <w:left w:val="nil"/>
              <w:bottom w:val="single" w:color="auto" w:sz="4" w:space="0"/>
              <w:right w:val="nil"/>
            </w:tcBorders>
            <w:shd w:val="clear"/>
            <w:vAlign w:val="center"/>
          </w:tcPr>
          <w:p>
            <w:pPr>
              <w:jc w:val="left"/>
              <w:rPr>
                <w:rFonts w:hint="eastAsia" w:ascii="仿宋_GB2312" w:hAnsi="宋体" w:eastAsia="仿宋_GB2312" w:cs="仿宋_GB2312"/>
                <w:i w:val="0"/>
                <w:iCs w:val="0"/>
                <w:color w:val="000000"/>
                <w:sz w:val="18"/>
                <w:szCs w:val="18"/>
                <w:u w:val="none"/>
              </w:rPr>
            </w:pPr>
          </w:p>
        </w:tc>
        <w:tc>
          <w:tcPr>
            <w:tcW w:w="0" w:type="auto"/>
            <w:tcBorders>
              <w:top w:val="nil"/>
              <w:left w:val="nil"/>
              <w:bottom w:val="single" w:color="auto" w:sz="4" w:space="0"/>
              <w:right w:val="nil"/>
            </w:tcBorders>
            <w:shd w:val="clear"/>
            <w:noWrap/>
            <w:vAlign w:val="center"/>
          </w:tcPr>
          <w:p>
            <w:pPr>
              <w:rPr>
                <w:rFonts w:hint="eastAsia" w:ascii="仿宋_GB2312" w:hAnsi="宋体" w:eastAsia="仿宋_GB2312" w:cs="仿宋_GB2312"/>
                <w:i w:val="0"/>
                <w:iCs w:val="0"/>
                <w:color w:val="000000"/>
                <w:sz w:val="22"/>
                <w:szCs w:val="22"/>
                <w:u w:val="none"/>
              </w:rPr>
            </w:pP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97.5</w:t>
            </w:r>
          </w:p>
        </w:tc>
      </w:tr>
    </w:tbl>
    <w:p>
      <w:pPr>
        <w:pStyle w:val="10"/>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Style w:val="10"/>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fill="FFFFFF"/>
        </w:rPr>
      </w:pPr>
      <w:r>
        <w:rPr>
          <w:rStyle w:val="13"/>
          <w:rFonts w:hint="eastAsia" w:ascii="仿宋_GB2312" w:hAnsi="仿宋_GB2312" w:eastAsia="仿宋_GB2312" w:cs="仿宋_GB2312"/>
          <w:i w:val="0"/>
          <w:color w:val="000000"/>
          <w:kern w:val="0"/>
          <w:sz w:val="32"/>
          <w:szCs w:val="32"/>
          <w:shd w:val="clear" w:fill="FFFFFF"/>
        </w:rPr>
        <w:t>民生保障水平标准仍有待提高，区级民政资金配套面临较大压力。</w:t>
      </w:r>
      <w:r>
        <w:rPr>
          <w:rFonts w:hint="eastAsia" w:ascii="仿宋_GB2312" w:hAnsi="仿宋_GB2312" w:eastAsia="仿宋_GB2312" w:cs="仿宋_GB2312"/>
          <w:color w:val="000000"/>
          <w:kern w:val="0"/>
          <w:sz w:val="32"/>
          <w:szCs w:val="32"/>
          <w:shd w:val="clear" w:fill="FFFFFF"/>
        </w:rPr>
        <w:t> </w:t>
      </w:r>
    </w:p>
    <w:p>
      <w:pPr>
        <w:pStyle w:val="10"/>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（三）相关建议。</w:t>
      </w:r>
    </w:p>
    <w:p>
      <w:pPr>
        <w:pStyle w:val="10"/>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针对项目自评中发现的问题，提出下一步改进完善的意见及有关政策性建议。</w:t>
      </w:r>
    </w:p>
    <w:p>
      <w:pPr>
        <w:pStyle w:val="10"/>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rPr>
      </w:pPr>
      <w:r>
        <w:rPr>
          <w:rStyle w:val="13"/>
          <w:rFonts w:hint="eastAsia" w:ascii="仿宋_GB2312" w:hAnsi="仿宋_GB2312" w:eastAsia="仿宋_GB2312" w:cs="仿宋_GB2312"/>
          <w:i w:val="0"/>
          <w:color w:val="000000"/>
          <w:kern w:val="0"/>
          <w:sz w:val="32"/>
          <w:szCs w:val="32"/>
          <w:shd w:val="clear" w:fill="FFFFFF"/>
        </w:rPr>
        <w:t>一是积极争取上级资金。由部门做好资金需求的测算工作，及时与上级主管部门沟通，最大限度争取上级的资金支持。</w:t>
      </w:r>
      <w:r>
        <w:rPr>
          <w:rFonts w:hint="eastAsia" w:ascii="仿宋_GB2312" w:hAnsi="仿宋_GB2312" w:eastAsia="仿宋_GB2312" w:cs="仿宋_GB2312"/>
          <w:color w:val="000000"/>
          <w:kern w:val="0"/>
          <w:sz w:val="32"/>
          <w:szCs w:val="32"/>
          <w:shd w:val="clear" w:fill="FFFFFF"/>
        </w:rPr>
        <w:t> </w:t>
      </w:r>
      <w:r>
        <w:rPr>
          <w:rFonts w:hint="eastAsia" w:ascii="仿宋_GB2312" w:hAnsi="仿宋_GB2312" w:eastAsia="仿宋_GB2312" w:cs="仿宋_GB2312"/>
          <w:color w:val="000000"/>
          <w:kern w:val="0"/>
          <w:sz w:val="32"/>
          <w:szCs w:val="32"/>
          <w:shd w:val="clear" w:fill="FFFFFF"/>
        </w:rPr>
        <w:br w:type="textWrapping"/>
      </w:r>
      <w:r>
        <w:rPr>
          <w:rStyle w:val="13"/>
          <w:rFonts w:hint="eastAsia" w:ascii="仿宋_GB2312" w:hAnsi="仿宋_GB2312" w:eastAsia="仿宋_GB2312" w:cs="仿宋_GB2312"/>
          <w:i w:val="0"/>
          <w:color w:val="000000"/>
          <w:kern w:val="0"/>
          <w:sz w:val="32"/>
          <w:szCs w:val="32"/>
          <w:shd w:val="clear" w:fill="FFFFFF"/>
        </w:rPr>
        <w:t>　　二是建议区财政逐年加大对民生保障资金的投入力度，民政部门聚焦特殊群体，聚焦群众关切，更好履行基本民生保障基本职能，增强基层民政服务能力，推动我区民政事业持续健康发展。</w:t>
      </w:r>
      <w:r>
        <w:rPr>
          <w:rFonts w:hint="eastAsia" w:ascii="仿宋_GB2312" w:hAnsi="仿宋_GB2312" w:eastAsia="仿宋_GB2312" w:cs="仿宋_GB2312"/>
          <w:sz w:val="32"/>
          <w:szCs w:val="32"/>
          <w:lang w:val="zh-CN"/>
        </w:rPr>
        <w:tab/>
      </w:r>
    </w:p>
    <w:p>
      <w:pPr>
        <w:pStyle w:val="10"/>
        <w:keepNext w:val="0"/>
        <w:keepLines w:val="0"/>
        <w:pageBreakBefore w:val="0"/>
        <w:widowControl w:val="0"/>
        <w:kinsoku/>
        <w:wordWrap/>
        <w:overflowPunct/>
        <w:topLinePunct w:val="0"/>
        <w:autoSpaceDE/>
        <w:autoSpaceDN/>
        <w:bidi w:val="0"/>
        <w:adjustRightIn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shd w:val="clear" w:fill="FFFFFF"/>
          <w:lang w:val="zh-CN"/>
        </w:rPr>
        <w:t>希望下一步配备高学业有专业知识的管理人才；提高编外用工人员工资及福利待遇，调动职工工作积极性、责任心。</w:t>
      </w:r>
    </w:p>
    <w:p>
      <w:pPr>
        <w:pStyle w:val="10"/>
        <w:spacing w:line="70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shd w:val="clear" w:fill="FFFFFF"/>
        </w:rPr>
        <w:t xml:space="preserve">              </w:t>
      </w:r>
    </w:p>
    <w:p>
      <w:pPr>
        <w:pStyle w:val="10"/>
        <w:numPr>
          <w:ilvl w:val="0"/>
          <w:numId w:val="0"/>
        </w:numPr>
        <w:spacing w:line="600" w:lineRule="exact"/>
        <w:jc w:val="center"/>
        <w:outlineLvl w:val="0"/>
        <w:rPr>
          <w:rFonts w:hint="eastAsia" w:ascii="仿宋_GB2312" w:hAnsi="仿宋_GB2312" w:eastAsia="仿宋_GB2312" w:cs="仿宋_GB2312"/>
          <w:color w:val="000000"/>
          <w:sz w:val="32"/>
          <w:szCs w:val="32"/>
        </w:rPr>
      </w:pPr>
    </w:p>
    <w:p>
      <w:pPr>
        <w:pStyle w:val="10"/>
        <w:numPr>
          <w:ilvl w:val="0"/>
          <w:numId w:val="0"/>
        </w:numPr>
        <w:spacing w:line="600" w:lineRule="exact"/>
        <w:jc w:val="center"/>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嘉州社会福利院</w:t>
      </w:r>
    </w:p>
    <w:p>
      <w:pPr>
        <w:pStyle w:val="10"/>
        <w:numPr>
          <w:ilvl w:val="0"/>
          <w:numId w:val="0"/>
        </w:numPr>
        <w:spacing w:line="600" w:lineRule="exact"/>
        <w:jc w:val="center"/>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2021年10月27日</w:t>
      </w:r>
    </w:p>
    <w:p>
      <w:pPr>
        <w:pStyle w:val="10"/>
        <w:numPr>
          <w:ilvl w:val="0"/>
          <w:numId w:val="0"/>
        </w:numPr>
        <w:spacing w:line="600" w:lineRule="exact"/>
        <w:jc w:val="center"/>
        <w:outlineLvl w:val="0"/>
        <w:rPr>
          <w:rFonts w:hint="eastAsia" w:ascii="方正仿宋_GB2312" w:hAnsi="方正仿宋_GB2312" w:eastAsia="方正仿宋_GB2312" w:cs="方正仿宋_GB2312"/>
          <w:color w:val="000000"/>
          <w:sz w:val="44"/>
          <w:szCs w:val="44"/>
        </w:rPr>
      </w:pPr>
    </w:p>
    <w:p>
      <w:pPr>
        <w:pStyle w:val="10"/>
        <w:numPr>
          <w:ilvl w:val="0"/>
          <w:numId w:val="0"/>
        </w:numPr>
        <w:spacing w:line="600" w:lineRule="exact"/>
        <w:jc w:val="center"/>
        <w:outlineLvl w:val="0"/>
        <w:rPr>
          <w:rFonts w:hint="eastAsia" w:ascii="方正仿宋_GB2312" w:hAnsi="方正仿宋_GB2312" w:eastAsia="方正仿宋_GB2312" w:cs="方正仿宋_GB2312"/>
          <w:color w:val="000000"/>
          <w:sz w:val="44"/>
          <w:szCs w:val="44"/>
        </w:rPr>
      </w:pPr>
    </w:p>
    <w:p>
      <w:pPr>
        <w:pStyle w:val="10"/>
        <w:numPr>
          <w:ilvl w:val="0"/>
          <w:numId w:val="0"/>
        </w:numPr>
        <w:spacing w:line="600" w:lineRule="exact"/>
        <w:jc w:val="center"/>
        <w:outlineLvl w:val="0"/>
        <w:rPr>
          <w:rFonts w:hint="eastAsia" w:ascii="方正仿宋_GB2312" w:hAnsi="方正仿宋_GB2312" w:eastAsia="方正仿宋_GB2312" w:cs="方正仿宋_GB2312"/>
          <w:color w:val="000000"/>
          <w:sz w:val="44"/>
          <w:szCs w:val="44"/>
        </w:rPr>
      </w:pPr>
    </w:p>
    <w:p>
      <w:pPr>
        <w:pStyle w:val="10"/>
        <w:numPr>
          <w:ilvl w:val="0"/>
          <w:numId w:val="0"/>
        </w:numPr>
        <w:spacing w:line="600" w:lineRule="exact"/>
        <w:jc w:val="center"/>
        <w:outlineLvl w:val="0"/>
        <w:rPr>
          <w:rFonts w:hint="eastAsia" w:ascii="方正仿宋_GB2312" w:hAnsi="方正仿宋_GB2312" w:eastAsia="方正仿宋_GB2312" w:cs="方正仿宋_GB2312"/>
          <w:color w:val="000000"/>
          <w:sz w:val="44"/>
          <w:szCs w:val="44"/>
        </w:rPr>
      </w:pPr>
    </w:p>
    <w:p>
      <w:pPr>
        <w:pStyle w:val="10"/>
        <w:numPr>
          <w:ilvl w:val="0"/>
          <w:numId w:val="0"/>
        </w:numPr>
        <w:spacing w:line="600" w:lineRule="exact"/>
        <w:jc w:val="center"/>
        <w:outlineLvl w:val="0"/>
        <w:rPr>
          <w:rFonts w:hint="eastAsia" w:ascii="方正仿宋_GB2312" w:hAnsi="方正仿宋_GB2312" w:eastAsia="方正仿宋_GB2312" w:cs="方正仿宋_GB2312"/>
          <w:color w:val="000000"/>
          <w:sz w:val="44"/>
          <w:szCs w:val="44"/>
        </w:rPr>
      </w:pPr>
    </w:p>
    <w:p>
      <w:pPr>
        <w:pStyle w:val="10"/>
        <w:numPr>
          <w:ilvl w:val="0"/>
          <w:numId w:val="0"/>
        </w:numPr>
        <w:spacing w:line="600" w:lineRule="exact"/>
        <w:jc w:val="center"/>
        <w:outlineLvl w:val="0"/>
        <w:rPr>
          <w:rFonts w:hint="eastAsia" w:ascii="方正仿宋_GB2312" w:hAnsi="方正仿宋_GB2312" w:eastAsia="方正仿宋_GB2312" w:cs="方正仿宋_GB2312"/>
          <w:color w:val="000000"/>
          <w:sz w:val="44"/>
          <w:szCs w:val="44"/>
        </w:rPr>
      </w:pPr>
    </w:p>
    <w:p>
      <w:pPr>
        <w:pStyle w:val="10"/>
        <w:numPr>
          <w:ilvl w:val="0"/>
          <w:numId w:val="0"/>
        </w:numPr>
        <w:spacing w:line="600" w:lineRule="exact"/>
        <w:jc w:val="center"/>
        <w:outlineLvl w:val="0"/>
        <w:rPr>
          <w:rFonts w:hint="eastAsia" w:ascii="方正仿宋_GB2312" w:hAnsi="方正仿宋_GB2312" w:eastAsia="方正仿宋_GB2312" w:cs="方正仿宋_GB2312"/>
          <w:color w:val="000000"/>
          <w:sz w:val="44"/>
          <w:szCs w:val="44"/>
        </w:rPr>
      </w:pPr>
    </w:p>
    <w:p>
      <w:pPr>
        <w:pStyle w:val="10"/>
        <w:numPr>
          <w:ilvl w:val="0"/>
          <w:numId w:val="0"/>
        </w:numPr>
        <w:spacing w:line="600" w:lineRule="exact"/>
        <w:jc w:val="center"/>
        <w:outlineLvl w:val="0"/>
        <w:rPr>
          <w:rFonts w:hint="eastAsia" w:ascii="方正仿宋_GB2312" w:hAnsi="方正仿宋_GB2312" w:eastAsia="方正仿宋_GB2312" w:cs="方正仿宋_GB2312"/>
          <w:bCs/>
          <w:kern w:val="2"/>
          <w:sz w:val="44"/>
          <w:szCs w:val="44"/>
        </w:rPr>
      </w:pPr>
    </w:p>
    <w:p>
      <w:pPr>
        <w:pStyle w:val="10"/>
        <w:keepNext/>
        <w:keepLines/>
        <w:numPr>
          <w:ilvl w:val="0"/>
          <w:numId w:val="0"/>
        </w:numPr>
        <w:spacing w:before="260" w:beforeAutospacing="0" w:after="260" w:afterAutospacing="0" w:line="415" w:lineRule="auto"/>
        <w:outlineLvl w:val="1"/>
        <w:rPr>
          <w:rFonts w:hint="eastAsia" w:ascii="方正仿宋_GB2312" w:hAnsi="方正仿宋_GB2312" w:eastAsia="方正仿宋_GB2312" w:cs="方正仿宋_GB2312"/>
          <w:b/>
          <w:bCs/>
          <w:color w:val="000000"/>
          <w:sz w:val="32"/>
          <w:szCs w:val="32"/>
        </w:rPr>
      </w:pPr>
    </w:p>
    <w:sectPr>
      <w:headerReference r:id="rId4" w:type="default"/>
      <w:footerReference r:id="rId5" w:type="default"/>
      <w:pgSz w:w="11906" w:h="16838"/>
      <w:pgMar w:top="1984" w:right="1474" w:bottom="1701" w:left="1587" w:header="851" w:footer="992" w:gutter="0"/>
      <w:pgNumType w:fmt="decimal"/>
      <w:cols w:space="720" w:num="1"/>
      <w:formProt w:val="0"/>
      <w:docGrid w:type="lines" w:linePitch="312" w:charSpace="2877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Calibri">
    <w:panose1 w:val="020F0502020204030204"/>
    <w:charset w:val="01"/>
    <w:family w:val="auto"/>
    <w:pitch w:val="default"/>
    <w:sig w:usb0="E00002FF" w:usb1="4000ACFF" w:usb2="00000001" w:usb3="00000000" w:csb0="2000019F" w:csb1="00000000"/>
  </w:font>
  <w:font w:name="方正仿宋_GB2312">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lang w:val="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lvlText w:val="（%1）"/>
      <w:lvlJc w:val="left"/>
      <w:pPr>
        <w:tabs>
          <w:tab w:val="left" w:pos="0"/>
        </w:tabs>
        <w:ind w:left="885" w:hanging="885"/>
      </w:pPr>
      <w:rPr>
        <w:b/>
        <w:color w:val="000000"/>
        <w:sz w:val="28"/>
        <w:lang w:val="en-US"/>
      </w:rPr>
    </w:lvl>
    <w:lvl w:ilvl="1" w:tentative="0">
      <w:start w:val="1"/>
      <w:numFmt w:val="lowerLetter"/>
      <w:lvlText w:val="%2)"/>
      <w:lvlJc w:val="left"/>
      <w:pPr>
        <w:tabs>
          <w:tab w:val="left" w:pos="0"/>
        </w:tabs>
        <w:ind w:left="693" w:hanging="420"/>
      </w:pPr>
    </w:lvl>
    <w:lvl w:ilvl="2" w:tentative="0">
      <w:start w:val="1"/>
      <w:numFmt w:val="lowerRoman"/>
      <w:lvlText w:val="%3."/>
      <w:lvlJc w:val="right"/>
      <w:pPr>
        <w:tabs>
          <w:tab w:val="left" w:pos="0"/>
        </w:tabs>
        <w:ind w:left="1113" w:hanging="420"/>
      </w:pPr>
    </w:lvl>
    <w:lvl w:ilvl="3" w:tentative="0">
      <w:start w:val="1"/>
      <w:numFmt w:val="decimal"/>
      <w:lvlText w:val="%4."/>
      <w:lvlJc w:val="left"/>
      <w:pPr>
        <w:tabs>
          <w:tab w:val="left" w:pos="0"/>
        </w:tabs>
        <w:ind w:left="1533" w:hanging="420"/>
      </w:pPr>
    </w:lvl>
    <w:lvl w:ilvl="4" w:tentative="0">
      <w:start w:val="1"/>
      <w:numFmt w:val="lowerLetter"/>
      <w:lvlText w:val="%5)"/>
      <w:lvlJc w:val="left"/>
      <w:pPr>
        <w:tabs>
          <w:tab w:val="left" w:pos="0"/>
        </w:tabs>
        <w:ind w:left="1953" w:hanging="420"/>
      </w:pPr>
    </w:lvl>
    <w:lvl w:ilvl="5" w:tentative="0">
      <w:start w:val="1"/>
      <w:numFmt w:val="lowerRoman"/>
      <w:lvlText w:val="%6."/>
      <w:lvlJc w:val="right"/>
      <w:pPr>
        <w:tabs>
          <w:tab w:val="left" w:pos="0"/>
        </w:tabs>
        <w:ind w:left="2373" w:hanging="420"/>
      </w:pPr>
    </w:lvl>
    <w:lvl w:ilvl="6" w:tentative="0">
      <w:start w:val="1"/>
      <w:numFmt w:val="decimal"/>
      <w:lvlText w:val="%7."/>
      <w:lvlJc w:val="left"/>
      <w:pPr>
        <w:tabs>
          <w:tab w:val="left" w:pos="0"/>
        </w:tabs>
        <w:ind w:left="2793" w:hanging="420"/>
      </w:pPr>
    </w:lvl>
    <w:lvl w:ilvl="7" w:tentative="0">
      <w:start w:val="1"/>
      <w:numFmt w:val="lowerLetter"/>
      <w:lvlText w:val="%8)"/>
      <w:lvlJc w:val="left"/>
      <w:pPr>
        <w:tabs>
          <w:tab w:val="left" w:pos="0"/>
        </w:tabs>
        <w:ind w:left="3213" w:hanging="420"/>
      </w:pPr>
    </w:lvl>
    <w:lvl w:ilvl="8" w:tentative="0">
      <w:start w:val="1"/>
      <w:numFmt w:val="lowerRoman"/>
      <w:lvlText w:val="%9."/>
      <w:lvlJc w:val="right"/>
      <w:pPr>
        <w:tabs>
          <w:tab w:val="left" w:pos="0"/>
        </w:tabs>
        <w:ind w:left="363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autoHyphenation/>
  <w:displayHorizontalDrawingGridEvery w:val="1"/>
  <w:displayVerticalDrawingGridEvery w:val="1"/>
  <w:noPunctuationKerning w:val="1"/>
  <w:compat>
    <w:balanceSingleByteDoubleByteWidth/>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MzdiYjU2ZThkZDg3MGQ4OGIxYTY3OTkxYjEzNzEifQ=="/>
  </w:docVars>
  <w:rsids>
    <w:rsidRoot w:val="00000000"/>
    <w:rsid w:val="05A015B0"/>
    <w:rsid w:val="24800C56"/>
    <w:rsid w:val="36D25BDF"/>
    <w:rsid w:val="39423C4B"/>
    <w:rsid w:val="3D562CA5"/>
    <w:rsid w:val="3D6C1CE0"/>
    <w:rsid w:val="3FC34447"/>
    <w:rsid w:val="40366EAA"/>
    <w:rsid w:val="46865DD6"/>
    <w:rsid w:val="4FC35414"/>
    <w:rsid w:val="624B13B7"/>
    <w:rsid w:val="7C382358"/>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要点1"/>
    <w:basedOn w:val="5"/>
    <w:qFormat/>
    <w:uiPriority w:val="99"/>
    <w:rPr>
      <w:b/>
    </w:rPr>
  </w:style>
  <w:style w:type="character" w:customStyle="1" w:styleId="7">
    <w:name w:val="Internet 链接"/>
    <w:basedOn w:val="5"/>
    <w:unhideWhenUsed/>
    <w:qFormat/>
    <w:uiPriority w:val="99"/>
    <w:rPr>
      <w:color w:val="0000FF" w:themeColor="hyperlink"/>
      <w:u w:val="single"/>
      <w14:textFill>
        <w14:solidFill>
          <w14:schemeClr w14:val="hlink"/>
        </w14:solidFill>
      </w14:textFill>
    </w:rPr>
  </w:style>
  <w:style w:type="character" w:customStyle="1" w:styleId="8">
    <w:name w:val="标题 1 Char"/>
    <w:basedOn w:val="5"/>
    <w:link w:val="9"/>
    <w:qFormat/>
    <w:uiPriority w:val="9"/>
    <w:rPr>
      <w:rFonts w:ascii="Times New Roman" w:hAnsi="Times New Roman"/>
      <w:b/>
      <w:bCs/>
      <w:kern w:val="2"/>
      <w:sz w:val="44"/>
      <w:szCs w:val="44"/>
    </w:rPr>
  </w:style>
  <w:style w:type="paragraph" w:customStyle="1" w:styleId="9">
    <w:name w:val="标题 11"/>
    <w:basedOn w:val="10"/>
    <w:next w:val="10"/>
    <w:link w:val="8"/>
    <w:qFormat/>
    <w:uiPriority w:val="9"/>
    <w:pPr>
      <w:keepNext/>
      <w:keepLines/>
      <w:spacing w:before="340" w:beforeAutospacing="0" w:after="330" w:afterAutospacing="0" w:line="578" w:lineRule="auto"/>
      <w:outlineLvl w:val="0"/>
    </w:pPr>
    <w:rPr>
      <w:b/>
      <w:bCs/>
      <w:kern w:val="2"/>
      <w:sz w:val="44"/>
      <w:szCs w:val="44"/>
    </w:rPr>
  </w:style>
  <w:style w:type="paragraph" w:customStyle="1" w:styleId="10">
    <w:name w:val="正文1"/>
    <w:qFormat/>
    <w:uiPriority w:val="0"/>
    <w:pPr>
      <w:widowControl w:val="0"/>
      <w:suppressAutoHyphens w:val="0"/>
      <w:bidi w:val="0"/>
      <w:spacing w:beforeLines="0" w:beforeAutospacing="0" w:afterLines="0" w:afterAutospacing="0"/>
      <w:jc w:val="both"/>
    </w:pPr>
    <w:rPr>
      <w:rFonts w:ascii="Times New Roman" w:hAnsi="Times New Roman" w:eastAsia="宋体" w:cs="Times New Roman"/>
      <w:color w:val="auto"/>
      <w:kern w:val="2"/>
      <w:sz w:val="21"/>
      <w:szCs w:val="24"/>
      <w:lang w:val="en-US" w:eastAsia="zh-CN" w:bidi="ar-SA"/>
    </w:rPr>
  </w:style>
  <w:style w:type="character" w:customStyle="1" w:styleId="11">
    <w:name w:val="标题 2 Char"/>
    <w:basedOn w:val="5"/>
    <w:link w:val="12"/>
    <w:qFormat/>
    <w:uiPriority w:val="9"/>
    <w:rPr>
      <w:rFonts w:asciiTheme="majorHAnsi" w:hAnsiTheme="majorHAnsi" w:eastAsiaTheme="majorEastAsia" w:cstheme="majorBidi"/>
      <w:b/>
      <w:bCs/>
      <w:kern w:val="2"/>
      <w:sz w:val="32"/>
      <w:szCs w:val="32"/>
    </w:rPr>
  </w:style>
  <w:style w:type="paragraph" w:customStyle="1" w:styleId="12">
    <w:name w:val="标题 21"/>
    <w:basedOn w:val="10"/>
    <w:next w:val="10"/>
    <w:link w:val="11"/>
    <w:unhideWhenUsed/>
    <w:qFormat/>
    <w:uiPriority w:val="9"/>
    <w:pPr>
      <w:keepNext/>
      <w:keepLines/>
      <w:spacing w:before="260" w:beforeAutospacing="0" w:after="260" w:afterAutospacing="0" w:line="415" w:lineRule="auto"/>
      <w:outlineLvl w:val="1"/>
    </w:pPr>
    <w:rPr>
      <w:rFonts w:asciiTheme="majorHAnsi" w:hAnsiTheme="majorHAnsi" w:eastAsiaTheme="majorEastAsia" w:cstheme="majorBidi"/>
      <w:b/>
      <w:bCs/>
      <w:sz w:val="32"/>
      <w:szCs w:val="32"/>
    </w:rPr>
  </w:style>
  <w:style w:type="character" w:customStyle="1" w:styleId="13">
    <w:name w:val="强调1"/>
    <w:basedOn w:val="5"/>
    <w:qFormat/>
    <w:uiPriority w:val="20"/>
    <w:rPr>
      <w:i/>
    </w:rPr>
  </w:style>
  <w:style w:type="paragraph" w:customStyle="1" w:styleId="14">
    <w:name w:val="页脚1"/>
    <w:basedOn w:val="10"/>
    <w:qFormat/>
    <w:uiPriority w:val="99"/>
    <w:pPr>
      <w:tabs>
        <w:tab w:val="center" w:pos="4153"/>
        <w:tab w:val="right" w:pos="8306"/>
      </w:tabs>
      <w:snapToGrid w:val="0"/>
      <w:jc w:val="left"/>
    </w:pPr>
    <w:rPr>
      <w:rFonts w:ascii="Calibri" w:hAnsi="Calibri"/>
      <w:kern w:val="0"/>
      <w:sz w:val="18"/>
      <w:szCs w:val="18"/>
    </w:rPr>
  </w:style>
  <w:style w:type="paragraph" w:customStyle="1" w:styleId="15">
    <w:name w:val="页眉1"/>
    <w:basedOn w:val="10"/>
    <w:semiHidden/>
    <w:qFormat/>
    <w:uiPriority w:val="99"/>
    <w:pPr>
      <w:pBdr>
        <w:bottom w:val="single" w:color="000000" w:sz="6" w:space="1"/>
      </w:pBdr>
      <w:tabs>
        <w:tab w:val="center" w:pos="4153"/>
        <w:tab w:val="right" w:pos="8306"/>
      </w:tabs>
      <w:snapToGrid w:val="0"/>
      <w:jc w:val="center"/>
    </w:pPr>
    <w:rPr>
      <w:rFonts w:ascii="Calibri" w:hAnsi="Calibri"/>
      <w:kern w:val="0"/>
      <w:sz w:val="18"/>
      <w:szCs w:val="18"/>
    </w:rPr>
  </w:style>
  <w:style w:type="paragraph" w:customStyle="1" w:styleId="16">
    <w:name w:val="目录 11"/>
    <w:basedOn w:val="10"/>
    <w:next w:val="10"/>
    <w:unhideWhenUsed/>
    <w:qFormat/>
    <w:uiPriority w:val="39"/>
    <w:pPr>
      <w:tabs>
        <w:tab w:val="right" w:leader="dot" w:pos="8296"/>
      </w:tabs>
      <w:spacing w:before="93" w:beforeAutospacing="0" w:afterLines="0" w:afterAutospacing="0"/>
      <w:jc w:val="center"/>
    </w:pPr>
    <w:rPr>
      <w:rFonts w:ascii="仿宋" w:hAnsi="仿宋" w:eastAsia="仿宋"/>
      <w:sz w:val="28"/>
      <w:szCs w:val="28"/>
    </w:rPr>
  </w:style>
  <w:style w:type="paragraph" w:customStyle="1" w:styleId="17">
    <w:name w:val="目录 21"/>
    <w:basedOn w:val="10"/>
    <w:next w:val="10"/>
    <w:unhideWhenUsed/>
    <w:qFormat/>
    <w:uiPriority w:val="39"/>
    <w:pPr>
      <w:tabs>
        <w:tab w:val="right" w:leader="dot" w:pos="8296"/>
      </w:tabs>
      <w:ind w:left="420" w:leftChars="200"/>
    </w:pPr>
  </w:style>
  <w:style w:type="paragraph" w:customStyle="1" w:styleId="18">
    <w:name w:val="Default"/>
    <w:qFormat/>
    <w:uiPriority w:val="99"/>
    <w:pPr>
      <w:widowControl w:val="0"/>
      <w:suppressAutoHyphens w:val="0"/>
      <w:bidi w:val="0"/>
      <w:spacing w:beforeLines="0" w:beforeAutospacing="0" w:afterLines="0" w:afterAutospacing="0"/>
      <w:jc w:val="left"/>
    </w:pPr>
    <w:rPr>
      <w:rFonts w:ascii="仿宋" w:hAnsi="仿宋" w:eastAsia="仿宋" w:cs="仿宋"/>
      <w:color w:val="000000"/>
      <w:kern w:val="0"/>
      <w:sz w:val="24"/>
      <w:szCs w:val="24"/>
      <w:lang w:val="en-US" w:eastAsia="zh-CN" w:bidi="ar-SA"/>
    </w:rPr>
  </w:style>
  <w:style w:type="paragraph" w:customStyle="1" w:styleId="19">
    <w:name w:val="列表段落"/>
    <w:basedOn w:val="10"/>
    <w:qFormat/>
    <w:uiPriority w:val="34"/>
    <w:pPr>
      <w:ind w:firstLine="0" w:firstLineChars="200"/>
    </w:pPr>
  </w:style>
  <w:style w:type="paragraph" w:customStyle="1" w:styleId="20">
    <w:name w:val="〖B02〗二级标题"/>
    <w:next w:val="10"/>
    <w:qFormat/>
    <w:uiPriority w:val="0"/>
    <w:pPr>
      <w:widowControl w:val="0"/>
      <w:suppressAutoHyphens w:val="0"/>
      <w:bidi w:val="0"/>
      <w:spacing w:beforeLines="0" w:beforeAutospacing="0" w:afterLines="0" w:afterAutospacing="0" w:line="600" w:lineRule="exact"/>
      <w:jc w:val="left"/>
      <w:outlineLvl w:val="1"/>
    </w:pPr>
    <w:rPr>
      <w:rFonts w:ascii="楷体_GB2312" w:hAnsi="楷体_GB2312" w:eastAsia="楷体_GB2312" w:cs="Times New Roman"/>
      <w:color w:val="auto"/>
      <w:kern w:val="2"/>
      <w:sz w:val="32"/>
      <w:szCs w:val="21"/>
      <w:lang w:val="zh-CN" w:eastAsia="zh-CN" w:bidi="ar-SA"/>
    </w:rPr>
  </w:style>
  <w:style w:type="paragraph" w:customStyle="1" w:styleId="21">
    <w:name w:val="副标题1"/>
    <w:basedOn w:val="10"/>
    <w:next w:val="10"/>
    <w:qFormat/>
    <w:uiPriority w:val="11"/>
    <w:pPr>
      <w:spacing w:before="240" w:beforeAutospacing="0" w:after="60" w:afterAutospacing="0" w:line="312" w:lineRule="auto"/>
      <w:jc w:val="center"/>
      <w:outlineLvl w:val="1"/>
    </w:pPr>
    <w:rPr>
      <w:rFonts w:asciiTheme="majorHAnsi" w:hAnsiTheme="majorHAnsi" w:cstheme="majorBidi"/>
      <w:b/>
      <w:bCs/>
      <w:kern w:val="2"/>
      <w:sz w:val="32"/>
      <w:szCs w:val="32"/>
    </w:rPr>
  </w:style>
  <w:style w:type="paragraph" w:customStyle="1" w:styleId="22">
    <w:name w:val="〖B01〗一级标题"/>
    <w:next w:val="10"/>
    <w:qFormat/>
    <w:uiPriority w:val="0"/>
    <w:pPr>
      <w:widowControl/>
      <w:suppressAutoHyphens w:val="0"/>
      <w:bidi w:val="0"/>
      <w:spacing w:beforeLines="0" w:beforeAutospacing="0" w:afterLines="0" w:afterAutospacing="0" w:line="600" w:lineRule="exact"/>
      <w:ind w:firstLine="637"/>
      <w:jc w:val="left"/>
      <w:outlineLvl w:val="0"/>
    </w:pPr>
    <w:rPr>
      <w:rFonts w:ascii="黑体" w:hAnsi="黑体" w:eastAsia="黑体" w:cs="Times New Roman"/>
      <w:color w:val="auto"/>
      <w:kern w:val="2"/>
      <w:sz w:val="32"/>
      <w:szCs w:val="32"/>
      <w:lang w:val="en-US" w:eastAsia="zh-CN" w:bidi="ar-SA"/>
    </w:rPr>
  </w:style>
  <w:style w:type="paragraph" w:customStyle="1" w:styleId="23">
    <w:name w:val="〖A08〗公文标题"/>
    <w:next w:val="10"/>
    <w:qFormat/>
    <w:uiPriority w:val="0"/>
    <w:pPr>
      <w:widowControl w:val="0"/>
      <w:suppressAutoHyphens w:val="0"/>
      <w:bidi w:val="0"/>
      <w:spacing w:beforeLines="0" w:beforeAutospacing="0" w:afterLines="0" w:afterAutospacing="0" w:line="700" w:lineRule="exact"/>
      <w:jc w:val="center"/>
    </w:pPr>
    <w:rPr>
      <w:rFonts w:ascii="方正小标宋简体" w:hAnsi="方正小标宋简体" w:eastAsia="方正小标宋简体" w:cs="Times New Roman"/>
      <w:color w:val="auto"/>
      <w:kern w:val="2"/>
      <w:sz w:val="4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图1：收、支决算总计变动情况图</a:t>
            </a:r>
            <a:endParaRPr sz="1800" b="1" strike="noStrike" spc="-1">
              <a:solidFill>
                <a:srgbClr val="000000"/>
              </a:solidFill>
              <a:latin typeface="Calibri" panose="020F0502020204030204"/>
            </a:endParaRPr>
          </a:p>
        </c:rich>
      </c:tx>
      <c:layout/>
      <c:overlay val="0"/>
      <c:spPr>
        <a:noFill/>
        <a:ln w="0">
          <a:noFill/>
        </a:ln>
      </c:spPr>
    </c:title>
    <c:autoTitleDeleted val="0"/>
    <c:plotArea>
      <c:layout/>
      <c:barChart>
        <c:barDir val="col"/>
        <c:grouping val="clustered"/>
        <c:varyColors val="0"/>
        <c:ser>
          <c:idx val="0"/>
          <c:order val="0"/>
          <c:tx>
            <c:strRef>
              <c:f>label 0</c:f>
              <c:strCache>
                <c:ptCount val="1"/>
                <c:pt idx="0">
                  <c:v>金额</c:v>
                </c:pt>
              </c:strCache>
            </c:strRef>
          </c:tx>
          <c:spPr>
            <a:solidFill>
              <a:srgbClr val="4F81BD"/>
            </a:solidFill>
            <a:ln w="0">
              <a:noFill/>
            </a:ln>
          </c:spPr>
          <c:invertIfNegative val="0"/>
          <c:dPt>
            <c:idx val="1"/>
            <c:invertIfNegative val="0"/>
            <c:bubble3D val="0"/>
            <c:spPr>
              <a:solidFill>
                <a:srgbClr val="C0504D"/>
              </a:solidFill>
              <a:ln w="25560">
                <a:solidFill>
                  <a:srgbClr val="8E3B38"/>
                </a:solidFill>
                <a:round/>
              </a:ln>
            </c:spPr>
          </c:dPt>
          <c:dLbls>
            <c:dLbl>
              <c:idx val="1"/>
              <c:layout/>
              <c:numFmt formatCode="General"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extLst>
                <c:ext xmlns:c15="http://schemas.microsoft.com/office/drawing/2012/chart" uri="{CE6537A1-D6FC-4f65-9D91-7224C49458BB}"/>
              </c:extLst>
            </c:dLbl>
            <c:numFmt formatCode="General"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ext>
            </c:extLst>
          </c:dLbls>
          <c:cat>
            <c:strRef>
              <c:f>categories</c:f>
              <c:strCache>
                <c:ptCount val="2"/>
                <c:pt idx="0">
                  <c:v>2019年</c:v>
                </c:pt>
                <c:pt idx="1">
                  <c:v>2020年</c:v>
                </c:pt>
              </c:strCache>
            </c:strRef>
          </c:cat>
          <c:val>
            <c:numRef>
              <c:f>0</c:f>
              <c:numCache>
                <c:formatCode>General</c:formatCode>
                <c:ptCount val="2"/>
                <c:pt idx="0">
                  <c:v>530.72</c:v>
                </c:pt>
                <c:pt idx="1">
                  <c:v>454.92</c:v>
                </c:pt>
              </c:numCache>
            </c:numRef>
          </c:val>
        </c:ser>
        <c:dLbls>
          <c:showLegendKey val="0"/>
          <c:showVal val="1"/>
          <c:showCatName val="0"/>
          <c:showSerName val="0"/>
          <c:showPercent val="0"/>
          <c:showBubbleSize val="1"/>
        </c:dLbls>
        <c:gapWidth val="150"/>
        <c:axId val="24216043"/>
        <c:axId val="27897544"/>
      </c:barChart>
      <c:catAx>
        <c:axId val="24216043"/>
        <c:scaling>
          <c:orientation val="minMax"/>
        </c:scaling>
        <c:delete val="0"/>
        <c:axPos val="b"/>
        <c:numFmt formatCode="[$-804]yyyy/m/d"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27897544"/>
        <c:crosses val="autoZero"/>
        <c:auto val="1"/>
        <c:lblAlgn val="ctr"/>
        <c:lblOffset val="100"/>
        <c:noMultiLvlLbl val="0"/>
      </c:catAx>
      <c:valAx>
        <c:axId val="27897544"/>
        <c:scaling>
          <c:orientation val="minMax"/>
        </c:scaling>
        <c:delete val="0"/>
        <c:axPos val="l"/>
        <c:majorGridlines>
          <c:spPr>
            <a:ln w="9360" cap="flat" cmpd="sng" algn="ctr">
              <a:solidFill>
                <a:srgbClr val="878787"/>
              </a:solidFill>
              <a:prstDash val="solid"/>
              <a:round/>
            </a:ln>
          </c:spPr>
        </c:majorGridlines>
        <c:numFmt formatCode="General"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24216043"/>
        <c:crosses val="autoZero"/>
        <c:crossBetween val="between"/>
      </c:valAx>
      <c:spPr>
        <a:gradFill>
          <a:gsLst>
            <a:gs pos="0">
              <a:srgbClr val="D0D0D0"/>
            </a:gs>
            <a:gs pos="100000">
              <a:srgbClr val="EDEDED"/>
            </a:gs>
          </a:gsLst>
          <a:lin ang="16200000"/>
        </a:gradFill>
        <a:ln w="9360">
          <a:solidFill>
            <a:srgbClr val="000000"/>
          </a:solidFill>
          <a:round/>
        </a:ln>
        <a:effectLst/>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图2：2020年收入决算结构图</a:t>
            </a:r>
            <a:endParaRPr sz="1800" b="1" strike="noStrike" spc="-1">
              <a:solidFill>
                <a:srgbClr val="000000"/>
              </a:solidFill>
              <a:latin typeface="Calibri" panose="020F0502020204030204"/>
            </a:endParaRPr>
          </a:p>
        </c:rich>
      </c:tx>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Lbls>
            <c:dLbl>
              <c:idx val="0"/>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3"/>
                <c:pt idx="0">
                  <c:v>一般公共预算财政拨款收入273.51万元</c:v>
                </c:pt>
                <c:pt idx="1">
                  <c:v>经营收入55.06万元</c:v>
                </c:pt>
                <c:pt idx="2">
                  <c:v>其他收入8.97万元</c:v>
                </c:pt>
              </c:strCache>
            </c:strRef>
          </c:cat>
          <c:val>
            <c:numRef>
              <c:f>0</c:f>
              <c:numCache>
                <c:formatCode>General</c:formatCode>
                <c:ptCount val="3"/>
                <c:pt idx="0">
                  <c:v>0.7094</c:v>
                </c:pt>
                <c:pt idx="1">
                  <c:v>0.1632</c:v>
                </c:pt>
                <c:pt idx="2">
                  <c:v>0.0264</c:v>
                </c:pt>
              </c:numCache>
            </c:numRef>
          </c:val>
        </c:ser>
        <c:dLbls>
          <c:showLegendKey val="0"/>
          <c:showVal val="1"/>
          <c:showCatName val="0"/>
          <c:showSerName val="0"/>
          <c:showPercent val="0"/>
          <c:showBubbleSize val="1"/>
          <c:showLeaderLines val="1"/>
        </c:dLbls>
        <c:firstSliceAng val="0"/>
      </c:pieChart>
      <c:spPr>
        <a:solidFill>
          <a:srgbClr val="D9D9D9"/>
        </a:solidFill>
        <a:ln w="0">
          <a:noFill/>
        </a:ln>
        <a:effectLst/>
      </c:spPr>
    </c:plotArea>
    <c:legend>
      <c:legendPos val="r"/>
      <c:layout>
        <c:manualLayout>
          <c:xMode val="edge"/>
          <c:yMode val="edge"/>
          <c:x val="0.626375"/>
          <c:y val="0.386444444444444"/>
          <c:w val="0.344271516969811"/>
          <c:h val="0.405156128458718"/>
        </c:manualLayout>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图3：2020年支出决算结构图</a:t>
            </a:r>
            <a:endParaRPr sz="1800" b="1" strike="noStrike" spc="-1">
              <a:solidFill>
                <a:srgbClr val="000000"/>
              </a:solidFill>
              <a:latin typeface="Calibri" panose="020F0502020204030204"/>
            </a:endParaRPr>
          </a:p>
        </c:rich>
      </c:tx>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Lbls>
            <c:dLbl>
              <c:idx val="0"/>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3"/>
                <c:pt idx="0">
                  <c:v>基本支出89.66万元</c:v>
                </c:pt>
                <c:pt idx="1">
                  <c:v>经营支出55.06万元</c:v>
                </c:pt>
                <c:pt idx="2">
                  <c:v>项目支出275.09万元</c:v>
                </c:pt>
              </c:strCache>
            </c:strRef>
          </c:cat>
          <c:val>
            <c:numRef>
              <c:f>0</c:f>
              <c:numCache>
                <c:formatCode>General</c:formatCode>
                <c:ptCount val="3"/>
                <c:pt idx="0">
                  <c:v>0.2136</c:v>
                </c:pt>
                <c:pt idx="1">
                  <c:v>0.1312</c:v>
                </c:pt>
                <c:pt idx="2">
                  <c:v>0.6553</c:v>
                </c:pt>
              </c:numCache>
            </c:numRef>
          </c:val>
        </c:ser>
        <c:dLbls>
          <c:showLegendKey val="0"/>
          <c:showVal val="1"/>
          <c:showCatName val="0"/>
          <c:showSerName val="0"/>
          <c:showPercent val="0"/>
          <c:showBubbleSize val="1"/>
          <c:showLeaderLines val="1"/>
        </c:dLbls>
        <c:firstSliceAng val="0"/>
      </c:pieChart>
      <c:spPr>
        <a:solidFill>
          <a:srgbClr val="D9D9D9"/>
        </a:solidFill>
        <a:ln w="0">
          <a:noFill/>
        </a:ln>
        <a:effectLst/>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图4：财政拨款收、支决算总计变动情况图</a:t>
            </a:r>
            <a:endParaRPr sz="1800" b="1" strike="noStrike" spc="-1">
              <a:solidFill>
                <a:srgbClr val="000000"/>
              </a:solidFill>
              <a:latin typeface="Calibri" panose="020F0502020204030204"/>
            </a:endParaRPr>
          </a:p>
        </c:rich>
      </c:tx>
      <c:layout/>
      <c:overlay val="0"/>
      <c:spPr>
        <a:noFill/>
        <a:ln w="0">
          <a:noFill/>
        </a:ln>
      </c:spPr>
    </c:title>
    <c:autoTitleDeleted val="0"/>
    <c:plotArea>
      <c:layout/>
      <c:barChart>
        <c:barDir val="col"/>
        <c:grouping val="clustered"/>
        <c:varyColors val="0"/>
        <c:ser>
          <c:idx val="0"/>
          <c:order val="0"/>
          <c:tx>
            <c:strRef>
              <c:f>label 0</c:f>
              <c:strCache>
                <c:ptCount val="1"/>
                <c:pt idx="0">
                  <c:v>金额</c:v>
                </c:pt>
              </c:strCache>
            </c:strRef>
          </c:tx>
          <c:spPr>
            <a:solidFill>
              <a:srgbClr val="4F81BD"/>
            </a:solidFill>
            <a:ln w="0">
              <a:noFill/>
            </a:ln>
          </c:spPr>
          <c:invertIfNegative val="0"/>
          <c:dPt>
            <c:idx val="1"/>
            <c:invertIfNegative val="0"/>
            <c:bubble3D val="0"/>
            <c:spPr>
              <a:gradFill>
                <a:gsLst>
                  <a:gs pos="0">
                    <a:srgbClr val="9C2F2C"/>
                  </a:gs>
                  <a:gs pos="100000">
                    <a:srgbClr val="CB3D39"/>
                  </a:gs>
                </a:gsLst>
                <a:lin ang="16200000"/>
              </a:gradFill>
              <a:ln w="9360">
                <a:solidFill>
                  <a:srgbClr val="BE4B48"/>
                </a:solidFill>
                <a:round/>
              </a:ln>
            </c:spPr>
          </c:dPt>
          <c:dLbls>
            <c:dLbl>
              <c:idx val="1"/>
              <c:layout/>
              <c:numFmt formatCode="General"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extLst>
                <c:ext xmlns:c15="http://schemas.microsoft.com/office/drawing/2012/chart" uri="{CE6537A1-D6FC-4f65-9D91-7224C49458BB}"/>
              </c:extLst>
            </c:dLbl>
            <c:numFmt formatCode="General"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ext>
            </c:extLst>
          </c:dLbls>
          <c:cat>
            <c:strRef>
              <c:f>categories</c:f>
              <c:strCache>
                <c:ptCount val="2"/>
                <c:pt idx="0">
                  <c:v>2019年</c:v>
                </c:pt>
                <c:pt idx="1">
                  <c:v>2020年</c:v>
                </c:pt>
              </c:strCache>
            </c:strRef>
          </c:cat>
          <c:val>
            <c:numRef>
              <c:f>0</c:f>
              <c:numCache>
                <c:formatCode>General</c:formatCode>
                <c:ptCount val="2"/>
                <c:pt idx="0">
                  <c:v>404.73</c:v>
                </c:pt>
                <c:pt idx="1">
                  <c:v>325.7</c:v>
                </c:pt>
              </c:numCache>
            </c:numRef>
          </c:val>
        </c:ser>
        <c:dLbls>
          <c:showLegendKey val="0"/>
          <c:showVal val="1"/>
          <c:showCatName val="0"/>
          <c:showSerName val="0"/>
          <c:showPercent val="0"/>
          <c:showBubbleSize val="1"/>
        </c:dLbls>
        <c:gapWidth val="150"/>
        <c:axId val="57578839"/>
        <c:axId val="89936743"/>
      </c:barChart>
      <c:catAx>
        <c:axId val="57578839"/>
        <c:scaling>
          <c:orientation val="minMax"/>
        </c:scaling>
        <c:delete val="0"/>
        <c:axPos val="b"/>
        <c:numFmt formatCode="[$-804]yyyy/m/d"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89936743"/>
        <c:crosses val="autoZero"/>
        <c:auto val="1"/>
        <c:lblAlgn val="ctr"/>
        <c:lblOffset val="100"/>
        <c:noMultiLvlLbl val="0"/>
      </c:catAx>
      <c:valAx>
        <c:axId val="89936743"/>
        <c:scaling>
          <c:orientation val="minMax"/>
        </c:scaling>
        <c:delete val="0"/>
        <c:axPos val="l"/>
        <c:majorGridlines>
          <c:spPr>
            <a:ln w="9360" cap="flat" cmpd="sng" algn="ctr">
              <a:solidFill>
                <a:srgbClr val="878787"/>
              </a:solidFill>
              <a:prstDash val="solid"/>
              <a:round/>
            </a:ln>
          </c:spPr>
        </c:majorGridlines>
        <c:numFmt formatCode="General"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57578839"/>
        <c:crosses val="autoZero"/>
        <c:crossBetween val="between"/>
      </c:valAx>
      <c:spPr>
        <a:gradFill>
          <a:gsLst>
            <a:gs pos="0">
              <a:srgbClr val="D0D0D0"/>
            </a:gs>
            <a:gs pos="100000">
              <a:srgbClr val="EDEDED"/>
            </a:gs>
          </a:gsLst>
          <a:lin ang="16200000"/>
        </a:gradFill>
        <a:ln w="9360">
          <a:solidFill>
            <a:srgbClr val="000000"/>
          </a:solidFill>
          <a:round/>
        </a:ln>
        <a:effectLst/>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图5：一般公共预算财政拨款支出决算       变动情况图</a:t>
            </a:r>
            <a:endParaRPr sz="1800" b="1" strike="noStrike" spc="-1">
              <a:solidFill>
                <a:srgbClr val="000000"/>
              </a:solidFill>
              <a:latin typeface="Calibri" panose="020F0502020204030204"/>
            </a:endParaRPr>
          </a:p>
        </c:rich>
      </c:tx>
      <c:layout/>
      <c:overlay val="0"/>
      <c:spPr>
        <a:noFill/>
        <a:ln w="0">
          <a:noFill/>
        </a:ln>
      </c:spPr>
    </c:title>
    <c:autoTitleDeleted val="0"/>
    <c:plotArea>
      <c:layout/>
      <c:barChart>
        <c:barDir val="col"/>
        <c:grouping val="clustered"/>
        <c:varyColors val="0"/>
        <c:ser>
          <c:idx val="0"/>
          <c:order val="0"/>
          <c:tx>
            <c:strRef>
              <c:f>label 0</c:f>
              <c:strCache>
                <c:ptCount val="1"/>
                <c:pt idx="0">
                  <c:v>金额</c:v>
                </c:pt>
              </c:strCache>
            </c:strRef>
          </c:tx>
          <c:spPr>
            <a:solidFill>
              <a:srgbClr val="4F81BD"/>
            </a:solidFill>
            <a:ln w="0">
              <a:noFill/>
            </a:ln>
          </c:spPr>
          <c:invertIfNegative val="0"/>
          <c:dPt>
            <c:idx val="1"/>
            <c:invertIfNegative val="0"/>
            <c:bubble3D val="0"/>
            <c:spPr>
              <a:gradFill>
                <a:gsLst>
                  <a:gs pos="0">
                    <a:srgbClr val="9C2F2C"/>
                  </a:gs>
                  <a:gs pos="100000">
                    <a:srgbClr val="CB3D39"/>
                  </a:gs>
                </a:gsLst>
                <a:lin ang="16200000"/>
              </a:gradFill>
              <a:ln w="9360">
                <a:solidFill>
                  <a:srgbClr val="BE4B48"/>
                </a:solidFill>
                <a:round/>
              </a:ln>
            </c:spPr>
          </c:dPt>
          <c:dLbls>
            <c:dLbl>
              <c:idx val="1"/>
              <c:layout/>
              <c:numFmt formatCode="General"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extLst>
                <c:ext xmlns:c15="http://schemas.microsoft.com/office/drawing/2012/chart" uri="{CE6537A1-D6FC-4f65-9D91-7224C49458BB}"/>
              </c:extLst>
            </c:dLbl>
            <c:numFmt formatCode="General"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outEnd"/>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1"/>
                <c15:leaderLines/>
              </c:ext>
            </c:extLst>
          </c:dLbls>
          <c:cat>
            <c:strRef>
              <c:f>categories</c:f>
              <c:strCache>
                <c:ptCount val="2"/>
                <c:pt idx="0">
                  <c:v>2019年</c:v>
                </c:pt>
                <c:pt idx="1">
                  <c:v>2020年</c:v>
                </c:pt>
              </c:strCache>
            </c:strRef>
          </c:cat>
          <c:val>
            <c:numRef>
              <c:f>0</c:f>
              <c:numCache>
                <c:formatCode>General</c:formatCode>
                <c:ptCount val="2"/>
                <c:pt idx="0">
                  <c:v>370.96</c:v>
                </c:pt>
                <c:pt idx="1">
                  <c:v>325.69</c:v>
                </c:pt>
              </c:numCache>
            </c:numRef>
          </c:val>
        </c:ser>
        <c:dLbls>
          <c:showLegendKey val="0"/>
          <c:showVal val="1"/>
          <c:showCatName val="0"/>
          <c:showSerName val="0"/>
          <c:showPercent val="0"/>
          <c:showBubbleSize val="1"/>
        </c:dLbls>
        <c:gapWidth val="150"/>
        <c:axId val="92557121"/>
        <c:axId val="69020949"/>
      </c:barChart>
      <c:catAx>
        <c:axId val="92557121"/>
        <c:scaling>
          <c:orientation val="minMax"/>
        </c:scaling>
        <c:delete val="0"/>
        <c:axPos val="b"/>
        <c:numFmt formatCode="General"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69020949"/>
        <c:crosses val="autoZero"/>
        <c:auto val="1"/>
        <c:lblAlgn val="ctr"/>
        <c:lblOffset val="100"/>
        <c:noMultiLvlLbl val="0"/>
      </c:catAx>
      <c:valAx>
        <c:axId val="69020949"/>
        <c:scaling>
          <c:orientation val="minMax"/>
        </c:scaling>
        <c:delete val="0"/>
        <c:axPos val="l"/>
        <c:majorGridlines>
          <c:spPr>
            <a:ln w="9360" cap="flat" cmpd="sng" algn="ctr">
              <a:solidFill>
                <a:srgbClr val="878787"/>
              </a:solidFill>
              <a:prstDash val="solid"/>
              <a:round/>
            </a:ln>
          </c:spPr>
        </c:majorGridlines>
        <c:numFmt formatCode="General" sourceLinked="0"/>
        <c:majorTickMark val="out"/>
        <c:minorTickMark val="none"/>
        <c:tickLblPos val="nextTo"/>
        <c:spPr>
          <a:ln w="9360" cap="flat" cmpd="sng" algn="ctr">
            <a:solidFill>
              <a:srgbClr val="878787"/>
            </a:solidFill>
            <a:prstDash val="solid"/>
            <a:round/>
          </a:ln>
        </c:spPr>
        <c:txPr>
          <a:bodyPr rot="-6000000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crossAx val="92557121"/>
        <c:crosses val="autoZero"/>
        <c:crossBetween val="between"/>
      </c:valAx>
      <c:spPr>
        <a:gradFill>
          <a:gsLst>
            <a:gs pos="0">
              <a:srgbClr val="D0D0D0"/>
            </a:gs>
            <a:gs pos="100000">
              <a:srgbClr val="EDEDED"/>
            </a:gs>
          </a:gsLst>
          <a:lin ang="16200000"/>
        </a:gradFill>
        <a:ln w="9360">
          <a:solidFill>
            <a:srgbClr val="000000"/>
          </a:solidFill>
          <a:round/>
        </a:ln>
        <a:effectLst/>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图6：一般公共预算财政拨款支出决算结构图</a:t>
            </a:r>
            <a:endParaRPr sz="1800" b="1" strike="noStrike" spc="-1">
              <a:solidFill>
                <a:srgbClr val="000000"/>
              </a:solidFill>
              <a:latin typeface="Calibri" panose="020F0502020204030204"/>
            </a:endParaRPr>
          </a:p>
        </c:rich>
      </c:tx>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Pt>
            <c:idx val="3"/>
            <c:bubble3D val="0"/>
            <c:spPr>
              <a:solidFill>
                <a:srgbClr val="8064A2"/>
              </a:solidFill>
              <a:ln w="0">
                <a:noFill/>
              </a:ln>
            </c:spPr>
          </c:dPt>
          <c:dLbls>
            <c:dLbl>
              <c:idx val="0"/>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Arial" panose="020B0604020202020204" pitchFamily="2"/>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Arial" panose="020B0604020202020204" pitchFamily="2"/>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Arial" panose="020B0604020202020204" pitchFamily="2"/>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3"/>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Arial" panose="020B0604020202020204" pitchFamily="2"/>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Arial" panose="020B0604020202020204" pitchFamily="2"/>
                    <a:ea typeface="+mn-ea"/>
                    <a:cs typeface="+mn-cs"/>
                  </a:defRPr>
                </a:pPr>
              </a:p>
            </c:txPr>
            <c:dLblPos val="bestFit"/>
            <c:showLegendKey val="0"/>
            <c:showVal val="0"/>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4"/>
                <c:pt idx="0">
                  <c:v>一般公共服务支出325.69万元</c:v>
                </c:pt>
                <c:pt idx="1">
                  <c:v>社会保障和就业支出312.74万元</c:v>
                </c:pt>
                <c:pt idx="2">
                  <c:v>卫生健康支出3.27万元</c:v>
                </c:pt>
                <c:pt idx="3">
                  <c:v>住房保障支出9.68万元</c:v>
                </c:pt>
              </c:strCache>
            </c:strRef>
          </c:cat>
          <c:val>
            <c:numRef>
              <c:f>0</c:f>
              <c:numCache>
                <c:formatCode>General</c:formatCode>
                <c:ptCount val="4"/>
                <c:pt idx="0">
                  <c:v>0.7159</c:v>
                </c:pt>
                <c:pt idx="1">
                  <c:v>0.9602</c:v>
                </c:pt>
                <c:pt idx="2">
                  <c:v>0.001</c:v>
                </c:pt>
                <c:pt idx="3">
                  <c:v>0.0029</c:v>
                </c:pt>
              </c:numCache>
            </c:numRef>
          </c:val>
        </c:ser>
        <c:dLbls>
          <c:showLegendKey val="0"/>
          <c:showVal val="0"/>
          <c:showCatName val="0"/>
          <c:showSerName val="0"/>
          <c:showPercent val="0"/>
          <c:showBubbleSize val="1"/>
          <c:showLeaderLines val="1"/>
        </c:dLbls>
        <c:firstSliceAng val="0"/>
      </c:pieChart>
      <c:spPr>
        <a:solidFill>
          <a:srgbClr val="D9D9D9"/>
        </a:solidFill>
        <a:ln w="0">
          <a:noFill/>
        </a:ln>
        <a:effectLst/>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spc="-1" baseline="0">
                <a:solidFill>
                  <a:srgbClr val="000000"/>
                </a:solidFill>
                <a:latin typeface="Calibri" panose="020F0502020204030204"/>
                <a:ea typeface="+mn-ea"/>
                <a:cs typeface="+mn-cs"/>
              </a:defRPr>
            </a:pPr>
            <a:r>
              <a:rPr sz="1800" b="1" strike="noStrike" spc="-1">
                <a:solidFill>
                  <a:srgbClr val="000000"/>
                </a:solidFill>
                <a:latin typeface="Calibri" panose="020F0502020204030204"/>
              </a:rPr>
              <a:t>图7：2020年  "三公”经费财政拨款                  支出结构图</a:t>
            </a:r>
            <a:endParaRPr sz="1800" b="1" strike="noStrike" spc="-1">
              <a:solidFill>
                <a:srgbClr val="000000"/>
              </a:solidFill>
              <a:latin typeface="Calibri" panose="020F0502020204030204"/>
            </a:endParaRPr>
          </a:p>
        </c:rich>
      </c:tx>
      <c:layout/>
      <c:overlay val="0"/>
      <c:spPr>
        <a:noFill/>
        <a:ln w="0">
          <a:noFill/>
        </a:ln>
      </c:spPr>
    </c:title>
    <c:autoTitleDeleted val="0"/>
    <c:plotArea>
      <c:layout/>
      <c:pieChart>
        <c:varyColors val="1"/>
        <c:ser>
          <c:idx val="0"/>
          <c:order val="0"/>
          <c:tx>
            <c:strRef>
              <c:f>label 0</c:f>
              <c:strCache>
                <c:ptCount val="1"/>
                <c:pt idx="0">
                  <c:v>占比</c:v>
                </c:pt>
              </c:strCache>
            </c:strRef>
          </c:tx>
          <c:spPr>
            <a:solidFill>
              <a:srgbClr val="4F81BD"/>
            </a:solidFill>
            <a:ln w="0">
              <a:noFill/>
            </a:ln>
          </c:spPr>
          <c:explosion val="0"/>
          <c:dPt>
            <c:idx val="0"/>
            <c:bubble3D val="0"/>
            <c:spPr>
              <a:solidFill>
                <a:srgbClr val="4F81BD"/>
              </a:solidFill>
              <a:ln w="0">
                <a:noFill/>
              </a:ln>
            </c:spPr>
          </c:dPt>
          <c:dPt>
            <c:idx val="1"/>
            <c:bubble3D val="0"/>
            <c:spPr>
              <a:solidFill>
                <a:srgbClr val="C0504D"/>
              </a:solidFill>
              <a:ln w="0">
                <a:noFill/>
              </a:ln>
            </c:spPr>
          </c:dPt>
          <c:dPt>
            <c:idx val="2"/>
            <c:bubble3D val="0"/>
            <c:spPr>
              <a:solidFill>
                <a:srgbClr val="9BBB59"/>
              </a:solidFill>
              <a:ln w="0">
                <a:noFill/>
              </a:ln>
            </c:spPr>
          </c:dPt>
          <c:dLbls>
            <c:dLbl>
              <c:idx val="0"/>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dLbl>
              <c:idx val="2"/>
              <c:layout/>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none" lIns="38100" tIns="19050" rIns="38100" bIns="19050" anchor="ctr" anchorCtr="1"/>
              <a:lstStyle/>
              <a:p>
                <a:pPr>
                  <a:defRPr lang="zh-CN" sz="1000" b="0" i="0" u="none" strike="noStrike" kern="1200" spc="-1" baseline="0">
                    <a:solidFill>
                      <a:srgbClr val="000000"/>
                    </a:solidFill>
                    <a:latin typeface="Calibri" panose="020F0502020204030204"/>
                    <a:ea typeface="+mn-ea"/>
                    <a:cs typeface="+mn-cs"/>
                  </a:defRPr>
                </a:pPr>
              </a:p>
            </c:txPr>
            <c:dLblPos val="bestFit"/>
            <c:showLegendKey val="0"/>
            <c:showVal val="1"/>
            <c:showCatName val="0"/>
            <c:showSerName val="0"/>
            <c:showPercent val="0"/>
            <c:showBubbleSize val="1"/>
            <c:separator>; </c:separator>
            <c:showLeaderLines val="0"/>
            <c:extLst>
              <c:ext xmlns:c15="http://schemas.microsoft.com/office/drawing/2012/chart" uri="{CE6537A1-D6FC-4f65-9D91-7224C49458BB}">
                <c15:layout/>
                <c15:showLeaderLines val="0"/>
                <c15:leaderLines/>
              </c:ext>
            </c:extLst>
          </c:dLbls>
          <c:cat>
            <c:strRef>
              <c:f>categories</c:f>
              <c:strCache>
                <c:ptCount val="3"/>
                <c:pt idx="0">
                  <c:v>因公出国（境）费支出0.00万元</c:v>
                </c:pt>
                <c:pt idx="1">
                  <c:v>公务用车购置及运行维护费支出0.51万元</c:v>
                </c:pt>
                <c:pt idx="2">
                  <c:v>公务接待费支出0.12万元</c:v>
                </c:pt>
              </c:strCache>
            </c:strRef>
          </c:cat>
          <c:val>
            <c:numRef>
              <c:f>0</c:f>
              <c:numCache>
                <c:formatCode>General</c:formatCode>
                <c:ptCount val="3"/>
                <c:pt idx="0">
                  <c:v>0.809</c:v>
                </c:pt>
                <c:pt idx="1">
                  <c:v>0.1904</c:v>
                </c:pt>
                <c:pt idx="2">
                  <c:v>0</c:v>
                </c:pt>
              </c:numCache>
            </c:numRef>
          </c:val>
        </c:ser>
        <c:dLbls>
          <c:showLegendKey val="0"/>
          <c:showVal val="1"/>
          <c:showCatName val="0"/>
          <c:showSerName val="0"/>
          <c:showPercent val="0"/>
          <c:showBubbleSize val="1"/>
          <c:showLeaderLines val="1"/>
        </c:dLbls>
        <c:firstSliceAng val="0"/>
      </c:pieChart>
      <c:spPr>
        <a:solidFill>
          <a:srgbClr val="D9D9D9"/>
        </a:solidFill>
        <a:ln w="0">
          <a:noFill/>
        </a:ln>
        <a:effectLst/>
      </c:spPr>
    </c:plotArea>
    <c:legend>
      <c:legendPos val="r"/>
      <c:layout/>
      <c:overlay val="0"/>
      <c:spPr>
        <a:noFill/>
        <a:ln w="0">
          <a:noFill/>
        </a:ln>
      </c:spPr>
      <c:txPr>
        <a:bodyPr rot="0" spcFirstLastPara="0" vertOverflow="ellipsis" vert="horz" wrap="square" anchor="ctr" anchorCtr="1"/>
        <a:lstStyle/>
        <a:p>
          <a:pPr>
            <a:defRPr lang="zh-CN" sz="1000" b="0" i="0" u="none" strike="noStrike" kern="1200" spc="-1" baseline="0">
              <a:solidFill>
                <a:srgbClr val="000000"/>
              </a:solidFill>
              <a:latin typeface="Calibri" panose="020F0502020204030204"/>
              <a:ea typeface="+mn-ea"/>
              <a:cs typeface="+mn-cs"/>
            </a:defRPr>
          </a:pPr>
        </a:p>
      </c:txPr>
    </c:legend>
    <c:plotVisOnly val="1"/>
    <c:dispBlanksAs val="gap"/>
    <c:showDLblsOverMax val="0"/>
  </c:chart>
  <c:spPr>
    <a:gradFill>
      <a:gsLst>
        <a:gs pos="0">
          <a:srgbClr val="E3FBC2"/>
        </a:gs>
        <a:gs pos="100000">
          <a:srgbClr val="F4FFE6"/>
        </a:gs>
      </a:gsLst>
      <a:lin ang="16200000"/>
    </a:gradFill>
    <a:ln w="9360" cap="flat" cmpd="sng" algn="ctr">
      <a:solidFill>
        <a:srgbClr val="98B855"/>
      </a:solid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DBA619-E894-4E53-A30E-7F3C14C2067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30</Pages>
  <Words>12350</Words>
  <Characters>13280</Characters>
  <Lines>0</Lines>
  <Paragraphs>519</Paragraphs>
  <TotalTime>4</TotalTime>
  <ScaleCrop>false</ScaleCrop>
  <LinksUpToDate>false</LinksUpToDate>
  <CharactersWithSpaces>13625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2020-10-28T04:40:00Z</dcterms:created>
  <dc:creator>曹颖</dc:creator>
  <cp:lastModifiedBy>金鹏广告县街</cp:lastModifiedBy>
  <cp:lastPrinted>2020-10-22T02:57:00Z</cp:lastPrinted>
  <dcterms:modified xsi:type="dcterms:W3CDTF">2022-05-09T04:55:23Z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B3888A494EA64E34B36FA24940E6FE81</vt:lpwstr>
  </property>
</Properties>
</file>