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方正小标宋简体" w:hAnsi="宋体" w:eastAsia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2020年度乐山市市中区总工会</w:t>
      </w:r>
    </w:p>
    <w:p>
      <w:pPr>
        <w:snapToGrid w:val="0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预算项目支出绩效自评报告</w:t>
      </w:r>
    </w:p>
    <w:p>
      <w:pPr>
        <w:tabs>
          <w:tab w:val="left" w:pos="3885"/>
        </w:tabs>
        <w:snapToGrid w:val="0"/>
        <w:spacing w:line="600" w:lineRule="exact"/>
        <w:jc w:val="center"/>
        <w:rPr>
          <w:rFonts w:hAnsi="宋体"/>
        </w:rPr>
      </w:pPr>
      <w:r>
        <w:rPr>
          <w:rFonts w:hint="eastAsia" w:hAnsi="宋体"/>
        </w:rPr>
        <w:t>（项目经费控制数）</w:t>
      </w:r>
    </w:p>
    <w:p>
      <w:pPr>
        <w:tabs>
          <w:tab w:val="left" w:pos="3885"/>
        </w:tabs>
        <w:snapToGrid w:val="0"/>
        <w:spacing w:line="600" w:lineRule="exact"/>
        <w:ind w:firstLine="643" w:firstLineChars="200"/>
        <w:jc w:val="left"/>
        <w:rPr>
          <w:rFonts w:ascii="宋体" w:hAnsi="宋体"/>
          <w:b/>
          <w:szCs w:val="21"/>
        </w:rPr>
      </w:pPr>
    </w:p>
    <w:p>
      <w:pPr>
        <w:numPr>
          <w:ilvl w:val="0"/>
          <w:numId w:val="1"/>
        </w:num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基本情况</w:t>
      </w:r>
    </w:p>
    <w:p>
      <w:pPr>
        <w:tabs>
          <w:tab w:val="left" w:pos="3885"/>
        </w:tabs>
        <w:snapToGrid w:val="0"/>
        <w:spacing w:line="520" w:lineRule="exact"/>
        <w:ind w:firstLine="643" w:firstLine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（一）项目概况。</w:t>
      </w:r>
      <w:r>
        <w:rPr>
          <w:rFonts w:hint="eastAsia" w:ascii="仿宋_GB2312" w:hAnsi="仿宋_GB2312" w:cs="仿宋_GB2312"/>
          <w:szCs w:val="21"/>
        </w:rPr>
        <w:t>2020年区总工会项目支出绩效财政批复预算4.00万元。项目支出主要是保证区总工会机关正常运行，工作有序开展。</w:t>
      </w:r>
    </w:p>
    <w:p>
      <w:pPr>
        <w:widowControl/>
        <w:adjustRightInd w:val="0"/>
        <w:snapToGrid w:val="0"/>
        <w:spacing w:line="520" w:lineRule="exact"/>
        <w:ind w:firstLine="643" w:firstLineChars="200"/>
        <w:contextualSpacing/>
        <w:jc w:val="left"/>
        <w:rPr>
          <w:rFonts w:ascii="仿宋_GB2312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（二）项目实施概况。</w:t>
      </w:r>
      <w:r>
        <w:rPr>
          <w:rFonts w:hint="eastAsia" w:ascii="仿宋_GB2312" w:hAnsi="仿宋_GB2312" w:cs="仿宋_GB2312"/>
          <w:szCs w:val="21"/>
        </w:rPr>
        <w:t>项目实施前严格按照“先有预算、后有支出”原则，结合区总工会年度工作任务，科学合理地编制项目预算；项目实施过程中，严格开展事中监控，及时纠正项目预算实施过程中可能存在的问题，保证项目预算顺利推进；项目实施结束后，及时开展决算，将预决算、事中监控有机结合起来</w:t>
      </w:r>
      <w:r>
        <w:rPr>
          <w:rFonts w:hint="eastAsia" w:ascii="仿宋_GB2312"/>
        </w:rPr>
        <w:t>。</w:t>
      </w:r>
    </w:p>
    <w:p>
      <w:pPr>
        <w:widowControl/>
        <w:adjustRightInd w:val="0"/>
        <w:snapToGrid w:val="0"/>
        <w:spacing w:line="520" w:lineRule="exact"/>
        <w:ind w:firstLine="643" w:firstLineChars="200"/>
        <w:contextualSpacing/>
        <w:jc w:val="left"/>
        <w:rPr>
          <w:rFonts w:ascii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（三）资金投入情况。</w:t>
      </w:r>
      <w:r>
        <w:rPr>
          <w:rFonts w:hint="eastAsia" w:ascii="仿宋_GB2312"/>
        </w:rPr>
        <w:t>2020年项目预算绩效申报资金4.00万元，</w:t>
      </w:r>
      <w:r>
        <w:rPr>
          <w:rFonts w:hint="eastAsia" w:ascii="仿宋_GB2312" w:hAnsi="仿宋_GB2312" w:cs="仿宋_GB2312"/>
          <w:szCs w:val="21"/>
        </w:rPr>
        <w:t>区财政局批复资金</w:t>
      </w:r>
      <w:r>
        <w:rPr>
          <w:rFonts w:hint="eastAsia" w:ascii="仿宋_GB2312"/>
        </w:rPr>
        <w:t>4.00万元。主要用于保障区总工会日常办公运转。</w:t>
      </w:r>
    </w:p>
    <w:p>
      <w:pPr>
        <w:widowControl/>
        <w:adjustRightInd w:val="0"/>
        <w:snapToGrid w:val="0"/>
        <w:spacing w:line="520" w:lineRule="exact"/>
        <w:ind w:firstLine="643" w:firstLineChars="200"/>
        <w:contextualSpacing/>
        <w:jc w:val="left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（四）项目绩效目标情况。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通过项目实施，保证区总工会日常工作的有序进行，为区总工会的各项工作提供一定的保障，充分调动职工的工作积极性，加大对经费的管理力度，促进机关正常运转。</w:t>
      </w:r>
    </w:p>
    <w:p>
      <w:pPr>
        <w:snapToGrid w:val="0"/>
        <w:spacing w:line="520" w:lineRule="exact"/>
        <w:ind w:firstLine="640" w:firstLineChars="200"/>
        <w:rPr>
          <w:rFonts w:ascii="宋体" w:hAnsi="宋体"/>
          <w:szCs w:val="21"/>
        </w:rPr>
      </w:pPr>
      <w:r>
        <w:rPr>
          <w:rFonts w:hint="eastAsia" w:ascii="黑体" w:hAnsi="黑体" w:eastAsia="黑体" w:cs="黑体"/>
          <w:szCs w:val="21"/>
        </w:rPr>
        <w:t>二、评价工作开展情况</w:t>
      </w:r>
    </w:p>
    <w:p>
      <w:pPr>
        <w:snapToGrid w:val="0"/>
        <w:spacing w:line="520" w:lineRule="exact"/>
        <w:ind w:firstLine="643" w:firstLineChars="200"/>
        <w:rPr>
          <w:rFonts w:ascii="仿宋_GB2312" w:hAnsi="仿宋_GB2312" w:cs="仿宋_GB2312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（一）评价组织情况。</w:t>
      </w:r>
      <w:r>
        <w:rPr>
          <w:rFonts w:hint="eastAsia" w:ascii="仿宋_GB2312" w:hAnsi="仿宋_GB2312" w:cs="仿宋_GB2312"/>
          <w:szCs w:val="21"/>
        </w:rPr>
        <w:t>区总工会根据项目支出绩效评价的相关要求，具体负责绩效评价工作，形成综合报告。</w:t>
      </w:r>
    </w:p>
    <w:p>
      <w:pPr>
        <w:snapToGrid w:val="0"/>
        <w:spacing w:line="520" w:lineRule="exact"/>
        <w:ind w:firstLine="643" w:firstLineChars="200"/>
        <w:rPr>
          <w:rFonts w:ascii="仿宋_GB2312" w:hAnsi="仿宋_GB2312" w:cs="仿宋_GB2312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（二）评价指标体系。</w:t>
      </w:r>
      <w:r>
        <w:rPr>
          <w:rFonts w:hint="eastAsia" w:ascii="仿宋_GB2312" w:hAnsi="仿宋_GB2312" w:cs="仿宋_GB2312"/>
          <w:szCs w:val="21"/>
        </w:rPr>
        <w:t>严格按照部门预算支出绩效考核评价体系对该项目进行绩效评价。</w:t>
      </w:r>
    </w:p>
    <w:p>
      <w:pPr>
        <w:snapToGrid w:val="0"/>
        <w:spacing w:line="520" w:lineRule="exact"/>
        <w:ind w:firstLine="643" w:firstLineChars="200"/>
        <w:rPr>
          <w:rFonts w:ascii="楷体_GB2312" w:hAnsi="楷体_GB2312" w:eastAsia="楷体_GB2312" w:cs="楷体_GB2312"/>
          <w:b/>
          <w:bCs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（三）评价方法。</w:t>
      </w:r>
      <w:r>
        <w:rPr>
          <w:rFonts w:hint="eastAsia" w:ascii="仿宋_GB2312" w:hAnsi="仿宋_GB2312" w:cs="仿宋_GB2312"/>
          <w:szCs w:val="21"/>
        </w:rPr>
        <w:t>项目绩效评价原则是依法依规、客观公正、绩效导向、科学评估、规范有效，主要通过绩效评价方法中的因素分析法进行评价。</w:t>
      </w:r>
    </w:p>
    <w:p>
      <w:pPr>
        <w:snapToGrid w:val="0"/>
        <w:spacing w:line="520" w:lineRule="exact"/>
        <w:ind w:firstLine="643" w:firstLineChars="200"/>
        <w:rPr>
          <w:rFonts w:ascii="宋体" w:hAnsi="宋体" w:eastAsia="黑体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（四）评价标准。</w:t>
      </w:r>
      <w:r>
        <w:rPr>
          <w:rFonts w:hint="eastAsia" w:ascii="仿宋_GB2312" w:hAnsi="仿宋_GB2312" w:cs="仿宋_GB2312"/>
          <w:szCs w:val="21"/>
        </w:rPr>
        <w:t>评价从项目的完成率、完成时效、项目质量、数量、群众满意度等方面进行量化、具体分析。</w:t>
      </w:r>
    </w:p>
    <w:p>
      <w:pPr>
        <w:snapToGrid w:val="0"/>
        <w:spacing w:line="520" w:lineRule="exact"/>
        <w:ind w:firstLine="64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三</w:t>
      </w:r>
      <w:r>
        <w:rPr>
          <w:rFonts w:ascii="黑体" w:hAnsi="宋体" w:eastAsia="黑体"/>
          <w:szCs w:val="21"/>
        </w:rPr>
        <w:t>、</w:t>
      </w:r>
      <w:r>
        <w:rPr>
          <w:rFonts w:hint="eastAsia" w:ascii="黑体" w:hAnsi="宋体" w:eastAsia="黑体"/>
          <w:szCs w:val="21"/>
        </w:rPr>
        <w:t>综合评价结论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color w:val="000000" w:themeColor="text1"/>
        </w:rPr>
      </w:pPr>
      <w:r>
        <w:rPr>
          <w:rFonts w:hint="eastAsia" w:ascii="仿宋_GB2312" w:hAnsi="仿宋_GB2312" w:cs="仿宋_GB2312"/>
          <w:bCs/>
          <w:szCs w:val="21"/>
        </w:rPr>
        <w:t>项目资金使用和管理中，实际支出与项目规定的用途一致，资金使用做到公开、公平，按程序上报和</w:t>
      </w:r>
      <w:r>
        <w:rPr>
          <w:rFonts w:hint="eastAsia" w:ascii="仿宋_GB2312" w:hAnsi="仿宋_GB2312" w:cs="仿宋_GB2312"/>
          <w:bCs/>
          <w:color w:val="000000" w:themeColor="text1"/>
          <w:szCs w:val="21"/>
        </w:rPr>
        <w:t>审批。严格遵守财务制度，无截留、挤占、挪用项目资金的行为</w:t>
      </w:r>
      <w:r>
        <w:rPr>
          <w:rFonts w:hint="eastAsia" w:ascii="仿宋_GB2312" w:hAnsi="仿宋_GB2312" w:cs="仿宋_GB2312"/>
          <w:color w:val="000000" w:themeColor="text1"/>
        </w:rPr>
        <w:t>。综合评分为99.65分。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四、绩效评价分析</w:t>
      </w:r>
    </w:p>
    <w:p>
      <w:pPr>
        <w:snapToGrid w:val="0"/>
        <w:spacing w:line="520" w:lineRule="exact"/>
        <w:ind w:firstLine="643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（一）项目决策情况</w:t>
      </w:r>
    </w:p>
    <w:p>
      <w:pPr>
        <w:snapToGrid w:val="0"/>
        <w:spacing w:line="520" w:lineRule="exact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该项目决策主要依据市中区财政局《关于编制部门2020-2022年支出规划和2020年部门预算有关事项的通知》（乐中财政与〔2019〕35号）、《关于印发&lt;乐山市市中区预算绩效管理工作考核暂行办法&gt;的通知》（乐中财政监〔2020〕10号）、《关于印发&lt;乐山市中区区级预算事前绩效评估管理暂行办法&gt;的通知》（乐中财政监〔2020〕11号）。</w:t>
      </w:r>
    </w:p>
    <w:p>
      <w:pPr>
        <w:snapToGrid w:val="0"/>
        <w:spacing w:line="520" w:lineRule="exact"/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区总工会认真规划和制定 2020年项目预算申请并已批复，项目资金已全部下达，按计划及时认真实施项目。</w:t>
      </w:r>
    </w:p>
    <w:p>
      <w:pPr>
        <w:snapToGrid w:val="0"/>
        <w:spacing w:line="520" w:lineRule="exact"/>
        <w:ind w:firstLine="643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（二）项目管理情况</w:t>
      </w:r>
    </w:p>
    <w:p>
      <w:pPr>
        <w:snapToGrid w:val="0"/>
        <w:spacing w:line="52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bCs/>
          <w:szCs w:val="21"/>
        </w:rPr>
        <w:t>项目严格按照2020年预算编制批复实施，结合区总工会工作的实际需要，进行科学规划。项目实施过程中，严格按照对照单位内控制度，紧紧把握住财政资金收支两条线，对项目的事前、事中、事后进行监督，实现了项目管理与过程管理的有机结合。</w:t>
      </w:r>
    </w:p>
    <w:p>
      <w:pPr>
        <w:snapToGrid w:val="0"/>
        <w:spacing w:line="520" w:lineRule="exact"/>
        <w:ind w:firstLine="643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（三）项目产出情况</w:t>
      </w:r>
    </w:p>
    <w:p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bCs/>
        </w:rPr>
        <w:t>1.数量指标：保障区总工会日常</w:t>
      </w:r>
      <w:r>
        <w:rPr>
          <w:rFonts w:hint="eastAsia" w:ascii="仿宋_GB2312" w:hAnsi="仿宋_GB2312" w:cs="仿宋_GB2312"/>
          <w:szCs w:val="21"/>
        </w:rPr>
        <w:t>公用及在编人员经费运转。</w:t>
      </w:r>
    </w:p>
    <w:p>
      <w:pPr>
        <w:snapToGrid w:val="0"/>
        <w:spacing w:line="520" w:lineRule="exact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2.质量指标：保障区总工会日常工作顺利进行。</w:t>
      </w:r>
    </w:p>
    <w:p>
      <w:pPr>
        <w:snapToGrid w:val="0"/>
        <w:spacing w:line="520" w:lineRule="exact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3.时效指标：按照工作计划任务和目标，各项工作都顺利推进，在规定时间内完成了各项工作任务，保障我单位日常工作有效运行。</w:t>
      </w:r>
    </w:p>
    <w:p>
      <w:pPr>
        <w:snapToGrid w:val="0"/>
        <w:spacing w:line="520" w:lineRule="exact"/>
        <w:ind w:firstLine="643" w:firstLineChars="2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（四）项目效益情况。</w:t>
      </w:r>
    </w:p>
    <w:p>
      <w:pPr>
        <w:spacing w:line="520" w:lineRule="exact"/>
        <w:ind w:firstLine="640" w:firstLineChars="200"/>
        <w:outlineLvl w:val="0"/>
        <w:rPr>
          <w:rFonts w:ascii="楷体_GB2312" w:hAnsi="宋体" w:eastAsia="楷体_GB2312"/>
          <w:b/>
          <w:szCs w:val="21"/>
        </w:rPr>
      </w:pPr>
      <w:r>
        <w:rPr>
          <w:rFonts w:hint="eastAsia" w:ascii="仿宋_GB2312" w:cs="仿宋_GB2312"/>
          <w:kern w:val="0"/>
          <w:lang w:val="zh-CN"/>
        </w:rPr>
        <w:t>通过项目实施情况来看，区总工会推广实施此项目反响良好，资金严格按照要求管理、分配、使用，起到了保障机关正常运转的作用，受到职工拥护和好评。</w:t>
      </w:r>
    </w:p>
    <w:p>
      <w:pPr>
        <w:snapToGrid w:val="0"/>
        <w:spacing w:line="520" w:lineRule="exact"/>
        <w:ind w:firstLine="64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五、存在主要问题</w:t>
      </w:r>
      <w:bookmarkStart w:id="0" w:name="_GoBack"/>
      <w:bookmarkEnd w:id="0"/>
    </w:p>
    <w:p>
      <w:pPr>
        <w:snapToGrid w:val="0"/>
        <w:spacing w:line="520" w:lineRule="exact"/>
        <w:ind w:firstLine="64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通过自查和自我评估，区总工会项目资金管理能严格遵守财经纪律和财务制度，但预算编制不够精细化，还需进一步加强。</w:t>
      </w:r>
    </w:p>
    <w:p>
      <w:pPr>
        <w:snapToGrid w:val="0"/>
        <w:spacing w:line="520" w:lineRule="exact"/>
        <w:ind w:firstLine="640" w:firstLineChars="200"/>
        <w:rPr>
          <w:rFonts w:hint="eastAsia" w:ascii="黑体" w:hAnsi="宋体" w:eastAsia="黑体"/>
          <w:szCs w:val="21"/>
          <w:lang w:val="zh-CN"/>
        </w:rPr>
      </w:pPr>
      <w:r>
        <w:rPr>
          <w:rFonts w:hint="eastAsia" w:ascii="黑体" w:hAnsi="宋体" w:eastAsia="黑体"/>
          <w:szCs w:val="21"/>
          <w:lang w:val="zh-CN"/>
        </w:rPr>
        <w:t>六、相关措施建议</w:t>
      </w:r>
    </w:p>
    <w:p>
      <w:pPr>
        <w:spacing w:line="520" w:lineRule="exact"/>
        <w:ind w:firstLine="640" w:firstLineChars="200"/>
        <w:outlineLvl w:val="0"/>
        <w:rPr>
          <w:rFonts w:hint="eastAsia" w:ascii="仿宋_GB2312" w:cs="仿宋_GB2312"/>
          <w:kern w:val="0"/>
          <w:lang w:val="zh-CN"/>
        </w:rPr>
      </w:pPr>
      <w:r>
        <w:rPr>
          <w:rFonts w:hint="eastAsia" w:ascii="仿宋_GB2312" w:cs="仿宋_GB2312"/>
          <w:kern w:val="0"/>
          <w:lang w:val="zh-CN"/>
        </w:rPr>
        <w:t>进一步细化预算编制，加强项目经费管理，提高预算编制的科学性、合理性、完整性，强化确保资金及时、准确支付。</w:t>
      </w:r>
    </w:p>
    <w:p>
      <w:pPr>
        <w:snapToGrid w:val="0"/>
        <w:spacing w:line="520" w:lineRule="exact"/>
        <w:rPr>
          <w:rFonts w:ascii="黑体" w:hAnsi="宋体" w:eastAsia="黑体"/>
          <w:szCs w:val="21"/>
        </w:rPr>
      </w:pPr>
    </w:p>
    <w:p>
      <w:pPr>
        <w:snapToGrid w:val="0"/>
        <w:spacing w:line="520" w:lineRule="exact"/>
        <w:ind w:firstLine="640" w:firstLineChars="200"/>
        <w:rPr>
          <w:rFonts w:ascii="黑体" w:hAnsi="宋体" w:eastAsia="黑体"/>
          <w:szCs w:val="21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cs="仿宋_GB2312"/>
          <w:szCs w:val="21"/>
        </w:rPr>
      </w:pPr>
      <w:r>
        <w:rPr>
          <w:rFonts w:hint="eastAsia" w:ascii="黑体" w:hAnsi="宋体" w:eastAsia="黑体"/>
          <w:szCs w:val="21"/>
        </w:rPr>
        <w:t xml:space="preserve">                           </w:t>
      </w:r>
      <w:r>
        <w:rPr>
          <w:rFonts w:hint="eastAsia" w:ascii="仿宋_GB2312" w:hAnsi="仿宋_GB2312" w:cs="仿宋_GB2312"/>
          <w:szCs w:val="21"/>
        </w:rPr>
        <w:t xml:space="preserve"> 乐山市市中区总工会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 xml:space="preserve">                             2021年4月28日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cs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A595"/>
    <w:multiLevelType w:val="singleLevel"/>
    <w:tmpl w:val="3064A5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F71B67"/>
    <w:rsid w:val="000D5D11"/>
    <w:rsid w:val="002510B4"/>
    <w:rsid w:val="00320899"/>
    <w:rsid w:val="00341A11"/>
    <w:rsid w:val="003C0ACD"/>
    <w:rsid w:val="003D1382"/>
    <w:rsid w:val="004860E1"/>
    <w:rsid w:val="005A009A"/>
    <w:rsid w:val="005D322D"/>
    <w:rsid w:val="005E1852"/>
    <w:rsid w:val="006135D9"/>
    <w:rsid w:val="00651722"/>
    <w:rsid w:val="006747C0"/>
    <w:rsid w:val="006A0C64"/>
    <w:rsid w:val="006F7B3B"/>
    <w:rsid w:val="007E4AD2"/>
    <w:rsid w:val="008067CF"/>
    <w:rsid w:val="0081670E"/>
    <w:rsid w:val="00850CE9"/>
    <w:rsid w:val="00870894"/>
    <w:rsid w:val="00882DB1"/>
    <w:rsid w:val="008E7E94"/>
    <w:rsid w:val="00931A95"/>
    <w:rsid w:val="00963F2E"/>
    <w:rsid w:val="00A263C4"/>
    <w:rsid w:val="00A759CD"/>
    <w:rsid w:val="00AA0650"/>
    <w:rsid w:val="00AA1F68"/>
    <w:rsid w:val="00B3419B"/>
    <w:rsid w:val="00B51084"/>
    <w:rsid w:val="00B63AFB"/>
    <w:rsid w:val="00B839BC"/>
    <w:rsid w:val="00BC7820"/>
    <w:rsid w:val="00C104D0"/>
    <w:rsid w:val="00C671FB"/>
    <w:rsid w:val="00DE1E79"/>
    <w:rsid w:val="00E6028B"/>
    <w:rsid w:val="00F857EE"/>
    <w:rsid w:val="00F8609F"/>
    <w:rsid w:val="00F87730"/>
    <w:rsid w:val="00F962D1"/>
    <w:rsid w:val="00FC3D64"/>
    <w:rsid w:val="00FC781C"/>
    <w:rsid w:val="00FE3CD3"/>
    <w:rsid w:val="03F51DD9"/>
    <w:rsid w:val="06F71B67"/>
    <w:rsid w:val="22644A35"/>
    <w:rsid w:val="229C7A83"/>
    <w:rsid w:val="23970C91"/>
    <w:rsid w:val="247835AC"/>
    <w:rsid w:val="287A56DC"/>
    <w:rsid w:val="291D3FA7"/>
    <w:rsid w:val="29EE2D8E"/>
    <w:rsid w:val="2E0D2515"/>
    <w:rsid w:val="444D737E"/>
    <w:rsid w:val="46460837"/>
    <w:rsid w:val="4A047446"/>
    <w:rsid w:val="4D197918"/>
    <w:rsid w:val="51447334"/>
    <w:rsid w:val="529E042C"/>
    <w:rsid w:val="5F521F20"/>
    <w:rsid w:val="635D7F9A"/>
    <w:rsid w:val="662E0D5A"/>
    <w:rsid w:val="674B52A8"/>
    <w:rsid w:val="67F84EDB"/>
    <w:rsid w:val="6853276C"/>
    <w:rsid w:val="6D120B9C"/>
    <w:rsid w:val="6EB06808"/>
    <w:rsid w:val="73C75CE8"/>
    <w:rsid w:val="7DAA1493"/>
    <w:rsid w:val="7E2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221</Words>
  <Characters>1262</Characters>
  <Lines>10</Lines>
  <Paragraphs>2</Paragraphs>
  <TotalTime>449</TotalTime>
  <ScaleCrop>false</ScaleCrop>
  <LinksUpToDate>false</LinksUpToDate>
  <CharactersWithSpaces>1481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2020-06-30T08:29:00Z</dcterms:created>
  <dc:creator>Administrator</dc:creator>
  <cp:lastModifiedBy>木豆108</cp:lastModifiedBy>
  <dcterms:modified xsi:type="dcterms:W3CDTF">2021-05-25T07:34:06Z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