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0B5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74E41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764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8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乐中综执（2025）罚决字〔环保〕第2号</w:t>
            </w:r>
          </w:p>
        </w:tc>
      </w:tr>
      <w:tr w14:paraId="260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E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4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bookmarkStart w:id="0" w:name="_GoBack"/>
            <w:r>
              <w:rPr>
                <w:rFonts w:hint="eastAsia" w:ascii="仿宋_GB2312" w:hAnsi="宋体" w:eastAsia="仿宋_GB2312" w:cs="仿宋_GB2312"/>
                <w:i w:val="0"/>
                <w:iCs w:val="0"/>
                <w:color w:val="000000"/>
                <w:kern w:val="0"/>
                <w:sz w:val="28"/>
                <w:szCs w:val="28"/>
                <w:u w:val="none"/>
                <w:lang w:val="en-US" w:eastAsia="zh-CN" w:bidi="ar"/>
              </w:rPr>
              <w:t>乐山市第三建筑工程有限责任公司</w:t>
            </w:r>
            <w:bookmarkEnd w:id="0"/>
          </w:p>
        </w:tc>
      </w:tr>
      <w:tr w14:paraId="572C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8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当事人乐山市第三建筑工程有限责任公司于2024年12月27日重污染天气橙色预警期间，在乐山市工业集中区新建年产1万吨沥青混凝土拌合站及100t/h水泥稳定碎石拌合站建设项目实施了土石方作业的行为，导致临时施工作业面存在部分裸土未覆盖以及未使用洒水或者喷淋等降尘措施的行为，面积约为450平方米。上述违法行为已于2024年12月31日全部整改完毕。</w:t>
            </w:r>
          </w:p>
        </w:tc>
      </w:tr>
      <w:tr w14:paraId="0C1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B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F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《中华人民共和国大气污染防治法》第一百二十一条第二款</w:t>
            </w:r>
          </w:p>
        </w:tc>
      </w:tr>
      <w:tr w14:paraId="5D4C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38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5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罚款人民币13000元</w:t>
            </w:r>
          </w:p>
        </w:tc>
      </w:tr>
      <w:tr w14:paraId="0D2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2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1B7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D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79B7AA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6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2025年3月4日</w:t>
            </w:r>
          </w:p>
        </w:tc>
      </w:tr>
    </w:tbl>
    <w:p w14:paraId="64CCD8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M5MTE0MTQ3ZWY5NGQ4MTVmMGE5NWQ3ZjQxNWMifQ=="/>
  </w:docVars>
  <w:rsids>
    <w:rsidRoot w:val="00000000"/>
    <w:rsid w:val="02286CEA"/>
    <w:rsid w:val="02A27967"/>
    <w:rsid w:val="0342106F"/>
    <w:rsid w:val="03791B50"/>
    <w:rsid w:val="0406440E"/>
    <w:rsid w:val="067A2D51"/>
    <w:rsid w:val="0780180C"/>
    <w:rsid w:val="08895386"/>
    <w:rsid w:val="089D5C12"/>
    <w:rsid w:val="09C40AF3"/>
    <w:rsid w:val="09D14C70"/>
    <w:rsid w:val="0C0F79ED"/>
    <w:rsid w:val="0C5F155B"/>
    <w:rsid w:val="118B23B2"/>
    <w:rsid w:val="129F5499"/>
    <w:rsid w:val="135E4826"/>
    <w:rsid w:val="13822D97"/>
    <w:rsid w:val="17554EAA"/>
    <w:rsid w:val="17EA1AEF"/>
    <w:rsid w:val="1D5A209F"/>
    <w:rsid w:val="1E1C5527"/>
    <w:rsid w:val="1E2A519B"/>
    <w:rsid w:val="1E5F4CCE"/>
    <w:rsid w:val="20250C3A"/>
    <w:rsid w:val="2115641F"/>
    <w:rsid w:val="21451D10"/>
    <w:rsid w:val="238E31DB"/>
    <w:rsid w:val="23A50060"/>
    <w:rsid w:val="23AC3760"/>
    <w:rsid w:val="24A44258"/>
    <w:rsid w:val="24D547CA"/>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6726CC"/>
    <w:rsid w:val="3FA31199"/>
    <w:rsid w:val="408D7B55"/>
    <w:rsid w:val="433F4371"/>
    <w:rsid w:val="45A5312A"/>
    <w:rsid w:val="47AB3832"/>
    <w:rsid w:val="47B86295"/>
    <w:rsid w:val="48995FB1"/>
    <w:rsid w:val="48A54B34"/>
    <w:rsid w:val="4B1C2DB9"/>
    <w:rsid w:val="4C2A4D15"/>
    <w:rsid w:val="4C580380"/>
    <w:rsid w:val="4DF53E37"/>
    <w:rsid w:val="4F9E6F42"/>
    <w:rsid w:val="529A3B81"/>
    <w:rsid w:val="56230397"/>
    <w:rsid w:val="5735686A"/>
    <w:rsid w:val="57A71AD8"/>
    <w:rsid w:val="57CA2532"/>
    <w:rsid w:val="57E01C2B"/>
    <w:rsid w:val="59D34EA6"/>
    <w:rsid w:val="5A5B3E02"/>
    <w:rsid w:val="5B374E4D"/>
    <w:rsid w:val="5E5A7183"/>
    <w:rsid w:val="5E6B2501"/>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70B71C76"/>
    <w:rsid w:val="72D279F2"/>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274</Characters>
  <Lines>0</Lines>
  <Paragraphs>0</Paragraphs>
  <TotalTime>0</TotalTime>
  <ScaleCrop>false</ScaleCrop>
  <LinksUpToDate>false</LinksUpToDate>
  <CharactersWithSpaces>274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Sam</cp:lastModifiedBy>
  <dcterms:modified xsi:type="dcterms:W3CDTF">2025-03-06T04:06:42Z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