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wordWrap/>
        <w:overflowPunct/>
        <w:topLinePunct w:val="0"/>
        <w:bidi w:val="0"/>
        <w:spacing w:line="700" w:lineRule="exact"/>
        <w:jc w:val="center"/>
        <w:rPr>
          <w:rFonts w:hint="eastAsia" w:asciiTheme="majorEastAsia" w:hAnsiTheme="majorEastAsia" w:eastAsiaTheme="majorEastAsia" w:cstheme="majorEastAsia"/>
          <w:color w:val="auto"/>
          <w:sz w:val="28"/>
          <w:szCs w:val="28"/>
          <w:lang w:eastAsia="zh-CN"/>
        </w:rPr>
      </w:pPr>
      <w:r>
        <w:rPr>
          <w:rFonts w:hint="eastAsia" w:ascii="微软雅黑" w:hAnsi="微软雅黑" w:eastAsia="微软雅黑" w:cs="微软雅黑"/>
          <w:color w:val="auto"/>
          <w:sz w:val="28"/>
          <w:szCs w:val="28"/>
          <w:lang w:eastAsia="zh-CN"/>
        </w:rPr>
        <w:t>两项改革“后半篇”文章乡镇</w:t>
      </w:r>
      <w:bookmarkStart w:id="60" w:name="_GoBack"/>
      <w:bookmarkEnd w:id="60"/>
      <w:r>
        <w:rPr>
          <w:rFonts w:hint="eastAsia" w:ascii="微软雅黑" w:hAnsi="微软雅黑" w:eastAsia="微软雅黑" w:cs="微软雅黑"/>
          <w:color w:val="auto"/>
          <w:sz w:val="28"/>
          <w:szCs w:val="28"/>
          <w:lang w:eastAsia="zh-CN"/>
        </w:rPr>
        <w:t>级片区应急体系专项规划</w:t>
      </w:r>
    </w:p>
    <w:p>
      <w:pPr>
        <w:pageBreakBefore w:val="0"/>
        <w:wordWrap/>
        <w:overflowPunct/>
        <w:topLinePunct w:val="0"/>
        <w:bidi w:val="0"/>
        <w:spacing w:line="700" w:lineRule="exact"/>
        <w:jc w:val="center"/>
        <w:rPr>
          <w:rFonts w:hint="default" w:ascii="Times New Roman" w:hAnsi="Times New Roman" w:eastAsia="方正小标宋简体" w:cs="Times New Roman"/>
          <w:color w:val="auto"/>
          <w:sz w:val="44"/>
          <w:szCs w:val="44"/>
        </w:rPr>
      </w:pPr>
    </w:p>
    <w:p>
      <w:pPr>
        <w:pStyle w:val="2"/>
        <w:rPr>
          <w:rFonts w:hint="default" w:ascii="Times New Roman" w:hAnsi="Times New Roman" w:eastAsia="方正小标宋简体" w:cs="Times New Roman"/>
          <w:color w:val="auto"/>
          <w:sz w:val="44"/>
          <w:szCs w:val="44"/>
        </w:rPr>
      </w:pPr>
    </w:p>
    <w:p>
      <w:pPr>
        <w:pStyle w:val="2"/>
        <w:rPr>
          <w:rFonts w:hint="default"/>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outlineLvl w:val="0"/>
        <w:rPr>
          <w:rFonts w:hint="default" w:ascii="Times New Roman" w:hAnsi="Times New Roman" w:eastAsia="方正小标宋简体" w:cs="Times New Roman"/>
          <w:b w:val="0"/>
          <w:bCs w:val="0"/>
          <w:color w:val="auto"/>
          <w:sz w:val="44"/>
          <w:szCs w:val="44"/>
          <w:highlight w:val="none"/>
          <w:lang w:val="en-US" w:eastAsia="zh-CN"/>
        </w:rPr>
      </w:pPr>
      <w:bookmarkStart w:id="0" w:name="_Toc22762"/>
      <w:bookmarkStart w:id="1" w:name="_Toc10748"/>
      <w:r>
        <w:rPr>
          <w:rFonts w:hint="default" w:ascii="Times New Roman" w:hAnsi="Times New Roman" w:eastAsia="方正小标宋简体" w:cs="Times New Roman"/>
          <w:b w:val="0"/>
          <w:bCs w:val="0"/>
          <w:color w:val="auto"/>
          <w:sz w:val="44"/>
          <w:szCs w:val="44"/>
          <w:highlight w:val="none"/>
          <w:lang w:val="en-US" w:eastAsia="zh-CN"/>
        </w:rPr>
        <w:t>乐山市市中区</w:t>
      </w:r>
      <w:bookmarkEnd w:id="0"/>
      <w:bookmarkEnd w:id="1"/>
      <w:r>
        <w:rPr>
          <w:rFonts w:hint="default" w:ascii="Times New Roman" w:hAnsi="Times New Roman" w:eastAsia="方正小标宋简体" w:cs="Times New Roman"/>
          <w:b w:val="0"/>
          <w:bCs w:val="0"/>
          <w:color w:val="auto"/>
          <w:sz w:val="44"/>
          <w:szCs w:val="44"/>
          <w:highlight w:val="none"/>
          <w:lang w:val="en-US" w:eastAsia="zh-CN"/>
        </w:rPr>
        <w:t>平羌三峡生态旅游片区</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方正小标宋简体" w:cs="Times New Roman"/>
          <w:b w:val="0"/>
          <w:bCs w:val="0"/>
          <w:color w:val="auto"/>
          <w:sz w:val="44"/>
          <w:szCs w:val="44"/>
          <w:highlight w:val="none"/>
        </w:rPr>
      </w:pPr>
      <w:r>
        <w:rPr>
          <w:rFonts w:hint="default" w:ascii="Times New Roman" w:hAnsi="Times New Roman" w:eastAsia="方正小标宋简体" w:cs="Times New Roman"/>
          <w:b w:val="0"/>
          <w:bCs w:val="0"/>
          <w:color w:val="auto"/>
          <w:sz w:val="44"/>
          <w:szCs w:val="44"/>
          <w:highlight w:val="none"/>
        </w:rPr>
        <w:t>应急体系专项规划</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方正小标宋简体" w:cs="Times New Roman"/>
          <w:b w:val="0"/>
          <w:bCs w:val="0"/>
          <w:color w:val="auto"/>
          <w:sz w:val="44"/>
          <w:szCs w:val="44"/>
        </w:rPr>
      </w:pPr>
      <w:r>
        <w:rPr>
          <w:rFonts w:hint="default" w:ascii="Times New Roman" w:hAnsi="Times New Roman" w:eastAsia="方正小标宋简体" w:cs="Times New Roman"/>
          <w:b w:val="0"/>
          <w:bCs w:val="0"/>
          <w:color w:val="auto"/>
          <w:sz w:val="44"/>
          <w:szCs w:val="44"/>
        </w:rPr>
        <w:t>（2021-20</w:t>
      </w:r>
      <w:r>
        <w:rPr>
          <w:rFonts w:hint="default" w:ascii="Times New Roman" w:hAnsi="Times New Roman" w:eastAsia="方正小标宋简体" w:cs="Times New Roman"/>
          <w:b w:val="0"/>
          <w:bCs w:val="0"/>
          <w:color w:val="auto"/>
          <w:sz w:val="44"/>
          <w:szCs w:val="44"/>
          <w:lang w:val="en-US" w:eastAsia="zh-CN"/>
        </w:rPr>
        <w:t>3</w:t>
      </w:r>
      <w:r>
        <w:rPr>
          <w:rFonts w:hint="default" w:ascii="Times New Roman" w:hAnsi="Times New Roman" w:eastAsia="方正小标宋简体" w:cs="Times New Roman"/>
          <w:b w:val="0"/>
          <w:bCs w:val="0"/>
          <w:color w:val="auto"/>
          <w:sz w:val="44"/>
          <w:szCs w:val="44"/>
        </w:rPr>
        <w:t>5年）</w:t>
      </w:r>
    </w:p>
    <w:p>
      <w:pPr>
        <w:pageBreakBefore w:val="0"/>
        <w:wordWrap/>
        <w:overflowPunct/>
        <w:topLinePunct w:val="0"/>
        <w:bidi w:val="0"/>
        <w:spacing w:line="700" w:lineRule="exact"/>
        <w:rPr>
          <w:rFonts w:hint="default" w:ascii="Times New Roman" w:hAnsi="Times New Roman" w:eastAsia="仿宋_GB2312" w:cs="Times New Roman"/>
          <w:color w:val="auto"/>
          <w:sz w:val="32"/>
          <w:szCs w:val="32"/>
        </w:rPr>
      </w:pPr>
    </w:p>
    <w:p>
      <w:pPr>
        <w:pStyle w:val="20"/>
        <w:pageBreakBefore w:val="0"/>
        <w:wordWrap/>
        <w:overflowPunct/>
        <w:topLinePunct w:val="0"/>
        <w:bidi w:val="0"/>
        <w:rPr>
          <w:rFonts w:hint="default" w:ascii="Times New Roman" w:hAnsi="Times New Roman" w:cs="Times New Roman"/>
          <w:color w:val="auto"/>
          <w:sz w:val="32"/>
          <w:szCs w:val="32"/>
        </w:rPr>
      </w:pPr>
    </w:p>
    <w:p>
      <w:pPr>
        <w:pStyle w:val="20"/>
        <w:pageBreakBefore w:val="0"/>
        <w:wordWrap/>
        <w:overflowPunct/>
        <w:topLinePunct w:val="0"/>
        <w:bidi w:val="0"/>
        <w:rPr>
          <w:rFonts w:hint="default" w:ascii="Times New Roman" w:hAnsi="Times New Roman" w:cs="Times New Roman"/>
          <w:color w:val="auto"/>
          <w:sz w:val="32"/>
          <w:szCs w:val="32"/>
        </w:rPr>
      </w:pPr>
    </w:p>
    <w:p>
      <w:pPr>
        <w:pStyle w:val="20"/>
        <w:pageBreakBefore w:val="0"/>
        <w:wordWrap/>
        <w:overflowPunct/>
        <w:topLinePunct w:val="0"/>
        <w:bidi w:val="0"/>
        <w:rPr>
          <w:rFonts w:hint="default" w:ascii="Times New Roman" w:hAnsi="Times New Roman" w:cs="Times New Roman"/>
          <w:color w:val="auto"/>
          <w:sz w:val="32"/>
          <w:szCs w:val="32"/>
        </w:rPr>
      </w:pPr>
    </w:p>
    <w:p>
      <w:pPr>
        <w:pStyle w:val="20"/>
        <w:pageBreakBefore w:val="0"/>
        <w:wordWrap/>
        <w:overflowPunct/>
        <w:topLinePunct w:val="0"/>
        <w:bidi w:val="0"/>
        <w:rPr>
          <w:rFonts w:hint="default" w:ascii="Times New Roman" w:hAnsi="Times New Roman" w:cs="Times New Roman"/>
          <w:color w:val="auto"/>
          <w:sz w:val="32"/>
          <w:szCs w:val="32"/>
        </w:rPr>
      </w:pPr>
    </w:p>
    <w:p>
      <w:pPr>
        <w:pStyle w:val="20"/>
        <w:pageBreakBefore w:val="0"/>
        <w:wordWrap/>
        <w:overflowPunct/>
        <w:topLinePunct w:val="0"/>
        <w:bidi w:val="0"/>
        <w:rPr>
          <w:rFonts w:hint="default" w:ascii="Times New Roman" w:hAnsi="Times New Roman" w:cs="Times New Roman"/>
          <w:color w:val="auto"/>
          <w:sz w:val="32"/>
          <w:szCs w:val="32"/>
        </w:rPr>
      </w:pPr>
    </w:p>
    <w:p>
      <w:pPr>
        <w:pStyle w:val="20"/>
        <w:pageBreakBefore w:val="0"/>
        <w:wordWrap/>
        <w:overflowPunct/>
        <w:topLinePunct w:val="0"/>
        <w:bidi w:val="0"/>
        <w:rPr>
          <w:rFonts w:hint="default" w:ascii="Times New Roman" w:hAnsi="Times New Roman" w:cs="Times New Roman"/>
          <w:color w:val="auto"/>
          <w:sz w:val="32"/>
          <w:szCs w:val="32"/>
        </w:rPr>
      </w:pPr>
    </w:p>
    <w:p>
      <w:pPr>
        <w:pStyle w:val="20"/>
        <w:pageBreakBefore w:val="0"/>
        <w:wordWrap/>
        <w:overflowPunct/>
        <w:topLinePunct w:val="0"/>
        <w:bidi w:val="0"/>
        <w:jc w:val="center"/>
        <w:rPr>
          <w:rFonts w:hint="default" w:ascii="Times New Roman" w:hAnsi="Times New Roman" w:eastAsia="黑体" w:cs="Times New Roman"/>
          <w:color w:val="auto"/>
          <w:sz w:val="32"/>
          <w:szCs w:val="32"/>
        </w:rPr>
      </w:pPr>
      <w:r>
        <w:rPr>
          <w:rFonts w:hint="default" w:ascii="Times New Roman" w:hAnsi="Times New Roman" w:eastAsia="黑体" w:cs="Times New Roman"/>
          <w:color w:val="auto"/>
          <w:sz w:val="32"/>
          <w:szCs w:val="32"/>
        </w:rPr>
        <w:t>乐山市市中区应急管理局</w:t>
      </w:r>
    </w:p>
    <w:p>
      <w:pPr>
        <w:pStyle w:val="20"/>
        <w:pageBreakBefore w:val="0"/>
        <w:wordWrap/>
        <w:overflowPunct/>
        <w:topLinePunct w:val="0"/>
        <w:bidi w:val="0"/>
        <w:jc w:val="center"/>
        <w:rPr>
          <w:rFonts w:hint="default" w:ascii="Times New Roman" w:hAnsi="Times New Roman" w:eastAsia="方正小标宋简体" w:cs="Times New Roman"/>
          <w:color w:val="auto"/>
          <w:sz w:val="44"/>
          <w:szCs w:val="44"/>
        </w:rPr>
      </w:pPr>
      <w:r>
        <w:rPr>
          <w:rFonts w:hint="default" w:ascii="Times New Roman" w:hAnsi="Times New Roman" w:eastAsia="黑体" w:cs="Times New Roman"/>
          <w:color w:val="auto"/>
          <w:sz w:val="32"/>
          <w:szCs w:val="32"/>
          <w:lang w:val="en-US" w:eastAsia="zh-CN"/>
        </w:rPr>
        <w:t>2022年5月</w:t>
      </w:r>
    </w:p>
    <w:p>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kern w:val="2"/>
          <w:sz w:val="36"/>
          <w:szCs w:val="36"/>
          <w:lang w:val="en-US" w:eastAsia="zh-CN" w:bidi="ar-SA"/>
        </w:rPr>
        <w:sectPr>
          <w:pgSz w:w="11906" w:h="16838"/>
          <w:pgMar w:top="1701" w:right="1701" w:bottom="1701" w:left="1701" w:header="851" w:footer="992" w:gutter="0"/>
          <w:pgNumType w:fmt="decimal"/>
          <w:cols w:space="425" w:num="1"/>
          <w:docGrid w:type="lines" w:linePitch="312" w:charSpace="0"/>
        </w:sectPr>
      </w:pPr>
    </w:p>
    <w:sdt>
      <w:sdtPr>
        <w:rPr>
          <w:rFonts w:hint="default" w:ascii="Times New Roman" w:hAnsi="Times New Roman" w:eastAsia="宋体" w:cs="Times New Roman"/>
          <w:b/>
          <w:bCs/>
          <w:kern w:val="2"/>
          <w:sz w:val="36"/>
          <w:szCs w:val="36"/>
          <w:lang w:val="en-US" w:eastAsia="zh-CN" w:bidi="ar-SA"/>
        </w:rPr>
        <w:id w:val="147457652"/>
        <w15:color w:val="DBDBDB"/>
        <w:docPartObj>
          <w:docPartGallery w:val="Table of Contents"/>
          <w:docPartUnique/>
        </w:docPartObj>
      </w:sdtPr>
      <w:sdtEndPr>
        <w:rPr>
          <w:rFonts w:hint="default" w:ascii="Times New Roman" w:hAnsi="Times New Roman" w:eastAsia="宋体" w:cs="Times New Roman"/>
          <w:b/>
          <w:bCs/>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rFonts w:hint="default" w:ascii="Times New Roman" w:hAnsi="Times New Roman" w:cs="Times New Roman"/>
              <w:b/>
              <w:bCs/>
              <w:sz w:val="36"/>
              <w:szCs w:val="36"/>
              <w:lang w:val="en-US"/>
            </w:rPr>
          </w:pPr>
          <w:r>
            <w:rPr>
              <w:rFonts w:hint="default" w:ascii="Times New Roman" w:hAnsi="Times New Roman" w:eastAsia="黑体" w:cs="Times New Roman"/>
              <w:color w:val="auto"/>
              <w:kern w:val="2"/>
              <w:sz w:val="44"/>
              <w:szCs w:val="44"/>
              <w:lang w:val="en-US" w:eastAsia="zh-CN" w:bidi="ar-SA"/>
            </w:rPr>
            <w:t>目    录</w:t>
          </w:r>
          <w:r>
            <w:rPr>
              <w:rFonts w:hint="default" w:ascii="Times New Roman" w:hAnsi="Times New Roman" w:eastAsia="黑体" w:cs="Times New Roman"/>
              <w:color w:val="auto"/>
              <w:kern w:val="2"/>
              <w:sz w:val="44"/>
              <w:szCs w:val="44"/>
              <w:lang w:val="en-US" w:eastAsia="zh-CN" w:bidi="ar-SA"/>
            </w:rPr>
            <w:tab/>
          </w:r>
        </w:p>
        <w:p>
          <w:pPr>
            <w:pStyle w:val="11"/>
            <w:keepNext w:val="0"/>
            <w:keepLines w:val="0"/>
            <w:pageBreakBefore w:val="0"/>
            <w:widowControl w:val="0"/>
            <w:tabs>
              <w:tab w:val="right" w:leader="dot" w:pos="8504"/>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bCs/>
              <w:color w:val="auto"/>
              <w:kern w:val="2"/>
              <w:sz w:val="32"/>
              <w:szCs w:val="32"/>
              <w:lang w:val="en-US" w:eastAsia="zh-CN" w:bidi="ar-SA"/>
            </w:rPr>
          </w:pPr>
        </w:p>
        <w:p>
          <w:pPr>
            <w:pStyle w:val="11"/>
            <w:keepNext w:val="0"/>
            <w:keepLines w:val="0"/>
            <w:pageBreakBefore w:val="0"/>
            <w:widowControl w:val="0"/>
            <w:tabs>
              <w:tab w:val="right" w:leader="dot" w:pos="8504"/>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TOC \o "1-2" \h \u </w:instrText>
          </w:r>
          <w:r>
            <w:rPr>
              <w:rFonts w:hint="default" w:ascii="Times New Roman" w:hAnsi="Times New Roman" w:cs="Times New Roman"/>
              <w:sz w:val="24"/>
              <w:szCs w:val="24"/>
            </w:rPr>
            <w:fldChar w:fldCharType="separate"/>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_Toc8336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第一章  总  则</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_Toc8336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1</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_Toc7207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第一节  地位作用</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_Toc7207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1</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_Toc24476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第二节  规划依据</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_Toc24476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1</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_Toc25212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第三节  规划原则</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_Toc25212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2</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_Toc25169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第四节  规划年限</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_Toc25169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3</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1"/>
            <w:keepNext w:val="0"/>
            <w:keepLines w:val="0"/>
            <w:pageBreakBefore w:val="0"/>
            <w:widowControl w:val="0"/>
            <w:tabs>
              <w:tab w:val="right" w:leader="dot" w:pos="8504"/>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_Toc14563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第二章  规划背景</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_Toc14563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4</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_Toc9388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第一节  片区现状</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_Toc9388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4</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_Toc32197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第二节  面临形势</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_Toc32197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5</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1"/>
            <w:keepNext w:val="0"/>
            <w:keepLines w:val="0"/>
            <w:pageBreakBefore w:val="0"/>
            <w:widowControl w:val="0"/>
            <w:tabs>
              <w:tab w:val="right" w:leader="dot" w:pos="8504"/>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_Toc7240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第三章  规划目标</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_Toc7240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7</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_Toc1478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第一节  近期目标</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_Toc1478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7</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_Toc1178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第二节  远景目标</w:t>
          </w:r>
          <w:r>
            <w:rPr>
              <w:rFonts w:hint="default" w:ascii="Times New Roman" w:hAnsi="Times New Roman" w:eastAsia="楷体_GB2312" w:cs="Times New Roman"/>
              <w:b w:val="0"/>
              <w:bCs w:val="0"/>
              <w:color w:val="auto"/>
              <w:kern w:val="2"/>
              <w:sz w:val="32"/>
              <w:szCs w:val="32"/>
              <w:lang w:val="en-US" w:eastAsia="zh-CN" w:bidi="ar-SA"/>
            </w:rPr>
            <w:tab/>
          </w:r>
          <w:r>
            <w:rPr>
              <w:rFonts w:hint="eastAsia" w:ascii="Times New Roman" w:hAnsi="Times New Roman" w:eastAsia="楷体_GB2312" w:cs="Times New Roman"/>
              <w:b w:val="0"/>
              <w:bCs w:val="0"/>
              <w:color w:val="auto"/>
              <w:kern w:val="2"/>
              <w:sz w:val="32"/>
              <w:szCs w:val="32"/>
              <w:lang w:val="en-US" w:eastAsia="zh-CN" w:bidi="ar-SA"/>
            </w:rPr>
            <w:t>9</w:t>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1"/>
            <w:keepNext w:val="0"/>
            <w:keepLines w:val="0"/>
            <w:pageBreakBefore w:val="0"/>
            <w:widowControl w:val="0"/>
            <w:tabs>
              <w:tab w:val="right" w:leader="dot" w:pos="8504"/>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_Toc618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第四章  主要任务和重点工程</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_Toc618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10</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_Toc30145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第一节  健全组织领导</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_Toc30145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10</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_Toc1300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第二节  安全生产风险防控方面</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_Toc1300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1</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0</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_Toc19462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第三节  自然灾害防治方面</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_Toc19462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13</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_Toc17825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第四节  应急能力建设方面</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_Toc17825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1</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6</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_Toc9703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第五节  先进技术应用方面</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_Toc9703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2</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0</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_Toc13443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第六节  应急管理共建共治共享方面</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_Toc13443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2</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1</w:t>
          </w:r>
        </w:p>
        <w:p>
          <w:pPr>
            <w:pStyle w:val="11"/>
            <w:keepNext w:val="0"/>
            <w:keepLines w:val="0"/>
            <w:pageBreakBefore w:val="0"/>
            <w:widowControl w:val="0"/>
            <w:tabs>
              <w:tab w:val="right" w:leader="dot" w:pos="8504"/>
            </w:tabs>
            <w:kinsoku/>
            <w:wordWrap/>
            <w:overflowPunct/>
            <w:topLinePunct w:val="0"/>
            <w:autoSpaceDE/>
            <w:autoSpaceDN/>
            <w:bidi w:val="0"/>
            <w:adjustRightInd/>
            <w:snapToGrid/>
            <w:spacing w:line="550" w:lineRule="exact"/>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_Toc30293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第五章  保障措施</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_Toc30293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2</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3</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_Toc13343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第一节  强化组织保障</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_Toc13343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2</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3</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_Toc19570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第二节  强化资金保障</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_Toc19570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2</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3</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_Toc15385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第三节  强化政策保障</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_Toc15385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2</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3</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640" w:firstLineChars="200"/>
            <w:textAlignment w:val="auto"/>
            <w:rPr>
              <w:rFonts w:hint="default" w:ascii="Times New Roman" w:hAnsi="Times New Roman" w:eastAsia="楷体_GB2312" w:cs="Times New Roman"/>
              <w:b w:val="0"/>
              <w:bCs w:val="0"/>
              <w:color w:val="auto"/>
              <w:kern w:val="2"/>
              <w:sz w:val="32"/>
              <w:szCs w:val="32"/>
              <w:lang w:val="en-US" w:eastAsia="zh-CN" w:bidi="ar-SA"/>
            </w:rPr>
          </w:pP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HYPERLINK \l _Toc31281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第四节  强化督查问效</w:t>
          </w:r>
          <w:r>
            <w:rPr>
              <w:rFonts w:hint="default" w:ascii="Times New Roman" w:hAnsi="Times New Roman" w:eastAsia="楷体_GB2312" w:cs="Times New Roman"/>
              <w:b w:val="0"/>
              <w:bCs w:val="0"/>
              <w:color w:val="auto"/>
              <w:kern w:val="2"/>
              <w:sz w:val="32"/>
              <w:szCs w:val="32"/>
              <w:lang w:val="en-US" w:eastAsia="zh-CN" w:bidi="ar-SA"/>
            </w:rPr>
            <w:tab/>
          </w:r>
          <w:r>
            <w:rPr>
              <w:rFonts w:hint="default" w:ascii="Times New Roman" w:hAnsi="Times New Roman" w:eastAsia="楷体_GB2312" w:cs="Times New Roman"/>
              <w:b w:val="0"/>
              <w:bCs w:val="0"/>
              <w:color w:val="auto"/>
              <w:kern w:val="2"/>
              <w:sz w:val="32"/>
              <w:szCs w:val="32"/>
              <w:lang w:val="en-US" w:eastAsia="zh-CN" w:bidi="ar-SA"/>
            </w:rPr>
            <w:fldChar w:fldCharType="begin"/>
          </w:r>
          <w:r>
            <w:rPr>
              <w:rFonts w:hint="default" w:ascii="Times New Roman" w:hAnsi="Times New Roman" w:eastAsia="楷体_GB2312" w:cs="Times New Roman"/>
              <w:b w:val="0"/>
              <w:bCs w:val="0"/>
              <w:color w:val="auto"/>
              <w:kern w:val="2"/>
              <w:sz w:val="32"/>
              <w:szCs w:val="32"/>
              <w:lang w:val="en-US" w:eastAsia="zh-CN" w:bidi="ar-SA"/>
            </w:rPr>
            <w:instrText xml:space="preserve"> PAGEREF _Toc31281 \h </w:instrText>
          </w:r>
          <w:r>
            <w:rPr>
              <w:rFonts w:hint="default" w:ascii="Times New Roman" w:hAnsi="Times New Roman" w:eastAsia="楷体_GB2312" w:cs="Times New Roman"/>
              <w:b w:val="0"/>
              <w:bCs w:val="0"/>
              <w:color w:val="auto"/>
              <w:kern w:val="2"/>
              <w:sz w:val="32"/>
              <w:szCs w:val="32"/>
              <w:lang w:val="en-US" w:eastAsia="zh-CN" w:bidi="ar-SA"/>
            </w:rPr>
            <w:fldChar w:fldCharType="separate"/>
          </w:r>
          <w:r>
            <w:rPr>
              <w:rFonts w:hint="default" w:ascii="Times New Roman" w:hAnsi="Times New Roman" w:eastAsia="楷体_GB2312" w:cs="Times New Roman"/>
              <w:b w:val="0"/>
              <w:bCs w:val="0"/>
              <w:color w:val="auto"/>
              <w:kern w:val="2"/>
              <w:sz w:val="32"/>
              <w:szCs w:val="32"/>
              <w:lang w:val="en-US" w:eastAsia="zh-CN" w:bidi="ar-SA"/>
            </w:rPr>
            <w:t>2</w:t>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default" w:ascii="Times New Roman" w:hAnsi="Times New Roman" w:eastAsia="楷体_GB2312" w:cs="Times New Roman"/>
              <w:b w:val="0"/>
              <w:bCs w:val="0"/>
              <w:color w:val="auto"/>
              <w:kern w:val="2"/>
              <w:sz w:val="32"/>
              <w:szCs w:val="32"/>
              <w:lang w:val="en-US" w:eastAsia="zh-CN" w:bidi="ar-SA"/>
            </w:rPr>
            <w:fldChar w:fldCharType="end"/>
          </w:r>
          <w:r>
            <w:rPr>
              <w:rFonts w:hint="eastAsia" w:ascii="Times New Roman" w:hAnsi="Times New Roman" w:eastAsia="楷体_GB2312" w:cs="Times New Roman"/>
              <w:b w:val="0"/>
              <w:bCs w:val="0"/>
              <w:color w:val="auto"/>
              <w:kern w:val="2"/>
              <w:sz w:val="32"/>
              <w:szCs w:val="32"/>
              <w:lang w:val="en-US" w:eastAsia="zh-CN" w:bidi="ar-SA"/>
            </w:rPr>
            <w:t>4</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_Toc13297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附表1</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_Toc6407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片区企业风险等级及分布表</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_Toc6407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2</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6</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_Toc10101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附表2</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_Toc9483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片区近年来典型安全生产和自然灾害事故统计表</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_Toc9483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2</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7</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_Toc19415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附表3</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_Toc27195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片区应急队伍统计及分布表</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28</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_Toc17002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附表4</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_Toc7357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片区应急救援装备、物资统计及分布表</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_Toc7357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3</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0</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_Toc11859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附表5</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_Toc31829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片区应急管理用地现状和规划用地指标</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_Toc31829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3</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2</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_Toc7343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附表6</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_Toc9325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片区重点工程项目统计表</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_Toc9325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3</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3</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_Toc31488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附图1</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_Toc30037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片区安全生产风险分布图</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37</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_Toc30168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附图2</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_Toc10420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片区自然灾害风险分布图</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38</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_Toc10789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附图3</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_Toc29238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片区主要防坑救设施现状分布图</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39</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_Toc9605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附图4</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_Toc22271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片区应急救援队伍分布图</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_Toc22271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4</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0</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eastAsia="黑体" w:cs="Times New Roman"/>
              <w:b w:val="0"/>
              <w:bCs w:val="0"/>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_Toc22154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附图5</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_Toc31089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片区应急救援能力规划图</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_Toc31089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4</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1</w:t>
          </w:r>
        </w:p>
        <w:p>
          <w:pPr>
            <w:pStyle w:val="13"/>
            <w:keepNext w:val="0"/>
            <w:keepLines w:val="0"/>
            <w:pageBreakBefore w:val="0"/>
            <w:widowControl w:val="0"/>
            <w:tabs>
              <w:tab w:val="right" w:leader="dot" w:pos="8504"/>
            </w:tabs>
            <w:kinsoku/>
            <w:wordWrap/>
            <w:overflowPunct/>
            <w:topLinePunct w:val="0"/>
            <w:autoSpaceDE/>
            <w:autoSpaceDN/>
            <w:bidi w:val="0"/>
            <w:adjustRightInd/>
            <w:snapToGrid/>
            <w:spacing w:line="550" w:lineRule="exact"/>
            <w:ind w:left="0" w:leftChars="0" w:firstLine="0" w:firstLineChars="0"/>
            <w:textAlignment w:val="auto"/>
            <w:rPr>
              <w:rFonts w:hint="default" w:ascii="Times New Roman" w:hAnsi="Times New Roman" w:eastAsia="黑体" w:cs="Times New Roman"/>
              <w:b/>
              <w:bCs/>
              <w:color w:val="auto"/>
              <w:kern w:val="2"/>
              <w:sz w:val="32"/>
              <w:szCs w:val="32"/>
              <w:lang w:val="en-US" w:eastAsia="zh-CN" w:bidi="ar-SA"/>
            </w:rPr>
          </w:pP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_Toc21466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附图6</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t xml:space="preserve">  </w:t>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HYPERLINK \l _Toc17462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片区防抗救设施规划图</w:t>
          </w:r>
          <w:r>
            <w:rPr>
              <w:rFonts w:hint="default" w:ascii="Times New Roman" w:hAnsi="Times New Roman" w:eastAsia="黑体" w:cs="Times New Roman"/>
              <w:b w:val="0"/>
              <w:bCs w:val="0"/>
              <w:color w:val="auto"/>
              <w:kern w:val="2"/>
              <w:sz w:val="32"/>
              <w:szCs w:val="32"/>
              <w:lang w:val="en-US" w:eastAsia="zh-CN" w:bidi="ar-SA"/>
            </w:rPr>
            <w:tab/>
          </w:r>
          <w:r>
            <w:rPr>
              <w:rFonts w:hint="default" w:ascii="Times New Roman" w:hAnsi="Times New Roman" w:eastAsia="黑体" w:cs="Times New Roman"/>
              <w:b w:val="0"/>
              <w:bCs w:val="0"/>
              <w:color w:val="auto"/>
              <w:kern w:val="2"/>
              <w:sz w:val="32"/>
              <w:szCs w:val="32"/>
              <w:lang w:val="en-US" w:eastAsia="zh-CN" w:bidi="ar-SA"/>
            </w:rPr>
            <w:fldChar w:fldCharType="begin"/>
          </w:r>
          <w:r>
            <w:rPr>
              <w:rFonts w:hint="default" w:ascii="Times New Roman" w:hAnsi="Times New Roman" w:eastAsia="黑体" w:cs="Times New Roman"/>
              <w:b w:val="0"/>
              <w:bCs w:val="0"/>
              <w:color w:val="auto"/>
              <w:kern w:val="2"/>
              <w:sz w:val="32"/>
              <w:szCs w:val="32"/>
              <w:lang w:val="en-US" w:eastAsia="zh-CN" w:bidi="ar-SA"/>
            </w:rPr>
            <w:instrText xml:space="preserve"> PAGEREF _Toc17462 \h </w:instrText>
          </w:r>
          <w:r>
            <w:rPr>
              <w:rFonts w:hint="default" w:ascii="Times New Roman" w:hAnsi="Times New Roman" w:eastAsia="黑体" w:cs="Times New Roman"/>
              <w:b w:val="0"/>
              <w:bCs w:val="0"/>
              <w:color w:val="auto"/>
              <w:kern w:val="2"/>
              <w:sz w:val="32"/>
              <w:szCs w:val="32"/>
              <w:lang w:val="en-US" w:eastAsia="zh-CN" w:bidi="ar-SA"/>
            </w:rPr>
            <w:fldChar w:fldCharType="separate"/>
          </w:r>
          <w:r>
            <w:rPr>
              <w:rFonts w:hint="default" w:ascii="Times New Roman" w:hAnsi="Times New Roman" w:eastAsia="黑体" w:cs="Times New Roman"/>
              <w:b w:val="0"/>
              <w:bCs w:val="0"/>
              <w:color w:val="auto"/>
              <w:kern w:val="2"/>
              <w:sz w:val="32"/>
              <w:szCs w:val="32"/>
              <w:lang w:val="en-US" w:eastAsia="zh-CN" w:bidi="ar-SA"/>
            </w:rPr>
            <w:t>4</w:t>
          </w:r>
          <w:r>
            <w:rPr>
              <w:rFonts w:hint="default" w:ascii="Times New Roman" w:hAnsi="Times New Roman" w:eastAsia="黑体" w:cs="Times New Roman"/>
              <w:b w:val="0"/>
              <w:bCs w:val="0"/>
              <w:color w:val="auto"/>
              <w:kern w:val="2"/>
              <w:sz w:val="32"/>
              <w:szCs w:val="32"/>
              <w:lang w:val="en-US" w:eastAsia="zh-CN" w:bidi="ar-SA"/>
            </w:rPr>
            <w:fldChar w:fldCharType="end"/>
          </w:r>
          <w:r>
            <w:rPr>
              <w:rFonts w:hint="default" w:ascii="Times New Roman" w:hAnsi="Times New Roman" w:eastAsia="黑体" w:cs="Times New Roman"/>
              <w:b w:val="0"/>
              <w:bCs w:val="0"/>
              <w:color w:val="auto"/>
              <w:kern w:val="2"/>
              <w:sz w:val="32"/>
              <w:szCs w:val="32"/>
              <w:lang w:val="en-US" w:eastAsia="zh-CN" w:bidi="ar-SA"/>
            </w:rPr>
            <w:fldChar w:fldCharType="end"/>
          </w:r>
          <w:r>
            <w:rPr>
              <w:rFonts w:hint="eastAsia" w:ascii="Times New Roman" w:hAnsi="Times New Roman" w:eastAsia="黑体" w:cs="Times New Roman"/>
              <w:b w:val="0"/>
              <w:bCs w:val="0"/>
              <w:color w:val="auto"/>
              <w:kern w:val="2"/>
              <w:sz w:val="32"/>
              <w:szCs w:val="32"/>
              <w:lang w:val="en-US" w:eastAsia="zh-CN" w:bidi="ar-SA"/>
            </w:rPr>
            <w:t>2</w:t>
          </w:r>
        </w:p>
        <w:p>
          <w:pPr>
            <w:keepNext w:val="0"/>
            <w:keepLines w:val="0"/>
            <w:pageBreakBefore w:val="0"/>
            <w:widowControl/>
            <w:kinsoku/>
            <w:wordWrap/>
            <w:overflowPunct/>
            <w:topLinePunct w:val="0"/>
            <w:autoSpaceDE/>
            <w:autoSpaceDN/>
            <w:bidi w:val="0"/>
            <w:adjustRightInd/>
            <w:snapToGrid/>
            <w:spacing w:line="550" w:lineRule="exact"/>
            <w:textAlignment w:val="auto"/>
            <w:rPr>
              <w:rFonts w:hint="default" w:ascii="Times New Roman" w:hAnsi="Times New Roman" w:cs="Times New Roman"/>
              <w:sz w:val="24"/>
              <w:szCs w:val="24"/>
            </w:rPr>
          </w:pPr>
          <w:r>
            <w:rPr>
              <w:rFonts w:hint="default" w:ascii="Times New Roman" w:hAnsi="Times New Roman" w:cs="Times New Roman"/>
              <w:szCs w:val="24"/>
            </w:rPr>
            <w:fldChar w:fldCharType="end"/>
          </w:r>
        </w:p>
      </w:sdtContent>
    </w:sdt>
    <w:p>
      <w:pPr>
        <w:pStyle w:val="20"/>
        <w:keepNext w:val="0"/>
        <w:keepLines w:val="0"/>
        <w:pageBreakBefore w:val="0"/>
        <w:widowControl w:val="0"/>
        <w:kinsoku/>
        <w:wordWrap/>
        <w:overflowPunct/>
        <w:topLinePunct w:val="0"/>
        <w:autoSpaceDE w:val="0"/>
        <w:autoSpaceDN w:val="0"/>
        <w:bidi w:val="0"/>
        <w:adjustRightInd/>
        <w:snapToGrid/>
        <w:ind w:firstLine="640" w:firstLineChars="200"/>
        <w:textAlignment w:val="auto"/>
        <w:rPr>
          <w:rFonts w:hint="default" w:ascii="Times New Roman" w:hAnsi="Times New Roman" w:eastAsia="仿宋_GB2312" w:cs="Times New Roman"/>
          <w:color w:val="auto"/>
          <w:kern w:val="2"/>
          <w:sz w:val="32"/>
          <w:szCs w:val="32"/>
          <w:lang w:val="en-US" w:eastAsia="zh-CN" w:bidi="ar-SA"/>
        </w:rPr>
        <w:sectPr>
          <w:footerReference r:id="rId3" w:type="default"/>
          <w:pgSz w:w="11906" w:h="16838"/>
          <w:pgMar w:top="2098" w:right="1474" w:bottom="1984" w:left="1587" w:header="851" w:footer="1134" w:gutter="0"/>
          <w:pgNumType w:fmt="decimal" w:start="1"/>
          <w:cols w:space="0" w:num="1"/>
          <w:rtlGutter w:val="0"/>
          <w:docGrid w:type="lines" w:linePitch="312" w:charSpace="0"/>
        </w:sectPr>
      </w:pPr>
    </w:p>
    <w:p>
      <w:pPr>
        <w:pStyle w:val="3"/>
        <w:bidi w:val="0"/>
        <w:rPr>
          <w:rFonts w:hint="default"/>
          <w:lang w:val="en-US" w:eastAsia="zh-CN"/>
        </w:rPr>
      </w:pPr>
      <w:bookmarkStart w:id="2" w:name="_Toc8336"/>
      <w:r>
        <w:rPr>
          <w:rFonts w:hint="default"/>
          <w:lang w:val="en-US" w:eastAsia="zh-CN"/>
        </w:rPr>
        <w:t>第一章  总  则</w:t>
      </w:r>
      <w:bookmarkEnd w:id="2"/>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为了全面贯彻落实习近平总书记关于应急管理工作的重要指示批示精神，坚持以人民为中心的发展思想，按照四川省委省政府、乐山市委市政府、乐山市市中区委区政府关于加强应急工作的决策部署，加快提高基层应急管理能力，推进基层治理体系和治理能力现代化，依据相关文件，编制本规划。</w:t>
      </w:r>
    </w:p>
    <w:p>
      <w:pPr>
        <w:pStyle w:val="4"/>
        <w:bidi w:val="0"/>
        <w:rPr>
          <w:rFonts w:hint="default"/>
          <w:lang w:val="en-US" w:eastAsia="zh-CN"/>
        </w:rPr>
      </w:pPr>
      <w:bookmarkStart w:id="3" w:name="_Toc7207"/>
      <w:r>
        <w:rPr>
          <w:rFonts w:hint="default"/>
          <w:lang w:val="en-US" w:eastAsia="zh-CN"/>
        </w:rPr>
        <w:t>第一节  地位作用</w:t>
      </w:r>
      <w:bookmarkEnd w:id="3"/>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乐山市市中区平羌三峡生态旅游片区应急体系专项规划，是全面落实区委区政府关于做好两项改革“后半篇”文章的重大举措，是融合衔接乡镇级片区国土空间规划的实际需要，是对“十四五”应急体系规划和提升基层应急管理能力工作方案的细化和深化，是自然灾害综合风险普查成果的具体应用，是健全完善基层应急体系、提升基层应急管理能力的重要依据。</w:t>
      </w:r>
    </w:p>
    <w:p>
      <w:pPr>
        <w:pStyle w:val="4"/>
        <w:bidi w:val="0"/>
        <w:rPr>
          <w:rFonts w:hint="default"/>
          <w:lang w:val="en-US" w:eastAsia="zh-CN"/>
        </w:rPr>
      </w:pPr>
      <w:bookmarkStart w:id="4" w:name="_Toc24476"/>
      <w:r>
        <w:rPr>
          <w:rFonts w:hint="default"/>
          <w:lang w:val="en-US" w:eastAsia="zh-CN"/>
        </w:rPr>
        <w:t>第二节  规划依据</w:t>
      </w:r>
      <w:bookmarkEnd w:id="4"/>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1.《中华人民共和国安全生产法》</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2.《中华人民共和国突发事件应对法》</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en-US" w:eastAsia="zh-CN" w:bidi="ar-SA"/>
        </w:rPr>
        <w:t>.《中共四川省委办公厅四川省人民政府办公厅关于印发〈关于做好乡镇行政区划和村级建制调整改革“后半篇”文章的实施方案〉的通知》（川委厅〔2021〕6号）</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cs="Times New Roman"/>
          <w:color w:val="auto"/>
          <w:kern w:val="2"/>
          <w:sz w:val="32"/>
          <w:szCs w:val="32"/>
          <w:lang w:val="en-US" w:eastAsia="zh-CN" w:bidi="ar-SA"/>
        </w:rPr>
        <w:t>4</w:t>
      </w:r>
      <w:r>
        <w:rPr>
          <w:rFonts w:hint="default" w:ascii="Times New Roman" w:hAnsi="Times New Roman" w:eastAsia="仿宋_GB2312" w:cs="Times New Roman"/>
          <w:color w:val="auto"/>
          <w:kern w:val="2"/>
          <w:sz w:val="32"/>
          <w:szCs w:val="32"/>
          <w:lang w:val="en-US" w:eastAsia="zh-CN" w:bidi="ar-SA"/>
        </w:rPr>
        <w:t>.《中共四川省委办公厅四川省人民政府办公厅印发〈关于全省县域内片区划分的指导意见〉〈关于以片区单为单元编制乡村国土空间规划的指导意见〉的通知》（川委厅〔2021〕53号）</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5.《四川省乡镇级片区应急体系专项规划编制要点（试行）》</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6.《四川省乡镇级片区应急体系专项规划备案程序及审查要点（试行）》</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7.《乐山市十四五应急体系规划》</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8.《乐山市市中区国土空间总体规划》</w:t>
      </w:r>
    </w:p>
    <w:p>
      <w:pPr>
        <w:pStyle w:val="4"/>
        <w:bidi w:val="0"/>
        <w:rPr>
          <w:rFonts w:hint="default"/>
          <w:lang w:val="en-US" w:eastAsia="zh-CN"/>
        </w:rPr>
      </w:pPr>
      <w:bookmarkStart w:id="5" w:name="_Toc25212"/>
      <w:r>
        <w:rPr>
          <w:rFonts w:hint="default"/>
          <w:lang w:val="en-US" w:eastAsia="zh-CN"/>
        </w:rPr>
        <w:t>第三节  规划原则</w:t>
      </w:r>
      <w:bookmarkEnd w:id="5"/>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——坚持党的领导，保障组织凝聚。坚持党对应急管理工作的绝对领导，发挥党总揽全局、协调“镇-村”与区域的领导核心作用，为基层应急管理体系和能力建设凝聚力量、提供保障。</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——坚持以人为本，营造安全社会。牢固树立以人民为中心的发展思想，强化底线思维，筑牢安全根基，不断提高防灾减灾救灾能力，切实维护人民生命财产安全和社会稳定。</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——坚持预防为主，增强忧患意识。注重关口前移，强化源头管控，加强灾害事故风险评估、隐患排查、监测预警，运用人防、物防、技防等手段，把问题解决在萌芽之时、成灾之前。</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——坚持统筹协调，县区同步推进。落实市中区“十四五”规划、“十四五”应急体系规划、国土空间规划及相关专项规划，同步推进片区级应急体系专项规划，有效推动基层应急体系和应急能力现代化。</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——坚持因地制宜，分类分项指导。准确把握片区发展方向和功能定位，坚持问题导向和目标导向，前瞻谋划，科学分析，确定编制片区级应急体系规划的目标指标、主要任务和重大工程。</w:t>
      </w:r>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坚持社会共治，保障共建共享。健全完善公众参与机制，将共谋、共建、共治、共享理念贯穿到规划编制的全过程，征求群众意见，响应群众诉求期盼，切实增强规划工作的战略性、权威性、科学性和可操作性。</w:t>
      </w:r>
    </w:p>
    <w:p>
      <w:pPr>
        <w:pStyle w:val="4"/>
        <w:bidi w:val="0"/>
        <w:rPr>
          <w:rFonts w:hint="default"/>
          <w:lang w:val="en-US" w:eastAsia="zh-CN"/>
        </w:rPr>
      </w:pPr>
      <w:bookmarkStart w:id="6" w:name="_Toc25169"/>
      <w:r>
        <w:rPr>
          <w:rFonts w:hint="default"/>
          <w:lang w:val="en-US" w:eastAsia="zh-CN"/>
        </w:rPr>
        <w:t>第四节  规划年限</w:t>
      </w:r>
      <w:bookmarkEnd w:id="6"/>
    </w:p>
    <w:p>
      <w:pPr>
        <w:pStyle w:val="20"/>
        <w:keepNext w:val="0"/>
        <w:keepLines w:val="0"/>
        <w:pageBreakBefore w:val="0"/>
        <w:widowControl w:val="0"/>
        <w:kinsoku/>
        <w:wordWrap/>
        <w:overflowPunct/>
        <w:topLinePunct w:val="0"/>
        <w:autoSpaceDE w:val="0"/>
        <w:autoSpaceDN w:val="0"/>
        <w:bidi w:val="0"/>
        <w:adjustRightInd/>
        <w:snapToGrid/>
        <w:spacing w:line="550" w:lineRule="exact"/>
        <w:ind w:firstLine="640" w:firstLineChars="200"/>
        <w:textAlignment w:val="auto"/>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color w:val="auto"/>
          <w:kern w:val="2"/>
          <w:sz w:val="32"/>
          <w:szCs w:val="32"/>
          <w:lang w:val="en-US" w:eastAsia="zh-CN" w:bidi="ar-SA"/>
        </w:rPr>
        <w:t>本规划基期年为2021年，期限为2021-2035年，近期至2025年。</w:t>
      </w:r>
    </w:p>
    <w:p>
      <w:pPr>
        <w:pStyle w:val="20"/>
        <w:keepNext w:val="0"/>
        <w:keepLines w:val="0"/>
        <w:pageBreakBefore w:val="0"/>
        <w:widowControl w:val="0"/>
        <w:kinsoku/>
        <w:wordWrap/>
        <w:overflowPunct/>
        <w:topLinePunct w:val="0"/>
        <w:bidi w:val="0"/>
        <w:adjustRightInd/>
        <w:snapToGrid/>
        <w:spacing w:line="550" w:lineRule="exact"/>
        <w:textAlignment w:val="auto"/>
        <w:rPr>
          <w:rFonts w:hint="default" w:ascii="Times New Roman" w:hAnsi="Times New Roman" w:eastAsia="仿宋_GB2312" w:cs="Times New Roman"/>
          <w:color w:val="auto"/>
          <w:sz w:val="32"/>
          <w:szCs w:val="32"/>
        </w:rPr>
      </w:pPr>
    </w:p>
    <w:p>
      <w:pPr>
        <w:pStyle w:val="20"/>
        <w:keepNext w:val="0"/>
        <w:keepLines w:val="0"/>
        <w:pageBreakBefore w:val="0"/>
        <w:widowControl w:val="0"/>
        <w:kinsoku/>
        <w:wordWrap/>
        <w:overflowPunct/>
        <w:topLinePunct w:val="0"/>
        <w:bidi w:val="0"/>
        <w:adjustRightInd/>
        <w:snapToGrid/>
        <w:spacing w:line="550" w:lineRule="exact"/>
        <w:textAlignment w:val="auto"/>
        <w:rPr>
          <w:rFonts w:hint="default" w:ascii="Times New Roman" w:hAnsi="Times New Roman" w:eastAsia="仿宋_GB2312" w:cs="Times New Roman"/>
          <w:color w:val="auto"/>
          <w:sz w:val="32"/>
          <w:szCs w:val="32"/>
        </w:rPr>
      </w:pPr>
    </w:p>
    <w:p>
      <w:pPr>
        <w:pStyle w:val="20"/>
        <w:keepNext w:val="0"/>
        <w:keepLines w:val="0"/>
        <w:pageBreakBefore w:val="0"/>
        <w:widowControl w:val="0"/>
        <w:kinsoku/>
        <w:wordWrap/>
        <w:overflowPunct/>
        <w:topLinePunct w:val="0"/>
        <w:bidi w:val="0"/>
        <w:adjustRightInd/>
        <w:snapToGrid/>
        <w:spacing w:line="550" w:lineRule="exact"/>
        <w:textAlignment w:val="auto"/>
        <w:rPr>
          <w:rFonts w:hint="default" w:ascii="Times New Roman" w:hAnsi="Times New Roman" w:eastAsia="仿宋_GB2312" w:cs="Times New Roman"/>
          <w:color w:val="auto"/>
          <w:sz w:val="32"/>
          <w:szCs w:val="32"/>
        </w:rPr>
      </w:pPr>
    </w:p>
    <w:p>
      <w:pPr>
        <w:rPr>
          <w:rFonts w:hint="default" w:ascii="Times New Roman" w:hAnsi="Times New Roman" w:eastAsia="仿宋_GB2312" w:cs="Times New Roman"/>
          <w:color w:val="auto"/>
          <w:sz w:val="32"/>
          <w:szCs w:val="32"/>
        </w:rPr>
      </w:pPr>
      <w:bookmarkStart w:id="7" w:name="_Toc14563"/>
      <w:r>
        <w:rPr>
          <w:rFonts w:hint="default" w:ascii="Times New Roman" w:hAnsi="Times New Roman" w:eastAsia="仿宋_GB2312" w:cs="Times New Roman"/>
          <w:color w:val="auto"/>
          <w:sz w:val="32"/>
          <w:szCs w:val="32"/>
        </w:rPr>
        <w:br w:type="page"/>
      </w:r>
    </w:p>
    <w:p>
      <w:pPr>
        <w:pStyle w:val="3"/>
        <w:bidi w:val="0"/>
        <w:rPr>
          <w:rFonts w:hint="default"/>
        </w:rPr>
      </w:pPr>
      <w:r>
        <w:rPr>
          <w:rFonts w:hint="default"/>
        </w:rPr>
        <w:t>第二章</w:t>
      </w:r>
      <w:r>
        <w:rPr>
          <w:rFonts w:hint="default"/>
          <w:lang w:val="en-US" w:eastAsia="zh-CN"/>
        </w:rPr>
        <w:t xml:space="preserve"> </w:t>
      </w:r>
      <w:r>
        <w:rPr>
          <w:rFonts w:hint="default"/>
        </w:rPr>
        <w:t xml:space="preserve"> 规划背景</w:t>
      </w:r>
      <w:bookmarkEnd w:id="7"/>
    </w:p>
    <w:p>
      <w:pPr>
        <w:pStyle w:val="4"/>
        <w:bidi w:val="0"/>
        <w:rPr>
          <w:rFonts w:hint="default"/>
          <w:lang w:val="en-US" w:eastAsia="zh-CN"/>
        </w:rPr>
      </w:pPr>
      <w:bookmarkStart w:id="8" w:name="_Toc9388"/>
      <w:r>
        <w:rPr>
          <w:rFonts w:hint="default"/>
        </w:rPr>
        <w:t>第一节</w:t>
      </w:r>
      <w:r>
        <w:rPr>
          <w:rFonts w:hint="default"/>
          <w:lang w:val="en-US" w:eastAsia="zh-CN"/>
        </w:rPr>
        <w:t xml:space="preserve"> </w:t>
      </w:r>
      <w:r>
        <w:rPr>
          <w:rFonts w:hint="default"/>
        </w:rPr>
        <w:t xml:space="preserve"> 片区现状</w:t>
      </w:r>
      <w:bookmarkEnd w:id="8"/>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bookmarkStart w:id="9" w:name="_Hlk96328847"/>
      <w:r>
        <w:rPr>
          <w:rFonts w:hint="default" w:ascii="Times New Roman" w:hAnsi="Times New Roman" w:eastAsia="仿宋_GB2312" w:cs="Times New Roman"/>
          <w:color w:val="auto"/>
          <w:sz w:val="32"/>
          <w:szCs w:val="32"/>
          <w:lang w:val="en-US" w:eastAsia="zh-CN"/>
        </w:rPr>
        <w:t>片区基本情况。平羌生态旅游片区坐落在乐山市市中区北部，境内有岷江和青衣江、涉及牟子镇、悦来镇、棉竹镇3镇、2社区、18个行政村，面积124.8平方公里。片区户籍人口4.7万人，常住人口约4万人，城镇常住人口约1.2万人，城镇化率29.6%。</w:t>
      </w:r>
    </w:p>
    <w:p>
      <w:pPr>
        <w:pStyle w:val="2"/>
        <w:keepNext w:val="0"/>
        <w:keepLines w:val="0"/>
        <w:pageBreakBefore w:val="0"/>
        <w:widowControl w:val="0"/>
        <w:kinsoku/>
        <w:wordWrap/>
        <w:overflowPunct/>
        <w:topLinePunct w:val="0"/>
        <w:autoSpaceDE/>
        <w:autoSpaceDN/>
        <w:bidi w:val="0"/>
        <w:adjustRightInd/>
        <w:snapToGrid/>
        <w:spacing w:before="0" w:after="0" w:line="550" w:lineRule="exact"/>
        <w:ind w:firstLine="640"/>
        <w:textAlignment w:val="auto"/>
        <w:rPr>
          <w:rFonts w:hint="default" w:ascii="Times New Roman" w:hAnsi="Times New Roman" w:eastAsia="仿宋_GB2312" w:cs="Times New Roman"/>
          <w:b w:val="0"/>
          <w:bCs/>
          <w:color w:val="auto"/>
          <w:sz w:val="32"/>
          <w:szCs w:val="32"/>
          <w:lang w:val="en-US" w:eastAsia="zh-CN"/>
        </w:rPr>
      </w:pPr>
      <w:r>
        <w:rPr>
          <w:rFonts w:hint="default" w:ascii="Times New Roman" w:hAnsi="Times New Roman" w:eastAsia="仿宋_GB2312" w:cs="Times New Roman"/>
          <w:b w:val="0"/>
          <w:bCs/>
          <w:color w:val="auto"/>
          <w:sz w:val="32"/>
          <w:szCs w:val="32"/>
          <w:lang w:val="en-US" w:eastAsia="zh-CN"/>
        </w:rPr>
        <w:t>安全生产情况。2016年至2021年，片区共发生一般生产安全事故1起，死亡1人，为其他爆炸事故。片区有重点企业12家，包括危化5家、工贸5家，非煤矿山1家，烟花爆竹企业1家，安全生产风险较低，安全生产形势稳定，近年通过各项安全生产大检查、专项整治行动，安全生产形势稳定向好。</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val="0"/>
          <w:bCs/>
          <w:color w:val="auto"/>
          <w:sz w:val="32"/>
          <w:szCs w:val="32"/>
          <w:lang w:val="en-US" w:eastAsia="zh-CN"/>
        </w:rPr>
        <w:t>自然灾害情况。</w:t>
      </w:r>
      <w:r>
        <w:rPr>
          <w:rFonts w:hint="default" w:ascii="Times New Roman" w:hAnsi="Times New Roman" w:eastAsia="仿宋_GB2312" w:cs="Times New Roman"/>
          <w:sz w:val="32"/>
          <w:szCs w:val="32"/>
        </w:rPr>
        <w:t>平羌片区有山洪灾害危险区2处，地质灾害危险区5处</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lang w:val="en-US" w:eastAsia="zh-CN"/>
        </w:rPr>
        <w:t>森林火灾风险点1处</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自然灾害主要是岷江洪涝灾害及次生灾害</w:t>
      </w:r>
      <w:r>
        <w:rPr>
          <w:rFonts w:hint="default" w:ascii="Times New Roman" w:hAnsi="Times New Roman" w:eastAsia="仿宋_GB2312" w:cs="Times New Roman"/>
          <w:sz w:val="32"/>
          <w:szCs w:val="32"/>
        </w:rPr>
        <w:t>。</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b w:val="0"/>
          <w:bCs/>
          <w:sz w:val="32"/>
          <w:szCs w:val="32"/>
          <w:lang w:val="en-US" w:eastAsia="zh-CN"/>
        </w:rPr>
      </w:pPr>
      <w:r>
        <w:rPr>
          <w:rFonts w:hint="default" w:ascii="Times New Roman" w:hAnsi="Times New Roman" w:eastAsia="仿宋_GB2312" w:cs="Times New Roman"/>
          <w:b w:val="0"/>
          <w:bCs/>
          <w:sz w:val="32"/>
          <w:szCs w:val="32"/>
          <w:lang w:val="en-US" w:eastAsia="zh-CN"/>
        </w:rPr>
        <w:t>应急能力情况。应急救援队伍：除全区性的区级救援队伍和专业社会力量救援队伍覆盖本片区外，片区各镇、村均成立以基干民兵为骨干的应急救援分队，共有应急救援分队</w:t>
      </w:r>
      <w:r>
        <w:rPr>
          <w:rFonts w:hint="default" w:ascii="Times New Roman" w:hAnsi="Times New Roman" w:eastAsia="仿宋_GB2312" w:cs="Times New Roman"/>
          <w:color w:val="auto"/>
          <w:sz w:val="32"/>
          <w:szCs w:val="32"/>
          <w:lang w:val="en-US" w:eastAsia="zh-CN"/>
        </w:rPr>
        <w:t>24支，367人</w:t>
      </w:r>
      <w:r>
        <w:rPr>
          <w:rFonts w:hint="default" w:ascii="Times New Roman" w:hAnsi="Times New Roman" w:eastAsia="仿宋_GB2312" w:cs="Times New Roman"/>
          <w:b w:val="0"/>
          <w:bCs/>
          <w:sz w:val="32"/>
          <w:szCs w:val="32"/>
          <w:lang w:val="en-US" w:eastAsia="zh-CN"/>
        </w:rPr>
        <w:t>，灾害信息员36人，基本形成“一主两辅”应急救援体系，“半小时”应急救援响应圈。</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val="0"/>
          <w:bCs/>
          <w:sz w:val="32"/>
          <w:szCs w:val="32"/>
          <w:lang w:val="en-US" w:eastAsia="zh-CN"/>
        </w:rPr>
        <w:t>防灾减灾情况。</w:t>
      </w:r>
      <w:r>
        <w:rPr>
          <w:rFonts w:hint="default" w:ascii="Times New Roman" w:hAnsi="Times New Roman" w:eastAsia="仿宋_GB2312" w:cs="Times New Roman"/>
          <w:b w:val="0"/>
          <w:bCs/>
          <w:sz w:val="32"/>
          <w:szCs w:val="32"/>
          <w:lang w:val="en-US" w:eastAsia="zh-CN"/>
        </w:rPr>
        <w:t>应急物资储备：片区应急物资储备均位于各镇政府，部分村（社区）建有应急物资临时储备点。应急避难场所：片区内应急避难场所均分布于学校、广场、镇政府、村委会等地势平坦、周边建筑低矮的场所，但应急避难设施较为缺失。</w:t>
      </w:r>
    </w:p>
    <w:p>
      <w:pPr>
        <w:pStyle w:val="4"/>
        <w:bidi w:val="0"/>
        <w:rPr>
          <w:rFonts w:hint="default"/>
        </w:rPr>
      </w:pPr>
      <w:bookmarkStart w:id="10" w:name="_Toc32197"/>
      <w:r>
        <w:rPr>
          <w:rFonts w:hint="default"/>
        </w:rPr>
        <w:t xml:space="preserve">第二节 </w:t>
      </w:r>
      <w:r>
        <w:rPr>
          <w:rFonts w:hint="default"/>
          <w:lang w:val="en-US" w:eastAsia="zh-CN"/>
        </w:rPr>
        <w:t xml:space="preserve"> </w:t>
      </w:r>
      <w:r>
        <w:rPr>
          <w:rFonts w:hint="default"/>
        </w:rPr>
        <w:t>面临形势</w:t>
      </w:r>
      <w:bookmarkEnd w:id="10"/>
    </w:p>
    <w:p>
      <w:pPr>
        <w:keepNext w:val="0"/>
        <w:keepLines w:val="0"/>
        <w:pageBreakBefore w:val="0"/>
        <w:widowControl w:val="0"/>
        <w:kinsoku/>
        <w:wordWrap/>
        <w:overflowPunct/>
        <w:topLinePunct w:val="0"/>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工业基础差、安全设施不足。片区以农业、旅游业为主，工业企业数量少、规模小，安全生产条件落后、安全设施不完善，存在较大安全隐患。在工业化、城镇化、信息化推进过程中，突发事件的关联性、衍生性、复合性和非常规性不断增强；跨区域和国际化趋势日益明显，危害性越来越大；随着网络新媒体快速发展，突发事件网上网下呼应，信息快速传播，加大了应急处置难度。同时，在推进全面建成小康社会进程中，公众对政府及时处置突发事件、保障公共安全提出了更高的要求。</w:t>
      </w:r>
    </w:p>
    <w:p>
      <w:pPr>
        <w:keepNext w:val="0"/>
        <w:keepLines w:val="0"/>
        <w:pageBreakBefore w:val="0"/>
        <w:widowControl w:val="0"/>
        <w:kinsoku/>
        <w:wordWrap/>
        <w:overflowPunct/>
        <w:topLinePunct w:val="0"/>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自然灾害防治难度大。片区内主要河流为岷江、青衣江，每年汛期受降雨量影响，洪涝灾害频发，大部分地区年平均降水量在1000毫米以上，并具有自北而南、由东往西随地势升高其降水量增加的特征。降雨量集中于夏、秋二季，降雨量占全年降水量的80%左右，7～9月份多大雨、暴雨。主要洪涝灾害为为暴雨引发的河流洪水、山洪、泥石流等。森林覆盖较广，森林防灭火压力较大。地质灾害隐患主要发生在悦来镇正阳村—棉竹镇九百洞村一带区域，存在安全隐患。</w:t>
      </w:r>
    </w:p>
    <w:p>
      <w:pPr>
        <w:keepNext w:val="0"/>
        <w:keepLines w:val="0"/>
        <w:pageBreakBefore w:val="0"/>
        <w:widowControl w:val="0"/>
        <w:kinsoku/>
        <w:wordWrap/>
        <w:overflowPunct/>
        <w:topLinePunct w:val="0"/>
        <w:bidi w:val="0"/>
        <w:adjustRightInd/>
        <w:snapToGrid/>
        <w:spacing w:line="550" w:lineRule="exact"/>
        <w:ind w:firstLine="640" w:firstLineChars="200"/>
        <w:textAlignment w:val="auto"/>
        <w:rPr>
          <w:rFonts w:hint="default" w:ascii="Times New Roman" w:hAnsi="Times New Roman" w:eastAsia="仿宋_GB2312" w:cs="Times New Roman"/>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应急救援能力不足。片区道路交通条件较差，应急体系发展现状主要表现在：重事后处置，轻事前准备，风险隐患排查治理不到，法规标准体系不健全，信息资源共享不充分，政策保障措施不完善，应急管理基础能力亟待加强；应急队伍救援装备和核心能力不足，专业和区域分布结构不均衡；基层应急能力薄弱，公众参与应急管理的社会化组织程度较低，公共安全意识和自救互救能力总体薄弱，社会协同应对机制有待健全。应急队伍数量不足，覆盖面有限。片区目前共有应急救援队伍24支，367人，人数少、装备缺仍然是较为突出的问题，对中心城区以外的农村地区覆盖面有限，偏远地区一旦了现险情，第一时间的先期处置力量不足，应急救援力量投送机动性不足。目前各镇、村均组织有各类志愿者救援队伍，但队伍数量和队伍质量参差不齐，基本未接受过专业应急救援培训，缺乏专业应急救援装备</w:t>
      </w:r>
      <w:r>
        <w:rPr>
          <w:rFonts w:hint="default" w:ascii="Times New Roman" w:hAnsi="Times New Roman" w:eastAsia="仿宋_GB2312" w:cs="Times New Roman"/>
          <w:color w:val="auto"/>
          <w:sz w:val="32"/>
          <w:szCs w:val="32"/>
          <w:lang w:val="en-US" w:eastAsia="zh-CN"/>
        </w:rPr>
        <w:t>，不能满足应急救援的要求。</w:t>
      </w:r>
    </w:p>
    <w:p>
      <w:pPr>
        <w:keepNext w:val="0"/>
        <w:keepLines w:val="0"/>
        <w:pageBreakBefore w:val="0"/>
        <w:widowControl w:val="0"/>
        <w:kinsoku/>
        <w:wordWrap/>
        <w:overflowPunct/>
        <w:topLinePunct w:val="0"/>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val="0"/>
          <w:bCs w:val="0"/>
          <w:color w:val="auto"/>
          <w:sz w:val="32"/>
          <w:szCs w:val="32"/>
          <w:lang w:val="en-US" w:eastAsia="zh-CN"/>
        </w:rPr>
        <w:t>防灾减灾能力较差</w:t>
      </w:r>
      <w:r>
        <w:rPr>
          <w:rFonts w:hint="default" w:ascii="Times New Roman" w:hAnsi="Times New Roman" w:eastAsia="仿宋_GB2312" w:cs="Times New Roman"/>
          <w:b w:val="0"/>
          <w:bCs w:val="0"/>
          <w:color w:val="auto"/>
          <w:sz w:val="32"/>
          <w:szCs w:val="32"/>
          <w:lang w:val="en-US" w:eastAsia="zh-CN"/>
        </w:rPr>
        <w:t>。应急物资储备结构不合理、快速调运配送效率不高，资源共享和应急征用补偿机制有待健全；</w:t>
      </w:r>
      <w:r>
        <w:rPr>
          <w:rFonts w:hint="eastAsia" w:ascii="Times New Roman" w:hAnsi="Times New Roman" w:eastAsia="仿宋_GB2312" w:cs="Times New Roman"/>
          <w:b w:val="0"/>
          <w:bCs w:val="0"/>
          <w:color w:val="auto"/>
          <w:sz w:val="32"/>
          <w:szCs w:val="32"/>
          <w:lang w:val="en-US" w:eastAsia="zh-CN"/>
        </w:rPr>
        <w:t>应急物资储备率不足，物资管理科学性、实用性欠缺；应急方案制定、应急演练开展不充分，应急培训不到位，存在部分应急装备用不了、不会用的现象。</w:t>
      </w:r>
    </w:p>
    <w:p>
      <w:pPr>
        <w:keepNext w:val="0"/>
        <w:keepLines w:val="0"/>
        <w:pageBreakBefore w:val="0"/>
        <w:widowControl w:val="0"/>
        <w:kinsoku/>
        <w:wordWrap/>
        <w:overflowPunct/>
        <w:topLinePunct w:val="0"/>
        <w:bidi w:val="0"/>
        <w:adjustRightInd/>
        <w:snapToGrid/>
        <w:spacing w:line="550" w:lineRule="exact"/>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br w:type="page"/>
      </w:r>
    </w:p>
    <w:p>
      <w:pPr>
        <w:pStyle w:val="3"/>
        <w:bidi w:val="0"/>
        <w:rPr>
          <w:rFonts w:hint="default"/>
        </w:rPr>
      </w:pPr>
      <w:bookmarkStart w:id="11" w:name="_Toc7240"/>
      <w:r>
        <w:rPr>
          <w:rFonts w:hint="default"/>
        </w:rPr>
        <w:t xml:space="preserve">第三章 </w:t>
      </w:r>
      <w:r>
        <w:rPr>
          <w:rFonts w:hint="default"/>
          <w:lang w:val="en-US" w:eastAsia="zh-CN"/>
        </w:rPr>
        <w:t xml:space="preserve"> </w:t>
      </w:r>
      <w:r>
        <w:rPr>
          <w:rFonts w:hint="default"/>
        </w:rPr>
        <w:t>规划目标</w:t>
      </w:r>
      <w:bookmarkEnd w:id="11"/>
    </w:p>
    <w:p>
      <w:pPr>
        <w:pStyle w:val="4"/>
        <w:bidi w:val="0"/>
        <w:rPr>
          <w:rFonts w:hint="default"/>
        </w:rPr>
      </w:pPr>
      <w:bookmarkStart w:id="12" w:name="_Toc1478"/>
      <w:r>
        <w:rPr>
          <w:rFonts w:hint="default"/>
        </w:rPr>
        <w:t>第一节</w:t>
      </w:r>
      <w:r>
        <w:rPr>
          <w:rFonts w:hint="default"/>
          <w:lang w:val="en-US" w:eastAsia="zh-CN"/>
        </w:rPr>
        <w:t xml:space="preserve"> </w:t>
      </w:r>
      <w:r>
        <w:rPr>
          <w:rFonts w:hint="default"/>
        </w:rPr>
        <w:t xml:space="preserve"> 近期目标</w:t>
      </w:r>
      <w:bookmarkEnd w:id="12"/>
    </w:p>
    <w:p>
      <w:pPr>
        <w:keepNext w:val="0"/>
        <w:keepLines w:val="0"/>
        <w:pageBreakBefore w:val="0"/>
        <w:widowControl w:val="0"/>
        <w:kinsoku/>
        <w:wordWrap/>
        <w:overflowPunct/>
        <w:topLinePunct w:val="0"/>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到2025年，深化责任链、强化协同联动，完善健全应急管理制度；安全生产专项整治取得明显成效，企业本质安全水平大幅提升，重大安全风险得到有效管控，安全生产整体水平显著提高；自然灾害风险防控和监测预警预报能力显著增强，自然灾害防治工程取得重大进展；健全完善形成符合片区实际的突发事件应急保障体系，提升对各类突发事件的有效防控和应对能力；应急指挥一体化建设水平显著提升，建成科学高效的应急指挥平台；应急管理基层支撑更加稳固，应急管理群防群治水平全面提高。</w:t>
      </w:r>
    </w:p>
    <w:p>
      <w:pPr>
        <w:keepNext w:val="0"/>
        <w:keepLines w:val="0"/>
        <w:pageBreakBefore w:val="0"/>
        <w:widowControl w:val="0"/>
        <w:kinsoku/>
        <w:wordWrap/>
        <w:overflowPunct/>
        <w:topLinePunct w:val="0"/>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一、安全生产目标</w:t>
      </w:r>
    </w:p>
    <w:p>
      <w:pPr>
        <w:keepNext w:val="0"/>
        <w:keepLines w:val="0"/>
        <w:pageBreakBefore w:val="0"/>
        <w:widowControl w:val="0"/>
        <w:kinsoku/>
        <w:wordWrap/>
        <w:overflowPunct/>
        <w:topLinePunct w:val="0"/>
        <w:bidi w:val="0"/>
        <w:adjustRightInd/>
        <w:snapToGrid/>
        <w:spacing w:line="550"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lang w:val="en-US" w:eastAsia="zh-CN"/>
        </w:rPr>
        <w:t>生产安全风险管控与隐患排查治理机制进一步完善，生产安全事故发生率降低，片区内企业安全生产风险早期感知识别和预报预警能力显著增强，片区基础设施防灾能力、重点行业领域安全生产水平大幅提升。</w:t>
      </w:r>
    </w:p>
    <w:p>
      <w:pPr>
        <w:keepNext w:val="0"/>
        <w:keepLines w:val="0"/>
        <w:pageBreakBefore w:val="0"/>
        <w:widowControl w:val="0"/>
        <w:kinsoku/>
        <w:wordWrap/>
        <w:overflowPunct/>
        <w:topLinePunct w:val="0"/>
        <w:bidi w:val="0"/>
        <w:adjustRightInd/>
        <w:snapToGrid/>
        <w:spacing w:line="550" w:lineRule="exact"/>
        <w:jc w:val="center"/>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专栏1  安全生产主要指标</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4043"/>
        <w:gridCol w:w="1396"/>
        <w:gridCol w:w="1161"/>
        <w:gridCol w:w="12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序号</w:t>
            </w:r>
          </w:p>
        </w:tc>
        <w:tc>
          <w:tcPr>
            <w:tcW w:w="404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指标名称</w:t>
            </w:r>
          </w:p>
        </w:tc>
        <w:tc>
          <w:tcPr>
            <w:tcW w:w="13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单位</w:t>
            </w:r>
          </w:p>
        </w:tc>
        <w:tc>
          <w:tcPr>
            <w:tcW w:w="11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预期值</w:t>
            </w: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lang w:val="en-US" w:eastAsia="zh-CN"/>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w:t>
            </w:r>
          </w:p>
        </w:tc>
        <w:tc>
          <w:tcPr>
            <w:tcW w:w="404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较大及以上生产安全事故起数</w:t>
            </w:r>
          </w:p>
        </w:tc>
        <w:tc>
          <w:tcPr>
            <w:tcW w:w="13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起</w:t>
            </w:r>
          </w:p>
        </w:tc>
        <w:tc>
          <w:tcPr>
            <w:tcW w:w="11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0</w:t>
            </w: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w:t>
            </w:r>
          </w:p>
        </w:tc>
        <w:tc>
          <w:tcPr>
            <w:tcW w:w="404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一般生产安全事故起数</w:t>
            </w:r>
          </w:p>
        </w:tc>
        <w:tc>
          <w:tcPr>
            <w:tcW w:w="13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起</w:t>
            </w:r>
          </w:p>
        </w:tc>
        <w:tc>
          <w:tcPr>
            <w:tcW w:w="11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lang w:val="en-US"/>
              </w:rPr>
            </w:pPr>
            <w:r>
              <w:rPr>
                <w:rFonts w:hint="eastAsia" w:ascii="仿宋_GB2312" w:hAnsi="仿宋_GB2312" w:eastAsia="仿宋_GB2312" w:cs="仿宋_GB2312"/>
                <w:color w:val="auto"/>
                <w:lang w:val="en-US" w:eastAsia="zh-CN"/>
              </w:rPr>
              <w:t>下降10%</w:t>
            </w: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3</w:t>
            </w:r>
          </w:p>
        </w:tc>
        <w:tc>
          <w:tcPr>
            <w:tcW w:w="404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生产安全事故死亡人数</w:t>
            </w:r>
          </w:p>
        </w:tc>
        <w:tc>
          <w:tcPr>
            <w:tcW w:w="13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人</w:t>
            </w:r>
          </w:p>
        </w:tc>
        <w:tc>
          <w:tcPr>
            <w:tcW w:w="11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val="en-US" w:eastAsia="zh-CN"/>
              </w:rPr>
              <w:t>下降10%</w:t>
            </w: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4</w:t>
            </w:r>
          </w:p>
        </w:tc>
        <w:tc>
          <w:tcPr>
            <w:tcW w:w="404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企业新增从业人员安全技能培训率</w:t>
            </w:r>
          </w:p>
        </w:tc>
        <w:tc>
          <w:tcPr>
            <w:tcW w:w="13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w:t>
            </w:r>
          </w:p>
        </w:tc>
        <w:tc>
          <w:tcPr>
            <w:tcW w:w="11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100</w:t>
            </w: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5</w:t>
            </w:r>
          </w:p>
        </w:tc>
        <w:tc>
          <w:tcPr>
            <w:tcW w:w="404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乡镇安全管理人员</w:t>
            </w:r>
          </w:p>
        </w:tc>
        <w:tc>
          <w:tcPr>
            <w:tcW w:w="13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w:t>
            </w:r>
          </w:p>
        </w:tc>
        <w:tc>
          <w:tcPr>
            <w:tcW w:w="11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≥1</w:t>
            </w: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6</w:t>
            </w:r>
          </w:p>
        </w:tc>
        <w:tc>
          <w:tcPr>
            <w:tcW w:w="4043"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安全生产教育“七进”活动完成率</w:t>
            </w:r>
          </w:p>
        </w:tc>
        <w:tc>
          <w:tcPr>
            <w:tcW w:w="139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val="en-US" w:eastAsia="zh-CN"/>
              </w:rPr>
              <w:t>%</w:t>
            </w:r>
          </w:p>
        </w:tc>
        <w:tc>
          <w:tcPr>
            <w:tcW w:w="116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val="en-US" w:eastAsia="zh-CN"/>
              </w:rPr>
              <w:t>100</w:t>
            </w:r>
          </w:p>
        </w:tc>
        <w:tc>
          <w:tcPr>
            <w:tcW w:w="120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val="en-US" w:eastAsia="zh-CN"/>
              </w:rPr>
              <w:t>约束性</w:t>
            </w:r>
          </w:p>
        </w:tc>
      </w:tr>
    </w:tbl>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二、防灾减灾目标</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防灾减灾方面。最大限度上保障人民群众生命财产安全，做好防灾减灾救灾基础设施升级改造。应急避难场所等应急管理基础设施建设更加完善，应急避难场所分布更加合理，人均有效服务面积均达到三级应急避难场所标准，应急物资储备点配备率达到区平均水平。</w:t>
      </w: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专栏2  防灾减灾主要指标</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4941"/>
        <w:gridCol w:w="706"/>
        <w:gridCol w:w="935"/>
        <w:gridCol w:w="1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序号</w:t>
            </w:r>
          </w:p>
        </w:tc>
        <w:tc>
          <w:tcPr>
            <w:tcW w:w="49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指标名称</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单位</w:t>
            </w: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预期值</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w:t>
            </w:r>
          </w:p>
        </w:tc>
        <w:tc>
          <w:tcPr>
            <w:tcW w:w="49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镇（中心村）应急物资储备</w:t>
            </w:r>
            <w:r>
              <w:rPr>
                <w:rFonts w:hint="eastAsia" w:ascii="仿宋_GB2312" w:hAnsi="仿宋_GB2312" w:eastAsia="仿宋_GB2312" w:cs="仿宋_GB2312"/>
                <w:color w:val="auto"/>
                <w:lang w:eastAsia="zh-CN"/>
              </w:rPr>
              <w:t>点</w:t>
            </w:r>
            <w:r>
              <w:rPr>
                <w:rFonts w:hint="eastAsia" w:ascii="仿宋_GB2312" w:hAnsi="仿宋_GB2312" w:eastAsia="仿宋_GB2312" w:cs="仿宋_GB2312"/>
                <w:color w:val="auto"/>
              </w:rPr>
              <w:t>配备率</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100</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w:t>
            </w:r>
          </w:p>
        </w:tc>
        <w:tc>
          <w:tcPr>
            <w:tcW w:w="49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一般村（社区）应急物资储备点配备率</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w:t>
            </w: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≥95</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w:t>
            </w:r>
          </w:p>
        </w:tc>
        <w:tc>
          <w:tcPr>
            <w:tcW w:w="49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应急避难场所人均面积</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≥1.5</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w:t>
            </w:r>
          </w:p>
        </w:tc>
        <w:tc>
          <w:tcPr>
            <w:tcW w:w="49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灾害信息发布公众覆盖率</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100</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w:t>
            </w:r>
          </w:p>
        </w:tc>
        <w:tc>
          <w:tcPr>
            <w:tcW w:w="49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受灾群众基本生活得到有效救助</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小时</w:t>
            </w: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≤8</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6</w:t>
            </w:r>
          </w:p>
        </w:tc>
        <w:tc>
          <w:tcPr>
            <w:tcW w:w="49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林火监测覆盖率</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w:t>
            </w: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100</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7</w:t>
            </w:r>
          </w:p>
        </w:tc>
        <w:tc>
          <w:tcPr>
            <w:tcW w:w="4941"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家庭应急救援包配备率</w:t>
            </w:r>
          </w:p>
        </w:tc>
        <w:tc>
          <w:tcPr>
            <w:tcW w:w="706"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935"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w:t>
            </w:r>
            <w:r>
              <w:rPr>
                <w:rFonts w:hint="eastAsia" w:ascii="仿宋_GB2312" w:hAnsi="仿宋_GB2312" w:eastAsia="仿宋_GB2312" w:cs="仿宋_GB2312"/>
                <w:color w:val="auto"/>
                <w:lang w:val="en-US" w:eastAsia="zh-CN"/>
              </w:rPr>
              <w:t>10</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预期性</w:t>
            </w:r>
          </w:p>
        </w:tc>
      </w:tr>
    </w:tbl>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三、应急能力目标</w:t>
      </w:r>
    </w:p>
    <w:p>
      <w:pPr>
        <w:keepNext w:val="0"/>
        <w:keepLines w:val="0"/>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救援力量布局更加合理，应急救援效能显著提升，应急预案、物资储备、应急通信、灾后救助等保障能力全面提高。社会公众应急意识和自救互救能力显著增强。应急管理队伍建设、能力建设、作风建设取得重大进展。</w:t>
      </w:r>
    </w:p>
    <w:p>
      <w:pPr>
        <w:keepNext w:val="0"/>
        <w:keepLines w:val="0"/>
        <w:pageBreakBefore w:val="0"/>
        <w:widowControl w:val="0"/>
        <w:kinsoku/>
        <w:wordWrap/>
        <w:overflowPunct/>
        <w:topLinePunct w:val="0"/>
        <w:autoSpaceDE/>
        <w:autoSpaceDN/>
        <w:bidi w:val="0"/>
        <w:adjustRightInd/>
        <w:snapToGrid/>
        <w:spacing w:line="550" w:lineRule="exact"/>
        <w:jc w:val="center"/>
        <w:textAlignment w:val="auto"/>
        <w:outlineLvl w:val="1"/>
        <w:rPr>
          <w:rFonts w:hint="eastAsia" w:ascii="仿宋_GB2312" w:hAnsi="仿宋_GB2312" w:eastAsia="仿宋_GB2312" w:cs="仿宋_GB2312"/>
          <w:b/>
          <w:bCs/>
          <w:color w:val="auto"/>
          <w:sz w:val="32"/>
          <w:szCs w:val="32"/>
          <w:lang w:val="en-US" w:eastAsia="zh-CN"/>
        </w:rPr>
      </w:pPr>
      <w:bookmarkStart w:id="13" w:name="_Toc14892"/>
      <w:bookmarkStart w:id="14" w:name="_Toc968"/>
      <w:bookmarkStart w:id="15" w:name="_Toc1178"/>
      <w:r>
        <w:rPr>
          <w:rFonts w:hint="eastAsia" w:ascii="仿宋_GB2312" w:hAnsi="仿宋_GB2312" w:eastAsia="仿宋_GB2312" w:cs="仿宋_GB2312"/>
          <w:b/>
          <w:bCs/>
          <w:color w:val="auto"/>
          <w:sz w:val="32"/>
          <w:szCs w:val="32"/>
          <w:lang w:val="en-US" w:eastAsia="zh-CN"/>
        </w:rPr>
        <w:t>专栏3  应急能力主要指标</w:t>
      </w:r>
      <w:bookmarkEnd w:id="13"/>
      <w:bookmarkEnd w:id="14"/>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4943"/>
        <w:gridCol w:w="715"/>
        <w:gridCol w:w="928"/>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8" w:type="dxa"/>
            <w:vAlign w:val="center"/>
          </w:tcPr>
          <w:p>
            <w:pPr>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序号</w:t>
            </w:r>
          </w:p>
        </w:tc>
        <w:tc>
          <w:tcPr>
            <w:tcW w:w="4943" w:type="dxa"/>
            <w:vAlign w:val="center"/>
          </w:tcPr>
          <w:p>
            <w:pPr>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指标名称</w:t>
            </w:r>
          </w:p>
        </w:tc>
        <w:tc>
          <w:tcPr>
            <w:tcW w:w="715" w:type="dxa"/>
            <w:vAlign w:val="center"/>
          </w:tcPr>
          <w:p>
            <w:pPr>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单位</w:t>
            </w:r>
          </w:p>
        </w:tc>
        <w:tc>
          <w:tcPr>
            <w:tcW w:w="928" w:type="dxa"/>
            <w:vAlign w:val="center"/>
          </w:tcPr>
          <w:p>
            <w:pPr>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预期值</w:t>
            </w:r>
          </w:p>
        </w:tc>
        <w:tc>
          <w:tcPr>
            <w:tcW w:w="1229" w:type="dxa"/>
            <w:vAlign w:val="center"/>
          </w:tcPr>
          <w:p>
            <w:pPr>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指标性质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1</w:t>
            </w:r>
          </w:p>
        </w:tc>
        <w:tc>
          <w:tcPr>
            <w:tcW w:w="4943" w:type="dxa"/>
            <w:vAlign w:val="center"/>
          </w:tcPr>
          <w:p>
            <w:pPr>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应急预案覆盖率</w:t>
            </w:r>
          </w:p>
        </w:tc>
        <w:tc>
          <w:tcPr>
            <w:tcW w:w="715"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w:t>
            </w:r>
          </w:p>
        </w:tc>
        <w:tc>
          <w:tcPr>
            <w:tcW w:w="928"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val="en-US" w:eastAsia="zh-CN"/>
              </w:rPr>
              <w:t>100</w:t>
            </w:r>
          </w:p>
        </w:tc>
        <w:tc>
          <w:tcPr>
            <w:tcW w:w="1229"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w:t>
            </w:r>
          </w:p>
        </w:tc>
        <w:tc>
          <w:tcPr>
            <w:tcW w:w="4943" w:type="dxa"/>
            <w:vAlign w:val="center"/>
          </w:tcPr>
          <w:p>
            <w:pPr>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应急救援人员专业化比率</w:t>
            </w:r>
          </w:p>
        </w:tc>
        <w:tc>
          <w:tcPr>
            <w:tcW w:w="715"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val="en-US" w:eastAsia="zh-CN"/>
              </w:rPr>
              <w:t>%</w:t>
            </w:r>
          </w:p>
        </w:tc>
        <w:tc>
          <w:tcPr>
            <w:tcW w:w="928"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val="en-US" w:eastAsia="zh-CN"/>
              </w:rPr>
              <w:t>2</w:t>
            </w:r>
          </w:p>
        </w:tc>
        <w:tc>
          <w:tcPr>
            <w:tcW w:w="1229"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预期性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8" w:type="dxa"/>
            <w:vAlign w:val="center"/>
          </w:tcPr>
          <w:p>
            <w:pPr>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3</w:t>
            </w:r>
          </w:p>
        </w:tc>
        <w:tc>
          <w:tcPr>
            <w:tcW w:w="4943"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镇应急队、村（社区）应急分队建成率</w:t>
            </w:r>
          </w:p>
        </w:tc>
        <w:tc>
          <w:tcPr>
            <w:tcW w:w="715"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w:t>
            </w:r>
          </w:p>
        </w:tc>
        <w:tc>
          <w:tcPr>
            <w:tcW w:w="928"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100</w:t>
            </w:r>
          </w:p>
        </w:tc>
        <w:tc>
          <w:tcPr>
            <w:tcW w:w="1229"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5</w:t>
            </w:r>
          </w:p>
        </w:tc>
        <w:tc>
          <w:tcPr>
            <w:tcW w:w="4943"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应急队伍装备配置完备率</w:t>
            </w:r>
          </w:p>
        </w:tc>
        <w:tc>
          <w:tcPr>
            <w:tcW w:w="715"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92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≥95</w:t>
            </w:r>
          </w:p>
        </w:tc>
        <w:tc>
          <w:tcPr>
            <w:tcW w:w="1229"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3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6</w:t>
            </w:r>
          </w:p>
        </w:tc>
        <w:tc>
          <w:tcPr>
            <w:tcW w:w="4943" w:type="dxa"/>
            <w:vAlign w:val="center"/>
          </w:tcPr>
          <w:p>
            <w:pPr>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应急救援人员占片区学常住人口比例</w:t>
            </w:r>
          </w:p>
        </w:tc>
        <w:tc>
          <w:tcPr>
            <w:tcW w:w="715"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928" w:type="dxa"/>
            <w:vAlign w:val="center"/>
          </w:tcPr>
          <w:p>
            <w:pPr>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1.5</w:t>
            </w:r>
          </w:p>
        </w:tc>
        <w:tc>
          <w:tcPr>
            <w:tcW w:w="1229"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预期性</w:t>
            </w:r>
          </w:p>
        </w:tc>
      </w:tr>
    </w:tbl>
    <w:p>
      <w:pPr>
        <w:pStyle w:val="4"/>
        <w:pageBreakBefore w:val="0"/>
        <w:widowControl w:val="0"/>
        <w:kinsoku/>
        <w:wordWrap/>
        <w:overflowPunct/>
        <w:topLinePunct w:val="0"/>
        <w:autoSpaceDE/>
        <w:autoSpaceDN/>
        <w:bidi w:val="0"/>
        <w:adjustRightInd/>
        <w:snapToGrid/>
        <w:spacing w:line="550" w:lineRule="exact"/>
        <w:textAlignment w:val="auto"/>
        <w:rPr>
          <w:rFonts w:hint="eastAsia"/>
        </w:rPr>
      </w:pPr>
      <w:r>
        <w:rPr>
          <w:rFonts w:hint="eastAsia"/>
        </w:rPr>
        <w:t>第</w:t>
      </w:r>
      <w:r>
        <w:rPr>
          <w:rFonts w:hint="eastAsia"/>
          <w:lang w:eastAsia="zh-CN"/>
        </w:rPr>
        <w:t>二</w:t>
      </w:r>
      <w:r>
        <w:rPr>
          <w:rFonts w:hint="eastAsia"/>
        </w:rPr>
        <w:t>节</w:t>
      </w:r>
      <w:r>
        <w:rPr>
          <w:rFonts w:hint="eastAsia"/>
          <w:lang w:val="en-US" w:eastAsia="zh-CN"/>
        </w:rPr>
        <w:t xml:space="preserve"> </w:t>
      </w:r>
      <w:r>
        <w:rPr>
          <w:rFonts w:hint="eastAsia"/>
        </w:rPr>
        <w:t xml:space="preserve"> </w:t>
      </w:r>
      <w:r>
        <w:rPr>
          <w:rFonts w:hint="eastAsia"/>
          <w:lang w:eastAsia="zh-CN"/>
        </w:rPr>
        <w:t>远景</w:t>
      </w:r>
      <w:r>
        <w:rPr>
          <w:rFonts w:hint="eastAsia"/>
        </w:rPr>
        <w:t>目标</w:t>
      </w:r>
      <w:bookmarkEnd w:id="15"/>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到2035年，全面提升应急管理能力现代化水平，安全生产风险防控能力显著提升，自然灾害防范能力显著提高，应急能力全面提高，全面完善应急信息技术系统，应急管理基层支撑更加稳固，社会公众公共安全意识和防范能力明显提升。</w:t>
      </w:r>
    </w:p>
    <w:p>
      <w:pPr>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lang w:val="en-US" w:eastAsia="zh-CN"/>
        </w:rPr>
      </w:pPr>
      <w:bookmarkStart w:id="16" w:name="_Toc618"/>
      <w:r>
        <w:rPr>
          <w:rFonts w:hint="eastAsia" w:ascii="仿宋_GB2312" w:hAnsi="仿宋_GB2312" w:eastAsia="仿宋_GB2312" w:cs="仿宋_GB2312"/>
          <w:color w:val="auto"/>
          <w:lang w:val="en-US" w:eastAsia="zh-CN"/>
        </w:rPr>
        <w:br w:type="page"/>
      </w:r>
    </w:p>
    <w:p>
      <w:pPr>
        <w:pStyle w:val="3"/>
        <w:pageBreakBefore w:val="0"/>
        <w:widowControl w:val="0"/>
        <w:kinsoku/>
        <w:wordWrap/>
        <w:overflowPunct/>
        <w:topLinePunct w:val="0"/>
        <w:autoSpaceDE/>
        <w:autoSpaceDN/>
        <w:bidi w:val="0"/>
        <w:adjustRightInd/>
        <w:snapToGrid/>
        <w:spacing w:line="550" w:lineRule="exact"/>
        <w:textAlignment w:val="auto"/>
        <w:rPr>
          <w:rFonts w:hint="eastAsia"/>
        </w:rPr>
      </w:pPr>
      <w:r>
        <w:rPr>
          <w:rFonts w:hint="eastAsia"/>
          <w:lang w:val="en-US" w:eastAsia="zh-CN"/>
        </w:rPr>
        <w:t xml:space="preserve">第四章  </w:t>
      </w:r>
      <w:bookmarkStart w:id="17" w:name="_Toc5176"/>
      <w:bookmarkStart w:id="18" w:name="_Toc3716"/>
      <w:bookmarkStart w:id="19" w:name="_Toc3939"/>
      <w:bookmarkStart w:id="20" w:name="_Toc13876"/>
      <w:bookmarkStart w:id="21" w:name="_Toc11930"/>
      <w:bookmarkStart w:id="22" w:name="_Toc4499"/>
      <w:bookmarkStart w:id="23" w:name="_Toc16769"/>
      <w:r>
        <w:rPr>
          <w:rFonts w:hint="eastAsia"/>
        </w:rPr>
        <w:t>主要任务和重点工程</w:t>
      </w:r>
      <w:bookmarkEnd w:id="16"/>
      <w:bookmarkEnd w:id="17"/>
      <w:bookmarkEnd w:id="18"/>
      <w:bookmarkEnd w:id="19"/>
      <w:bookmarkEnd w:id="20"/>
      <w:bookmarkEnd w:id="21"/>
      <w:bookmarkEnd w:id="22"/>
      <w:bookmarkEnd w:id="23"/>
    </w:p>
    <w:p>
      <w:pPr>
        <w:pStyle w:val="4"/>
        <w:pageBreakBefore w:val="0"/>
        <w:widowControl w:val="0"/>
        <w:kinsoku/>
        <w:wordWrap/>
        <w:overflowPunct/>
        <w:topLinePunct w:val="0"/>
        <w:autoSpaceDE/>
        <w:autoSpaceDN/>
        <w:bidi w:val="0"/>
        <w:adjustRightInd/>
        <w:snapToGrid/>
        <w:spacing w:line="550" w:lineRule="exact"/>
        <w:textAlignment w:val="auto"/>
        <w:rPr>
          <w:rFonts w:hint="eastAsia"/>
          <w:lang w:val="en-US" w:eastAsia="zh-CN"/>
        </w:rPr>
      </w:pPr>
      <w:bookmarkStart w:id="24" w:name="_Toc30145"/>
      <w:r>
        <w:rPr>
          <w:rFonts w:hint="eastAsia"/>
          <w:lang w:val="en-US" w:eastAsia="zh-CN"/>
        </w:rPr>
        <w:t>第一节  健全组织领导</w:t>
      </w:r>
      <w:bookmarkEnd w:id="24"/>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深化压实责任链，完善提升应急指挥机制。制定牟子镇、悦来镇、棉竹镇应急指挥部及办公室工作规则，明确职责分工。细化应急指挥与应急处置工作方案，明确不同应急响应等级下的应急处置工作程序，重点规范本层级层面的应对行动，体现先期处置特点。压紧压实镇、村（社区）属地责任，充实应急管理工作专（兼）职人员，加强业务知识培训。完善自然灾害防范、治理、救援工作责任清单，提升防治救协同效能，把责任链条延伸到防范化解安全风险、应急救援指挥和防灾减灾救灾全过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加强区域联动，提升区域协同能力。构建片区内跨镇及跨区域联动机制，健全抢险救灾协调机制和联合指挥平台，完善会商研判、预警发布、抢险救援、指挥调度、协调协作等制度，提高协作能力和应急处置效能。特别是要发挥牟子镇中心消防救援站与片区内镇应急队和村（社区）应急分队的协调联动机制和队伍管理培训演练机制。</w:t>
      </w:r>
    </w:p>
    <w:p>
      <w:pPr>
        <w:pStyle w:val="4"/>
        <w:pageBreakBefore w:val="0"/>
        <w:widowControl w:val="0"/>
        <w:kinsoku/>
        <w:wordWrap/>
        <w:overflowPunct/>
        <w:topLinePunct w:val="0"/>
        <w:autoSpaceDE/>
        <w:autoSpaceDN/>
        <w:bidi w:val="0"/>
        <w:adjustRightInd/>
        <w:snapToGrid/>
        <w:spacing w:line="550" w:lineRule="exact"/>
        <w:textAlignment w:val="auto"/>
        <w:rPr>
          <w:rFonts w:hint="eastAsia"/>
          <w:lang w:val="en-US" w:eastAsia="zh-CN"/>
        </w:rPr>
      </w:pPr>
      <w:bookmarkStart w:id="25" w:name="_Toc1300"/>
      <w:r>
        <w:rPr>
          <w:rFonts w:hint="eastAsia"/>
          <w:lang w:val="en-US" w:eastAsia="zh-CN"/>
        </w:rPr>
        <w:t>第二节  安全生产风险防控方面</w:t>
      </w:r>
      <w:bookmarkEnd w:id="25"/>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提升监管监察能力。片区内各镇全面开展记分管理办法，健全和落实安全生产责任制、安全生产清单制。完善安全风险分级管控和隐患排查治理机制，持续实行政府购买技术服务方式，提升片区内生产安全监管专业化。持续贯彻落实《市中区安全生产重大事故隐患和重大违法行为举报奖励办法》，着力拓宽隐患举报途径，打通举报瓶颈，消除举报障碍，充分调动全民参与治理安全隐患的积极性。</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加强源头管控。督促指导各类生产经营单位建立常态化摸排辨识重大风险工作机制，建立完善风险管控任务清单，明确风险位置、具体表现、管控措施、监管人员等基础信息。片区定期梳理汇总风险状况，精准部署并推动落实防范化解重大风险。</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强化风险监测。建设高危行业企业实时在线监测点和安全生产风险监测预警系统，以感知数据为支撑，构建风险监测指标体系和监测预警模型，利用大数据等技术手段，实现对高危行业企业安全生产风险的监测、评估和预警。</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深化安全生产专项整治。加强安全生产责任制落实，从乡村旅游、高危企业、道路交通、乡村建设、特种设备等重点领域提档升级，实施重要领域专项整治。</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开展乡村旅游专项整治。针对片区内乡村旅游行业，开展安全专项整治，严格落实安全生产和食品安全防范措施，持续推进乡村旅游企业安全生产标准化创建，强化行业示范带动作用。建设以镇安委会、安办牵头，企业负责人、企业安全管理人员为主的安全监管机构。</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重抓高危企业专项整治。深入开展危险化学品和工贸企业安全生产专项整治行动，持续推进企业安全生产标准化创建，强化行业示范带动作用。建设以镇安委会、安办牵头，企业负责人、企业安全管理人员为主的安全监管机构。</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——加强危险道路交通整治。深入实施公路安全生命防护工程、危旧桥（隧）改造工程，加强临水临崖、连续长陡下坡、急弯陡坡等隐患路段整治。（具体工程以交通部门规划为准。）</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——排查乡村安全隐患。依法查处违法建设</w:t>
      </w:r>
      <w:r>
        <w:rPr>
          <w:rFonts w:hint="eastAsia" w:ascii="仿宋_GB2312" w:hAnsi="仿宋_GB2312" w:eastAsia="仿宋_GB2312" w:cs="仿宋_GB2312"/>
          <w:color w:val="auto"/>
          <w:sz w:val="32"/>
          <w:szCs w:val="32"/>
          <w:lang w:val="en-US" w:eastAsia="zh-CN"/>
        </w:rPr>
        <w:t>、违规改变建筑主体结构或使用功能等造成安全隐患行为，持续开展乡村危房排查整治工作。建立完善隧道、桥梁、地下管线工程建设台账，落实安全风险管控措施。加强城市地下基础设施安全管理，推动实施场镇防洪排涝能力和乡村燃气泄漏报警、燃气管道自动化监管系统建设工作。（具体工程以相关行业部门规划为准。）</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加强特种设备专项整治。对本片区电梯、压力容器等所有特种设备进行集中整治。督促特种设备使用人、经营管理企业持续改进特种设备管护模式，充分发挥物联网等技术在特种设备监管中的作用，纳入全区应急指挥信息化建设工作中。（具体工程以相关行业部门规划为准。）</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——加快生命工程建设。实施打通消防“生命通道”工程，推进重点行业领域消防安全标准化管理工作（详见消防体系专项规划）。</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Pr>
          <w:p>
            <w:pPr>
              <w:pageBreakBefore w:val="0"/>
              <w:widowControl w:val="0"/>
              <w:kinsoku/>
              <w:wordWrap/>
              <w:overflowPunct/>
              <w:topLinePunct w:val="0"/>
              <w:autoSpaceDE/>
              <w:autoSpaceDN/>
              <w:bidi w:val="0"/>
              <w:adjustRightInd/>
              <w:snapToGrid/>
              <w:spacing w:line="550" w:lineRule="exact"/>
              <w:jc w:val="center"/>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专栏4  安全生产风险防控能力重点工程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1.片区安全生产风险监测预警工程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建设内容：乡村旅游景点、危险化学品企业、规模以上企业主要场所、关键岗位、高危作业环节安装视频监控、智能监测感知系统，并预留接口，将监测信息接入镇、区应急指挥平台。</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责任部门：区应急管理局、相关行业主管部门，牟子镇、悦来镇、棉竹镇、重点行业领域企业。</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完成时限：2022-2035年。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规划投资：500万。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2.政府购买专业技术服务项目工程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建设内容：通过政府购买服务方式，聘用相关专业领域专家、社会志愿者等力量，辅助片区开展生产安全监管、隐患排查、防灾救灾、应急救援等相关工作。</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责任部门：区应急管理局、牟子镇、悦来镇、棉竹镇。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完成时限：2022年起长期坚持。</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lang w:val="en-US" w:eastAsia="zh-CN"/>
              </w:rPr>
              <w:t>规划投资：60万元/年。</w:t>
            </w:r>
          </w:p>
        </w:tc>
      </w:tr>
    </w:tbl>
    <w:p>
      <w:pPr>
        <w:pStyle w:val="4"/>
        <w:pageBreakBefore w:val="0"/>
        <w:widowControl w:val="0"/>
        <w:kinsoku/>
        <w:wordWrap/>
        <w:overflowPunct/>
        <w:topLinePunct w:val="0"/>
        <w:autoSpaceDE/>
        <w:autoSpaceDN/>
        <w:bidi w:val="0"/>
        <w:adjustRightInd/>
        <w:snapToGrid/>
        <w:spacing w:line="550" w:lineRule="exact"/>
        <w:textAlignment w:val="auto"/>
        <w:rPr>
          <w:rFonts w:hint="eastAsia"/>
          <w:lang w:val="en-US" w:eastAsia="zh-CN"/>
        </w:rPr>
      </w:pPr>
      <w:bookmarkStart w:id="26" w:name="_Toc19462"/>
      <w:r>
        <w:rPr>
          <w:rFonts w:hint="eastAsia"/>
          <w:lang w:val="en-US" w:eastAsia="zh-CN"/>
        </w:rPr>
        <w:t>第三节  自然灾害防治方面</w:t>
      </w:r>
      <w:bookmarkEnd w:id="26"/>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加强基层监测员队伍建设，构建科学的监测系统，完善科学预警及农村基层防汛群测群防体系，进一步增强监测、预警调度及时性和准确性，落实第一时间把预警信息传达到村、到户、到人。按照自然灾害防治工程任务相关要求，区应急管理部门配合片区负责申报、治理短、平、快的地质灾害排危除险项目，持续做好地灾综合治理工作。持续开展岷江防洪治理，提高防洪设防标准。</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Pr>
          <w:p>
            <w:pPr>
              <w:pageBreakBefore w:val="0"/>
              <w:widowControl w:val="0"/>
              <w:kinsoku/>
              <w:wordWrap/>
              <w:overflowPunct/>
              <w:topLinePunct w:val="0"/>
              <w:autoSpaceDE/>
              <w:autoSpaceDN/>
              <w:bidi w:val="0"/>
              <w:adjustRightInd/>
              <w:snapToGrid/>
              <w:spacing w:line="550" w:lineRule="exact"/>
              <w:jc w:val="center"/>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专栏5  自然灾害防治重点工程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1.森林防火预警监测系统建设、林火视频监控预警系统</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建设内容：在森林资源分布集中、敏感性高、火源控制难度大等重点区域建设林火视频监控系统5套，主要道路节点设置林区智能卡口系统10套。</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责任部门：区自然资源局</w:t>
            </w:r>
            <w:r>
              <w:rPr>
                <w:rFonts w:hint="eastAsia" w:ascii="仿宋_GB2312" w:hAnsi="仿宋_GB2312" w:eastAsia="仿宋_GB2312" w:cs="仿宋_GB2312"/>
                <w:color w:val="auto"/>
                <w:sz w:val="32"/>
                <w:szCs w:val="32"/>
                <w:lang w:val="en-US" w:eastAsia="zh-CN"/>
              </w:rPr>
              <w:tab/>
            </w:r>
            <w:r>
              <w:rPr>
                <w:rFonts w:hint="eastAsia" w:ascii="仿宋_GB2312" w:hAnsi="仿宋_GB2312" w:eastAsia="仿宋_GB2312" w:cs="仿宋_GB2312"/>
                <w:color w:val="auto"/>
                <w:sz w:val="32"/>
                <w:szCs w:val="32"/>
                <w:lang w:val="en-US" w:eastAsia="zh-CN"/>
              </w:rPr>
              <w:t>、牟子镇、悦来镇、棉竹镇</w:t>
            </w:r>
            <w:r>
              <w:rPr>
                <w:rFonts w:hint="eastAsia" w:ascii="仿宋_GB2312" w:hAnsi="仿宋_GB2312" w:eastAsia="仿宋_GB2312" w:cs="仿宋_GB2312"/>
                <w:color w:val="auto"/>
                <w:sz w:val="32"/>
                <w:szCs w:val="32"/>
                <w:lang w:val="en-US" w:eastAsia="zh-CN"/>
              </w:rPr>
              <w:tab/>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规划投资：693万元。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2.森林火险因子监测系统</w:t>
            </w:r>
            <w:r>
              <w:rPr>
                <w:rFonts w:hint="eastAsia" w:ascii="仿宋_GB2312" w:hAnsi="仿宋_GB2312" w:eastAsia="仿宋_GB2312" w:cs="仿宋_GB2312"/>
                <w:color w:val="auto"/>
                <w:sz w:val="32"/>
                <w:szCs w:val="32"/>
                <w:lang w:val="en-US" w:eastAsia="zh-CN"/>
              </w:rPr>
              <w:tab/>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建设内容：在重点部位设置森林火险因子预警系统1套。</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责任部门：区自然资源局、牟子镇。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完成时限：2022-2025。</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规划投资：40万元。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3.森林防火信息指挥系统建设</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建设内容：镇级信息监测站含工作站、大尺寸监视设备、硬盘录像机、通信接入设备、管理机柜、ups、操作台、空调、简易装修、设备安装支架兼瞭望台等，系统安装3套。</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责任部门：区自然资源局、牟子镇、悦来镇、棉竹镇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规划投资：109.5万元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4.林火阻隔系统建设和森林防火道路</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建设内容：建设宽10-50米的组合阻隔带，规划里程15公里，规划新建硬化防火道路36公里、改扩建防火道路71公里。</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责任部门：区自然资源局、牟子镇、悦来镇、棉竹镇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规划投资：1850万元。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5.森林防火宣传教育工程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建设内容：在重点林区新增林区宣传碑3个、宣传牌200块、LED宣传教育警示屏9块；制作防火宣传影像视频1套、宣传手册5万册；森林防火技能培训及森林防火演练每年各1次。</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责任部门：区自然资源局、牟子镇、悦来镇、棉竹镇。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规划投资：157万元。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6.地质灾害排危除险工程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（1）建设内容：对片区内因强降雨、地震、洪涝等引发的地质灾害隐患实施排危除险（根据全区项目申报情况确定）。</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责任单位：区自然资源局、区应急管理局、区财政局、牟子镇、悦来镇、棉竹镇等。</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完成时限：2022-2035。</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规划投资：100万元/年。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（2）建设内容：牟子镇雷沟村5组毛草湾滑坡工程治理。</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建设地点：牟子镇雷沟村5组。</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责任单位：区自然资源局、牟子镇。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完成时限：2022-2023</w:t>
            </w:r>
            <w:r>
              <w:rPr>
                <w:rFonts w:hint="eastAsia" w:ascii="仿宋_GB2312" w:hAnsi="仿宋_GB2312" w:eastAsia="仿宋_GB2312" w:cs="仿宋_GB2312"/>
                <w:color w:val="auto"/>
                <w:sz w:val="32"/>
                <w:szCs w:val="32"/>
                <w:lang w:val="en-US" w:eastAsia="zh-CN"/>
              </w:rPr>
              <w:tab/>
            </w:r>
            <w:r>
              <w:rPr>
                <w:rFonts w:hint="eastAsia" w:ascii="仿宋_GB2312" w:hAnsi="仿宋_GB2312" w:eastAsia="仿宋_GB2312" w:cs="仿宋_GB2312"/>
                <w:color w:val="auto"/>
                <w:sz w:val="32"/>
                <w:szCs w:val="32"/>
                <w:lang w:val="en-US" w:eastAsia="zh-CN"/>
              </w:rPr>
              <w:t>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规划投资：90万元。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（3）建设内容：牟子镇三峡村12组崩塌排危除险。</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建设地点：牟子镇三峡村12组</w:t>
            </w:r>
            <w:r>
              <w:rPr>
                <w:rFonts w:hint="eastAsia" w:ascii="仿宋_GB2312" w:hAnsi="仿宋_GB2312" w:eastAsia="仿宋_GB2312" w:cs="仿宋_GB2312"/>
                <w:color w:val="auto"/>
                <w:sz w:val="32"/>
                <w:szCs w:val="32"/>
                <w:lang w:val="en-US" w:eastAsia="zh-CN"/>
              </w:rPr>
              <w:tab/>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责任单位：区自然资源局、牟子镇。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完成时限：2022-2023</w:t>
            </w:r>
            <w:r>
              <w:rPr>
                <w:rFonts w:hint="eastAsia" w:ascii="仿宋_GB2312" w:hAnsi="仿宋_GB2312" w:eastAsia="仿宋_GB2312" w:cs="仿宋_GB2312"/>
                <w:color w:val="auto"/>
                <w:sz w:val="32"/>
                <w:szCs w:val="32"/>
                <w:lang w:val="en-US" w:eastAsia="zh-CN"/>
              </w:rPr>
              <w:tab/>
            </w:r>
            <w:r>
              <w:rPr>
                <w:rFonts w:hint="eastAsia" w:ascii="仿宋_GB2312" w:hAnsi="仿宋_GB2312" w:eastAsia="仿宋_GB2312" w:cs="仿宋_GB2312"/>
                <w:color w:val="auto"/>
                <w:sz w:val="32"/>
                <w:szCs w:val="32"/>
                <w:lang w:val="en-US" w:eastAsia="zh-CN"/>
              </w:rPr>
              <w:t>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规划投资：25万元。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（4）建设内容：牟子镇板桥村10组崩塌避险搬迁。</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建设地点：牟子镇板桥村10组。</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责任单位：区自然资源局、牟子镇。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完成时限：2022-2023</w:t>
            </w:r>
            <w:r>
              <w:rPr>
                <w:rFonts w:hint="eastAsia" w:ascii="仿宋_GB2312" w:hAnsi="仿宋_GB2312" w:eastAsia="仿宋_GB2312" w:cs="仿宋_GB2312"/>
                <w:color w:val="auto"/>
                <w:sz w:val="32"/>
                <w:szCs w:val="32"/>
                <w:lang w:val="en-US" w:eastAsia="zh-CN"/>
              </w:rPr>
              <w:tab/>
            </w:r>
            <w:r>
              <w:rPr>
                <w:rFonts w:hint="eastAsia" w:ascii="仿宋_GB2312" w:hAnsi="仿宋_GB2312" w:eastAsia="仿宋_GB2312" w:cs="仿宋_GB2312"/>
                <w:color w:val="auto"/>
                <w:sz w:val="32"/>
                <w:szCs w:val="32"/>
                <w:lang w:val="en-US" w:eastAsia="zh-CN"/>
              </w:rPr>
              <w:t>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color w:val="auto"/>
                <w:sz w:val="32"/>
                <w:szCs w:val="32"/>
                <w:lang w:val="en-US" w:eastAsia="zh-CN"/>
              </w:rPr>
              <w:t>规划投资：3.5万元。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7.水旱灾害防治工程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整治水毁14处；渠道渠堤垮塌、外坡滑坡，整治长度2.29km；建筑物1座，整治隧洞长度约1km，渠道12.5km；新建堤防3.5km，整治加固堤防2km；新建堤防3.9km；新建堤防3.5km，整治加固堤防2km；整治改造水库防洪通道10.5km；坡改梯、田间作业道路、整治排水渠道、营造经济林、封禁措施治理、保土耕作等。</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建设地址：关子门堰渠道涉及镇村、棉竹镇、牟子镇、悦来镇、水库涉及乡镇。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责任部门：区水务局、关子门堰渠道涉及镇村、棉竹镇、牟子镇、悦来镇、水库涉及乡镇。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完成时限：2023-2025年。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vertAlign w:val="baseline"/>
                <w:lang w:val="en-US" w:eastAsia="zh-CN"/>
              </w:rPr>
            </w:pPr>
            <w:r>
              <w:rPr>
                <w:rFonts w:hint="eastAsia" w:ascii="仿宋_GB2312" w:hAnsi="仿宋_GB2312" w:eastAsia="仿宋_GB2312" w:cs="仿宋_GB2312"/>
                <w:color w:val="auto"/>
                <w:sz w:val="32"/>
                <w:szCs w:val="32"/>
                <w:lang w:val="en-US" w:eastAsia="zh-CN"/>
              </w:rPr>
              <w:t>规划投资：40300万元。</w:t>
            </w:r>
          </w:p>
        </w:tc>
      </w:tr>
    </w:tbl>
    <w:p>
      <w:pPr>
        <w:pStyle w:val="4"/>
        <w:pageBreakBefore w:val="0"/>
        <w:widowControl w:val="0"/>
        <w:kinsoku/>
        <w:wordWrap/>
        <w:overflowPunct/>
        <w:topLinePunct w:val="0"/>
        <w:autoSpaceDE/>
        <w:autoSpaceDN/>
        <w:bidi w:val="0"/>
        <w:adjustRightInd/>
        <w:snapToGrid/>
        <w:spacing w:line="550" w:lineRule="exact"/>
        <w:textAlignment w:val="auto"/>
        <w:rPr>
          <w:rFonts w:hint="eastAsia"/>
          <w:lang w:val="en-US" w:eastAsia="zh-CN"/>
        </w:rPr>
      </w:pPr>
      <w:bookmarkStart w:id="27" w:name="_Toc17825"/>
      <w:r>
        <w:rPr>
          <w:rFonts w:hint="eastAsia"/>
          <w:lang w:val="en-US" w:eastAsia="zh-CN"/>
        </w:rPr>
        <w:t>第四节  应急能力建设方面</w:t>
      </w:r>
      <w:bookmarkEnd w:id="27"/>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利用地形优势，建立空中救援力量。结合平羌片区地形特点和优势，在牟子镇古儿坝江心岛</w:t>
      </w:r>
      <w:r>
        <w:rPr>
          <w:rFonts w:hint="eastAsia" w:ascii="仿宋_GB2312" w:hAnsi="仿宋_GB2312" w:eastAsia="仿宋_GB2312" w:cs="仿宋_GB2312"/>
          <w:color w:val="auto"/>
          <w:sz w:val="32"/>
          <w:szCs w:val="32"/>
          <w:lang w:val="en-US" w:eastAsia="zh-CN"/>
        </w:rPr>
        <w:t>建设应急救援直升机停机坪，增加应急救援空中力量，加大对片区森林防灭火、水旱灾害防治、防汛抗旱、抗震减灾空中支援力度，提升平羌片区防灾减灾能力，实现应急救援力量立体化、快速化。</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提升应急队伍质量，拓展社会应急力量。牟子镇、悦来镇积极选聘技能好、环境熟、责任心强的骑手组建不少于5人的“轻骑兵”前哨队，在牟子镇中心消防救援站选拔2名指战员，与选聘的骑手共同组成“轻骑兵”前突小队，配齐个人和关键性通信装备，满足极端条件下通信力量快速投送等实战需要。为应急队、应急分队配备对讲机等基本通讯设施，实现统一指挥调度和高效联勤联动，应急分队人员应兼职灾害信息员、地灾防灾责任人和监测责任人、山洪危险区责任人、森林防灭火巡查人、消防网格员等，建立人员通联表，实现“多网合一”，确保灾情信息按时、统一上报和集中管理。</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健全应急预案，加强应急演练。进一步完善综合应急预案和防汛抗旱、地震、地灾、森林防灭火等专项应急预案，明确突发事件预警信息传播、先期处置和自救互救、信息收集报告、人员临时安置等内容；牟子镇中心消防救援站和镇应急队在综合应急预案框架下制定操作性强、流程清晰的行动方案。强化与片区内镇应急队和村（社区）应急分队、重点企业、学校、医院等单位形成协调联动机制和队伍管理培训演练机制。</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完成应急队、应急分队装备全面配备。为各应急队</w:t>
      </w:r>
      <w:r>
        <w:rPr>
          <w:rFonts w:hint="eastAsia" w:ascii="仿宋_GB2312" w:hAnsi="仿宋_GB2312" w:eastAsia="仿宋_GB2312" w:cs="仿宋_GB2312"/>
          <w:color w:val="auto"/>
          <w:sz w:val="32"/>
          <w:szCs w:val="32"/>
          <w:lang w:val="en-US" w:eastAsia="zh-CN"/>
        </w:rPr>
        <w:t>、应急分队配备必要的个人防护、抢险辅助、通讯、照明等必要的救援装备和物资器材，并集中储存，统一管理。在通信保障方面，为每个应急队、应急分队队员、灾害信息员、“轻骑兵”前突队、防灾责任人统一配备对讲机，建设信号中转站，在片区形成全覆盖、可实时进行点对点直接指挥的指挥通信系统。</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推动应急避难场所、应急物资储备库（点）建设。</w:t>
      </w:r>
      <w:r>
        <w:rPr>
          <w:rFonts w:hint="eastAsia" w:ascii="仿宋_GB2312" w:hAnsi="仿宋_GB2312" w:eastAsia="仿宋_GB2312" w:cs="仿宋_GB2312"/>
          <w:color w:val="auto"/>
          <w:sz w:val="32"/>
          <w:szCs w:val="32"/>
          <w:lang w:val="en-US" w:eastAsia="zh-CN"/>
        </w:rPr>
        <w:t>立足防大灾、救大灾需要，结合片区内洪涝灾害、地质灾害、地震灾害、森林火灾、化工企业事故等易发灾情，牟子镇、悦来镇依托现有政府办公用房、学校等场所建立储备库，各中心村依托村委会办公用房建立物资储备点，根据灾害特点，确定各类物资储备种类、方式和数量。依托</w:t>
      </w:r>
      <w:r>
        <w:rPr>
          <w:rFonts w:hint="default" w:ascii="Times New Roman" w:hAnsi="Times New Roman" w:eastAsia="仿宋_GB2312" w:cs="Times New Roman"/>
          <w:b w:val="0"/>
          <w:bCs w:val="0"/>
          <w:color w:val="auto"/>
          <w:sz w:val="32"/>
          <w:szCs w:val="32"/>
          <w:lang w:val="en-US" w:eastAsia="zh-CN"/>
        </w:rPr>
        <w:t>片区内的绿地、公园广场、交通主干道、公共服务设施、大型空旷空闲用地等</w:t>
      </w:r>
      <w:r>
        <w:rPr>
          <w:rFonts w:hint="eastAsia" w:ascii="Times New Roman" w:hAnsi="Times New Roman" w:eastAsia="仿宋_GB2312" w:cs="Times New Roman"/>
          <w:b w:val="0"/>
          <w:bCs w:val="0"/>
          <w:color w:val="auto"/>
          <w:sz w:val="32"/>
          <w:szCs w:val="32"/>
          <w:lang w:val="en-US" w:eastAsia="zh-CN"/>
        </w:rPr>
        <w:t>，在</w:t>
      </w:r>
      <w:r>
        <w:rPr>
          <w:rFonts w:hint="eastAsia" w:ascii="仿宋_GB2312" w:hAnsi="仿宋_GB2312" w:eastAsia="仿宋_GB2312" w:cs="仿宋_GB2312"/>
          <w:color w:val="auto"/>
          <w:sz w:val="32"/>
          <w:szCs w:val="32"/>
          <w:lang w:val="en-US" w:eastAsia="zh-CN"/>
        </w:rPr>
        <w:t>片区内学校、村委会、活动场所等建设应急避难场所，逐步完善标识标牌、应急厕所，并储备必要的救灾生活物资。</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Pr>
          <w:p>
            <w:pPr>
              <w:pageBreakBefore w:val="0"/>
              <w:widowControl w:val="0"/>
              <w:kinsoku/>
              <w:wordWrap/>
              <w:overflowPunct/>
              <w:topLinePunct w:val="0"/>
              <w:autoSpaceDE/>
              <w:autoSpaceDN/>
              <w:bidi w:val="0"/>
              <w:adjustRightInd/>
              <w:snapToGrid/>
              <w:spacing w:line="550" w:lineRule="exact"/>
              <w:jc w:val="center"/>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专栏6  应急救援能力建设重点工程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1、直升机救援工程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建设内容：在牟子镇古儿坝建设应急救援直升机停机坪，增加应急救援空中力量。</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建设地点：牟子镇古儿坝。</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责任部门：兴嘉集团、牟子镇。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完成时限：2022-2035年。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规划投资：300万元。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2.消防站建设</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建设内容：在牟子镇建设中心消防站（二级），在悦来镇建设小微消防站。</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建设地址：牟子镇槐子村、悦来镇正阳村。</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责任部门：区消防救援大队、牟子镇、悦来镇。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3.应急装备工程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建设内容：为中心消防救援站配备应急救援的大型、特种和先进适用装备，为应急队、应急分队配备必要抢险救援、个人防护装备。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建设地址：中心消防救援站、各镇、各村（社区）。</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责任部门：区应急管理局、区消防救援大队、牟子镇、悦来镇、棉竹镇。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规划投资：500万元。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4.通讯保障工程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建设内容：为轻骑兵、应急队、应急分队配备对讲机或卫星电话及其他信息化通讯保障设备。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建设地点：各镇、各村（社区）。</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责任部门：区应急管理局、区消防救援大队、牟子镇、悦来镇、棉竹镇。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完成时限：2022-2035年。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规划投资：500万元。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5.物资储备点建设工程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建设内容：在牟子镇政府建设不小于50㎡的应急物资储备点，在悦来镇政府建设不小于30㎡的应急物资储备点，物资储备点场地改造，配备托盘、防潮设施，制度上墙等。</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责任单位：区应急管理局、区发改局、区财政局、区国资局、牟子镇、悦来镇、棉竹镇等相关单位。</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完成时限：2022-2035年。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规划投资：350万元。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6.应急避难场所建设工程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建设内容：在牟子镇更生学校、悦来学校、荔枝湾村等村级片区中心村利旧改建应急避难场所，维修房屋、水电改造、购买住宿用品，储备救灾物资等。</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责任单位：区应急管理局、区住建局、区国资局、牟子镇、悦来镇、棉竹镇等相关单位。</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完成时限：2022-2035年。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color w:val="auto"/>
                <w:sz w:val="32"/>
                <w:szCs w:val="32"/>
                <w:lang w:val="en-US" w:eastAsia="zh-CN"/>
              </w:rPr>
              <w:t>规划投资：400万元。</w:t>
            </w:r>
          </w:p>
        </w:tc>
      </w:tr>
    </w:tbl>
    <w:p>
      <w:pPr>
        <w:pStyle w:val="4"/>
        <w:pageBreakBefore w:val="0"/>
        <w:widowControl w:val="0"/>
        <w:kinsoku/>
        <w:wordWrap/>
        <w:overflowPunct/>
        <w:topLinePunct w:val="0"/>
        <w:autoSpaceDE/>
        <w:autoSpaceDN/>
        <w:bidi w:val="0"/>
        <w:adjustRightInd/>
        <w:snapToGrid/>
        <w:spacing w:line="550" w:lineRule="exact"/>
        <w:textAlignment w:val="auto"/>
        <w:rPr>
          <w:rFonts w:hint="eastAsia"/>
          <w:lang w:val="en-US" w:eastAsia="zh-CN"/>
        </w:rPr>
      </w:pPr>
      <w:bookmarkStart w:id="28" w:name="_Toc9703"/>
      <w:r>
        <w:rPr>
          <w:rFonts w:hint="eastAsia"/>
          <w:lang w:val="en-US" w:eastAsia="zh-CN"/>
        </w:rPr>
        <w:t>第五节  先进技术应用方面</w:t>
      </w:r>
      <w:bookmarkEnd w:id="28"/>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整合在用、拟建系统，建设片区自然灾害综合风险监测预警，接入气象、水文、地震、地质、森林草原等相关监测资源和基础数据，对接上级平台，构建协同联动、全域覆盖的监测预警网络，紧盯片区内重点行业领域（乡村旅游、工贸等），推进建设高危风险实时监测预警信息系统。提升以大数据应用为基础的风险识别与监测预警、信息收集与灾情统计、趋势分析与综合研判、指挥调度与辅助决策、情景模拟与总结评估等技术支撑能力。</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Pr>
          <w:p>
            <w:pPr>
              <w:pageBreakBefore w:val="0"/>
              <w:widowControl w:val="0"/>
              <w:kinsoku/>
              <w:wordWrap/>
              <w:overflowPunct/>
              <w:topLinePunct w:val="0"/>
              <w:autoSpaceDE/>
              <w:autoSpaceDN/>
              <w:bidi w:val="0"/>
              <w:adjustRightInd/>
              <w:snapToGrid/>
              <w:spacing w:line="550" w:lineRule="exact"/>
              <w:jc w:val="center"/>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专栏7  先进技术应用重点工程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1.应急广播工程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建设内容：升级、改造牟子镇、悦来镇、棉竹镇各村（社区）现有“村村大喇叭”，提升灾害预警信息传播功能和应急管理、安全生产、防灾减灾宣传功能。</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建设地址：牟子镇、悦来镇全部村（社区）、棉竹镇天空山村。</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责任部门：区委宣传部、区文体旅游局、牟子镇、区应急管理局、悦来镇等相关部门。</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规划投资：300万元。（利旧改建）</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2.应急指挥分中心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建设内容：依托片区内各镇政府，建立应急指挥分中心，配备应急指挥终端、单兵装备5套，侦察无人机1台，汇聚企业生产安全风险、自然灾害风险等数据，接入区应急指挥中心。</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建设地点：各镇政府内</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责任部门：区应急管理局、牟子镇、悦来镇等。</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完成时限：2022-2025年。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vertAlign w:val="baseline"/>
                <w:lang w:val="en-US" w:eastAsia="zh-CN"/>
              </w:rPr>
            </w:pPr>
            <w:r>
              <w:rPr>
                <w:rFonts w:hint="eastAsia" w:ascii="仿宋_GB2312" w:hAnsi="仿宋_GB2312" w:eastAsia="仿宋_GB2312" w:cs="仿宋_GB2312"/>
                <w:b w:val="0"/>
                <w:color w:val="auto"/>
                <w:kern w:val="2"/>
                <w:sz w:val="32"/>
                <w:szCs w:val="32"/>
                <w:lang w:val="en-US" w:eastAsia="zh-CN" w:bidi="ar-SA"/>
              </w:rPr>
              <w:t>规划投资：300万元。</w:t>
            </w:r>
          </w:p>
        </w:tc>
      </w:tr>
    </w:tbl>
    <w:p>
      <w:pPr>
        <w:pStyle w:val="4"/>
        <w:pageBreakBefore w:val="0"/>
        <w:widowControl w:val="0"/>
        <w:kinsoku/>
        <w:wordWrap/>
        <w:overflowPunct/>
        <w:topLinePunct w:val="0"/>
        <w:autoSpaceDE/>
        <w:autoSpaceDN/>
        <w:bidi w:val="0"/>
        <w:adjustRightInd/>
        <w:snapToGrid/>
        <w:spacing w:line="550" w:lineRule="exact"/>
        <w:textAlignment w:val="auto"/>
        <w:rPr>
          <w:rFonts w:hint="eastAsia"/>
          <w:lang w:val="en-US" w:eastAsia="zh-CN"/>
        </w:rPr>
      </w:pPr>
      <w:bookmarkStart w:id="29" w:name="_Toc13443"/>
      <w:r>
        <w:rPr>
          <w:rFonts w:hint="eastAsia"/>
          <w:lang w:val="en-US" w:eastAsia="zh-CN"/>
        </w:rPr>
        <w:t>第六节  应急管理共建共治共享方面</w:t>
      </w:r>
      <w:bookmarkEnd w:id="29"/>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提升应急管理群防群治水平。推进安全宣传“七进”工作，完善公众安全教育体系。充分发挥全国防灾减灾日、全国安全生产月等宣传活动作用，开展知识宣讲、技能培训、案例解读等多种形式的安全科普宣教活动。利用社区闲置办公室、党员活动室等场所建立村社议事会等基层社会治理的平台。</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提升社区综合减灾能力。按照《四川省综合防灾减灾示范社区创建管理暂行办法》、“全国综合减灾示范社区”创建标准，指导牟子镇、悦来镇、棉竹镇积极开展创建综合减灾示范社区工作，认真制订创建方案，积极争取社会力量和社会资金参与创建工作，加强减灾示范社区的硬件和软件建设，配备必要的救灾物资，组建成立专门的救援队伍，加强培训演练，确保社区发生各类灾情，能第一时间响应，及时有效处置。</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加强应急知识宣传。发挥传统媒体和新媒体的宣传教育作用，开发制作电视专题宣传片、公开课、微视频、公益广告、小品等，提高公众安全应急文化素质。并结合学校、社区和卫生院等人员和场所，每年开展应急知识竞赛，为表现优异者颁发荣誉证书。提高人民群众自救互救能力。以社区为单位，结合红十字会专职人员定期对群众开展应急知识与技能培训；鼓励社区群众以家庭为单位参加培训，并对表现优异的家庭进行表彰，鼓励开展家庭应急物资储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开展群众性应急演练。按各社区人数，定期分层抽取几户到几十户居民参与疏散逃生、应急</w:t>
      </w:r>
      <w:r>
        <w:rPr>
          <w:rFonts w:hint="eastAsia" w:ascii="仿宋_GB2312" w:hAnsi="仿宋_GB2312" w:eastAsia="仿宋_GB2312" w:cs="仿宋_GB2312"/>
          <w:color w:val="auto"/>
          <w:sz w:val="32"/>
          <w:szCs w:val="32"/>
          <w:lang w:val="en-US" w:eastAsia="zh-CN"/>
        </w:rPr>
        <w:t>避险等方面的应急演练，并给予参与演练的居民一定物资奖励，提高群众参与积极性。</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0" w:type="dxa"/>
          </w:tcPr>
          <w:p>
            <w:pPr>
              <w:pageBreakBefore w:val="0"/>
              <w:widowControl w:val="0"/>
              <w:kinsoku/>
              <w:wordWrap/>
              <w:overflowPunct/>
              <w:topLinePunct w:val="0"/>
              <w:autoSpaceDE/>
              <w:autoSpaceDN/>
              <w:bidi w:val="0"/>
              <w:adjustRightInd/>
              <w:snapToGrid/>
              <w:spacing w:line="550" w:lineRule="exact"/>
              <w:jc w:val="center"/>
              <w:textAlignment w:val="auto"/>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专栏8  共建共享建设重点工程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1.荔枝弯应急科普宣传专栏工程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建设内容：建设一个150米的应急宣传长廊。</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建设地址：四川省乐山市市中区悦来镇荔枝弯。</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责任部门：悦来镇。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完成时限：2022-2035年。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2.古儿坝设置应急科普宣传专栏工程</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建设内容：建设一个150米的应急宣传长廊。</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建设地址：牟子镇古儿坝乡村旅游点。</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责任部门：牟子镇。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完成时限：2022-2035年。</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3.创建综合减灾示范社区</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建设内容：片区中心镇牟子镇优先创建国家级综合减灾示范社区，带动片区其他镇做好创建工作。</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建设地址：牟子镇、悦来镇。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责任部门：牟子镇、悦来镇。</w:t>
            </w:r>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vertAlign w:val="baseline"/>
                <w:lang w:val="en-US" w:eastAsia="zh-CN"/>
              </w:rPr>
            </w:pPr>
            <w:r>
              <w:rPr>
                <w:rFonts w:hint="eastAsia" w:ascii="仿宋_GB2312" w:hAnsi="仿宋_GB2312" w:eastAsia="仿宋_GB2312" w:cs="仿宋_GB2312"/>
                <w:color w:val="auto"/>
                <w:sz w:val="32"/>
                <w:szCs w:val="32"/>
                <w:lang w:val="en-US" w:eastAsia="zh-CN"/>
              </w:rPr>
              <w:t>完成时限：2022-2035年。</w:t>
            </w:r>
          </w:p>
        </w:tc>
      </w:tr>
    </w:tbl>
    <w:p>
      <w:pPr>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sz w:val="32"/>
          <w:szCs w:val="32"/>
          <w:lang w:val="en-US" w:eastAsia="zh-CN"/>
        </w:rPr>
      </w:pPr>
    </w:p>
    <w:p>
      <w:pPr>
        <w:pStyle w:val="3"/>
        <w:pageBreakBefore w:val="0"/>
        <w:widowControl w:val="0"/>
        <w:kinsoku/>
        <w:wordWrap/>
        <w:overflowPunct/>
        <w:topLinePunct w:val="0"/>
        <w:autoSpaceDE/>
        <w:autoSpaceDN/>
        <w:bidi w:val="0"/>
        <w:adjustRightInd/>
        <w:snapToGrid/>
        <w:spacing w:line="550" w:lineRule="exact"/>
        <w:textAlignment w:val="auto"/>
        <w:rPr>
          <w:rFonts w:hint="eastAsia"/>
          <w:lang w:val="en-US" w:eastAsia="zh-CN"/>
        </w:rPr>
      </w:pPr>
      <w:bookmarkStart w:id="30" w:name="_Toc30293"/>
      <w:r>
        <w:rPr>
          <w:rFonts w:hint="eastAsia"/>
          <w:lang w:val="en-US" w:eastAsia="zh-CN"/>
        </w:rPr>
        <w:t>第五章  保障措施</w:t>
      </w:r>
      <w:bookmarkEnd w:id="30"/>
    </w:p>
    <w:p>
      <w:pPr>
        <w:pStyle w:val="4"/>
        <w:pageBreakBefore w:val="0"/>
        <w:widowControl w:val="0"/>
        <w:kinsoku/>
        <w:wordWrap/>
        <w:overflowPunct/>
        <w:topLinePunct w:val="0"/>
        <w:autoSpaceDE/>
        <w:autoSpaceDN/>
        <w:bidi w:val="0"/>
        <w:adjustRightInd/>
        <w:snapToGrid/>
        <w:spacing w:line="550" w:lineRule="exact"/>
        <w:textAlignment w:val="auto"/>
        <w:rPr>
          <w:rFonts w:hint="eastAsia"/>
          <w:lang w:val="en-US" w:eastAsia="zh-CN"/>
        </w:rPr>
      </w:pPr>
      <w:bookmarkStart w:id="31" w:name="_Toc13343"/>
      <w:r>
        <w:rPr>
          <w:rFonts w:hint="eastAsia"/>
          <w:lang w:val="en-US" w:eastAsia="zh-CN"/>
        </w:rPr>
        <w:t>第一节  强化组织保障</w:t>
      </w:r>
      <w:bookmarkEnd w:id="31"/>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高度重视推进乡村国土空间规划编制和两项改革“后半篇”文章工作，指导各镇（街道）要根据本规划并结合实际制定相关应急体系建设规划，相关部门规划在主要目标、建设任务和重点项目方面要与本规划做好衔接。</w:t>
      </w:r>
    </w:p>
    <w:p>
      <w:pPr>
        <w:pStyle w:val="4"/>
        <w:pageBreakBefore w:val="0"/>
        <w:widowControl w:val="0"/>
        <w:kinsoku/>
        <w:wordWrap/>
        <w:overflowPunct/>
        <w:topLinePunct w:val="0"/>
        <w:autoSpaceDE/>
        <w:autoSpaceDN/>
        <w:bidi w:val="0"/>
        <w:adjustRightInd/>
        <w:snapToGrid/>
        <w:spacing w:line="550" w:lineRule="exact"/>
        <w:textAlignment w:val="auto"/>
        <w:rPr>
          <w:rFonts w:hint="eastAsia"/>
          <w:lang w:val="en-US" w:eastAsia="zh-CN"/>
        </w:rPr>
      </w:pPr>
      <w:bookmarkStart w:id="32" w:name="_Toc19570"/>
      <w:r>
        <w:rPr>
          <w:rFonts w:hint="eastAsia"/>
          <w:lang w:val="en-US" w:eastAsia="zh-CN"/>
        </w:rPr>
        <w:t>第二节  强化资金保障</w:t>
      </w:r>
      <w:bookmarkEnd w:id="32"/>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根据规划安排，积极争取上级专项经费。同时，采取切实措施加大应急体系建设投入，确保资金到位。严格经费管理，加强监管，防止发生挪用、截留资金等问题。</w:t>
      </w:r>
    </w:p>
    <w:p>
      <w:pPr>
        <w:pStyle w:val="4"/>
        <w:pageBreakBefore w:val="0"/>
        <w:widowControl w:val="0"/>
        <w:kinsoku/>
        <w:wordWrap/>
        <w:overflowPunct/>
        <w:topLinePunct w:val="0"/>
        <w:autoSpaceDE/>
        <w:autoSpaceDN/>
        <w:bidi w:val="0"/>
        <w:adjustRightInd/>
        <w:snapToGrid/>
        <w:spacing w:line="550" w:lineRule="exact"/>
        <w:textAlignment w:val="auto"/>
        <w:rPr>
          <w:rFonts w:hint="eastAsia"/>
          <w:lang w:val="en-US" w:eastAsia="zh-CN"/>
        </w:rPr>
      </w:pPr>
      <w:bookmarkStart w:id="33" w:name="_Toc15385"/>
      <w:r>
        <w:rPr>
          <w:rFonts w:hint="eastAsia"/>
          <w:lang w:val="en-US" w:eastAsia="zh-CN"/>
        </w:rPr>
        <w:t>第三节  强化政策保障</w:t>
      </w:r>
      <w:bookmarkEnd w:id="33"/>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结合两项改革“后半篇”文章专项工作方案及专项规划，制定详细项目计划安排。协调项目完成情况纳入相关负责人的年度目标任务履职考核，量化考核任务，细化考核目标。制定《重点项目绩效考核管理办法》，绩效考核包括项目进度、项目管理、项目结果等多级指标，对绩效考核成绩为优秀的，给予表扬并继续给予财政资金拨付，对绩效考核合格的，继续给予资金拨付；对绩效考核成绩不合格的，暂停财政资金拨付，提出批评并责令限期整改。</w:t>
      </w:r>
    </w:p>
    <w:p>
      <w:pPr>
        <w:pStyle w:val="4"/>
        <w:pageBreakBefore w:val="0"/>
        <w:widowControl w:val="0"/>
        <w:kinsoku/>
        <w:wordWrap/>
        <w:overflowPunct/>
        <w:topLinePunct w:val="0"/>
        <w:autoSpaceDE/>
        <w:autoSpaceDN/>
        <w:bidi w:val="0"/>
        <w:adjustRightInd/>
        <w:snapToGrid/>
        <w:spacing w:line="550" w:lineRule="exact"/>
        <w:textAlignment w:val="auto"/>
        <w:rPr>
          <w:rFonts w:hint="eastAsia"/>
          <w:lang w:val="en-US" w:eastAsia="zh-CN"/>
        </w:rPr>
      </w:pPr>
      <w:bookmarkStart w:id="34" w:name="_Toc31281"/>
      <w:r>
        <w:rPr>
          <w:rFonts w:hint="eastAsia"/>
          <w:lang w:val="en-US" w:eastAsia="zh-CN"/>
        </w:rPr>
        <w:t>第四节  强化督查问效</w:t>
      </w:r>
      <w:bookmarkEnd w:id="34"/>
    </w:p>
    <w:p>
      <w:pPr>
        <w:pageBreakBefore w:val="0"/>
        <w:widowControl w:val="0"/>
        <w:kinsoku/>
        <w:wordWrap/>
        <w:overflowPunct/>
        <w:topLinePunct w:val="0"/>
        <w:autoSpaceDE/>
        <w:autoSpaceDN/>
        <w:bidi w:val="0"/>
        <w:adjustRightInd/>
        <w:snapToGrid/>
        <w:spacing w:line="55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切实加强项目管理，抓好各项工作的实施。所有项目严格执行政府采购、招投标和国库集中支付等制度，确保“阳光操作”。新建工程项目，严格履行基本建设程序，确保工程质量和安全。</w:t>
      </w:r>
    </w:p>
    <w:p>
      <w:pPr>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附表：1.片区企业风险等级及分布表</w:t>
      </w:r>
    </w:p>
    <w:p>
      <w:pPr>
        <w:pageBreakBefore w:val="0"/>
        <w:widowControl w:val="0"/>
        <w:kinsoku/>
        <w:wordWrap/>
        <w:overflowPunct/>
        <w:topLinePunct w:val="0"/>
        <w:autoSpaceDE/>
        <w:autoSpaceDN/>
        <w:bidi w:val="0"/>
        <w:adjustRightInd/>
        <w:snapToGrid/>
        <w:spacing w:line="550" w:lineRule="exact"/>
        <w:ind w:firstLine="960" w:firstLineChars="3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2.片区近年来典型安全生产和自然灾害事故统计表</w:t>
      </w:r>
    </w:p>
    <w:p>
      <w:pPr>
        <w:pageBreakBefore w:val="0"/>
        <w:widowControl w:val="0"/>
        <w:kinsoku/>
        <w:wordWrap/>
        <w:overflowPunct/>
        <w:topLinePunct w:val="0"/>
        <w:autoSpaceDE/>
        <w:autoSpaceDN/>
        <w:bidi w:val="0"/>
        <w:adjustRightInd/>
        <w:snapToGrid/>
        <w:spacing w:line="550" w:lineRule="exact"/>
        <w:ind w:firstLine="960" w:firstLineChars="3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3.片区应急队伍统计及分布表</w:t>
      </w:r>
    </w:p>
    <w:p>
      <w:pPr>
        <w:pageBreakBefore w:val="0"/>
        <w:widowControl w:val="0"/>
        <w:kinsoku/>
        <w:wordWrap/>
        <w:overflowPunct/>
        <w:topLinePunct w:val="0"/>
        <w:autoSpaceDE/>
        <w:autoSpaceDN/>
        <w:bidi w:val="0"/>
        <w:adjustRightInd/>
        <w:snapToGrid/>
        <w:spacing w:line="550" w:lineRule="exact"/>
        <w:ind w:firstLine="960" w:firstLineChars="3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4.片区应急救援装备、物资统计及分布表</w:t>
      </w:r>
    </w:p>
    <w:p>
      <w:pPr>
        <w:pageBreakBefore w:val="0"/>
        <w:widowControl w:val="0"/>
        <w:kinsoku/>
        <w:wordWrap/>
        <w:overflowPunct/>
        <w:topLinePunct w:val="0"/>
        <w:autoSpaceDE/>
        <w:autoSpaceDN/>
        <w:bidi w:val="0"/>
        <w:adjustRightInd/>
        <w:snapToGrid/>
        <w:spacing w:line="550" w:lineRule="exact"/>
        <w:ind w:firstLine="960" w:firstLineChars="3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5.片区应急管理用地现状和规划用地指标</w:t>
      </w:r>
    </w:p>
    <w:p>
      <w:pPr>
        <w:pageBreakBefore w:val="0"/>
        <w:widowControl w:val="0"/>
        <w:kinsoku/>
        <w:wordWrap/>
        <w:overflowPunct/>
        <w:topLinePunct w:val="0"/>
        <w:autoSpaceDE/>
        <w:autoSpaceDN/>
        <w:bidi w:val="0"/>
        <w:adjustRightInd/>
        <w:snapToGrid/>
        <w:spacing w:line="550" w:lineRule="exact"/>
        <w:ind w:firstLine="960" w:firstLineChars="3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6.片区重点工程项目统计表</w:t>
      </w:r>
    </w:p>
    <w:p>
      <w:pPr>
        <w:pageBreakBefore w:val="0"/>
        <w:widowControl w:val="0"/>
        <w:kinsoku/>
        <w:wordWrap/>
        <w:overflowPunct/>
        <w:topLinePunct w:val="0"/>
        <w:autoSpaceDE/>
        <w:autoSpaceDN/>
        <w:bidi w:val="0"/>
        <w:adjustRightInd/>
        <w:snapToGrid/>
        <w:spacing w:line="550" w:lineRule="exact"/>
        <w:ind w:firstLine="960" w:firstLineChars="300"/>
        <w:textAlignment w:val="auto"/>
        <w:rPr>
          <w:rFonts w:hint="eastAsia" w:ascii="仿宋_GB2312" w:hAnsi="仿宋_GB2312" w:eastAsia="仿宋_GB2312" w:cs="仿宋_GB2312"/>
          <w:sz w:val="32"/>
          <w:szCs w:val="32"/>
          <w:lang w:val="en-US" w:eastAsia="zh-CN"/>
        </w:rPr>
      </w:pPr>
    </w:p>
    <w:p>
      <w:pPr>
        <w:pageBreakBefore w:val="0"/>
        <w:widowControl w:val="0"/>
        <w:kinsoku/>
        <w:wordWrap/>
        <w:overflowPunct/>
        <w:topLinePunct w:val="0"/>
        <w:autoSpaceDE/>
        <w:autoSpaceDN/>
        <w:bidi w:val="0"/>
        <w:adjustRightInd/>
        <w:snapToGrid/>
        <w:spacing w:line="550" w:lineRule="exact"/>
        <w:ind w:firstLine="960" w:firstLineChars="300"/>
        <w:textAlignment w:val="auto"/>
        <w:rPr>
          <w:rFonts w:hint="eastAsia" w:ascii="仿宋_GB2312" w:hAnsi="仿宋_GB2312" w:eastAsia="仿宋_GB2312" w:cs="仿宋_GB2312"/>
          <w:sz w:val="32"/>
          <w:szCs w:val="32"/>
          <w:lang w:val="en-US" w:eastAsia="zh-CN"/>
        </w:rPr>
      </w:pPr>
    </w:p>
    <w:p>
      <w:pPr>
        <w:pageBreakBefore w:val="0"/>
        <w:widowControl w:val="0"/>
        <w:kinsoku/>
        <w:wordWrap/>
        <w:overflowPunct/>
        <w:topLinePunct w:val="0"/>
        <w:autoSpaceDE/>
        <w:autoSpaceDN/>
        <w:bidi w:val="0"/>
        <w:adjustRightInd/>
        <w:snapToGrid/>
        <w:spacing w:line="550" w:lineRule="exac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附图：1.片区安全生产风险分布图</w:t>
      </w:r>
    </w:p>
    <w:p>
      <w:pPr>
        <w:pageBreakBefore w:val="0"/>
        <w:widowControl w:val="0"/>
        <w:kinsoku/>
        <w:wordWrap/>
        <w:overflowPunct/>
        <w:topLinePunct w:val="0"/>
        <w:autoSpaceDE/>
        <w:autoSpaceDN/>
        <w:bidi w:val="0"/>
        <w:adjustRightInd/>
        <w:snapToGrid/>
        <w:spacing w:line="550" w:lineRule="exact"/>
        <w:ind w:firstLine="960" w:firstLineChars="3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2.片区自然灾害风险分布图</w:t>
      </w:r>
    </w:p>
    <w:p>
      <w:pPr>
        <w:pageBreakBefore w:val="0"/>
        <w:widowControl w:val="0"/>
        <w:kinsoku/>
        <w:wordWrap/>
        <w:overflowPunct/>
        <w:topLinePunct w:val="0"/>
        <w:autoSpaceDE/>
        <w:autoSpaceDN/>
        <w:bidi w:val="0"/>
        <w:adjustRightInd/>
        <w:snapToGrid/>
        <w:spacing w:line="550" w:lineRule="exact"/>
        <w:ind w:firstLine="960" w:firstLineChars="3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3.片区主要防坑救设施现状分布图</w:t>
      </w:r>
    </w:p>
    <w:p>
      <w:pPr>
        <w:pageBreakBefore w:val="0"/>
        <w:widowControl w:val="0"/>
        <w:kinsoku/>
        <w:wordWrap/>
        <w:overflowPunct/>
        <w:topLinePunct w:val="0"/>
        <w:autoSpaceDE/>
        <w:autoSpaceDN/>
        <w:bidi w:val="0"/>
        <w:adjustRightInd/>
        <w:snapToGrid/>
        <w:spacing w:line="550" w:lineRule="exact"/>
        <w:ind w:firstLine="960" w:firstLineChars="3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4.片区应急救援队伍分布图</w:t>
      </w:r>
    </w:p>
    <w:p>
      <w:pPr>
        <w:pageBreakBefore w:val="0"/>
        <w:widowControl w:val="0"/>
        <w:kinsoku/>
        <w:wordWrap/>
        <w:overflowPunct/>
        <w:topLinePunct w:val="0"/>
        <w:autoSpaceDE/>
        <w:autoSpaceDN/>
        <w:bidi w:val="0"/>
        <w:adjustRightInd/>
        <w:snapToGrid/>
        <w:spacing w:line="550" w:lineRule="exact"/>
        <w:ind w:firstLine="960" w:firstLineChars="3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5.片区应急救援能力规划图</w:t>
      </w:r>
    </w:p>
    <w:p>
      <w:pPr>
        <w:pageBreakBefore w:val="0"/>
        <w:widowControl w:val="0"/>
        <w:kinsoku/>
        <w:wordWrap/>
        <w:overflowPunct/>
        <w:topLinePunct w:val="0"/>
        <w:autoSpaceDE/>
        <w:autoSpaceDN/>
        <w:bidi w:val="0"/>
        <w:adjustRightInd/>
        <w:snapToGrid/>
        <w:spacing w:line="550" w:lineRule="exact"/>
        <w:ind w:firstLine="960" w:firstLineChars="3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6.片区防抗救设施规划图</w:t>
      </w:r>
      <w:r>
        <w:rPr>
          <w:rFonts w:hint="eastAsia" w:ascii="仿宋_GB2312" w:hAnsi="仿宋_GB2312" w:eastAsia="仿宋_GB2312" w:cs="仿宋_GB2312"/>
          <w:sz w:val="32"/>
          <w:szCs w:val="32"/>
          <w:lang w:val="en-US" w:eastAsia="zh-CN"/>
        </w:rPr>
        <w:br w:type="page"/>
      </w:r>
    </w:p>
    <w:p>
      <w:pPr>
        <w:pStyle w:val="4"/>
        <w:bidi w:val="0"/>
        <w:jc w:val="both"/>
        <w:outlineLvl w:val="0"/>
        <w:rPr>
          <w:rFonts w:hint="eastAsia" w:ascii="仿宋_GB2312" w:hAnsi="仿宋_GB2312" w:eastAsia="仿宋_GB2312" w:cs="仿宋_GB2312"/>
          <w:b/>
          <w:color w:val="auto"/>
          <w:lang w:val="en-US" w:eastAsia="zh-CN"/>
        </w:rPr>
      </w:pPr>
      <w:bookmarkStart w:id="35" w:name="_Toc13297"/>
      <w:r>
        <w:rPr>
          <w:rFonts w:hint="eastAsia" w:ascii="仿宋_GB2312" w:hAnsi="仿宋_GB2312" w:eastAsia="仿宋_GB2312" w:cs="仿宋_GB2312"/>
          <w:b/>
          <w:color w:val="auto"/>
          <w:lang w:val="en-US" w:eastAsia="zh-CN"/>
        </w:rPr>
        <w:t>附表1</w:t>
      </w:r>
      <w:bookmarkEnd w:id="35"/>
    </w:p>
    <w:p>
      <w:pPr>
        <w:pStyle w:val="4"/>
        <w:bidi w:val="0"/>
        <w:jc w:val="center"/>
        <w:outlineLvl w:val="0"/>
        <w:rPr>
          <w:rFonts w:hint="eastAsia" w:ascii="仿宋_GB2312" w:hAnsi="仿宋_GB2312" w:eastAsia="仿宋_GB2312" w:cs="仿宋_GB2312"/>
          <w:b/>
          <w:color w:val="auto"/>
          <w:lang w:val="en-US" w:eastAsia="zh-CN"/>
        </w:rPr>
      </w:pPr>
      <w:bookmarkStart w:id="36" w:name="_Toc6407"/>
      <w:r>
        <w:rPr>
          <w:rFonts w:hint="eastAsia" w:ascii="仿宋_GB2312" w:hAnsi="仿宋_GB2312" w:eastAsia="仿宋_GB2312" w:cs="仿宋_GB2312"/>
          <w:b/>
          <w:color w:val="auto"/>
          <w:lang w:val="en-US" w:eastAsia="zh-CN"/>
        </w:rPr>
        <w:t>片区企业风险等级及分布表</w:t>
      </w:r>
      <w:bookmarkEnd w:id="36"/>
    </w:p>
    <w:tbl>
      <w:tblPr>
        <w:tblStyle w:val="17"/>
        <w:tblW w:w="877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3"/>
        <w:gridCol w:w="3474"/>
        <w:gridCol w:w="2195"/>
        <w:gridCol w:w="773"/>
        <w:gridCol w:w="776"/>
        <w:gridCol w:w="80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kern w:val="0"/>
                <w:sz w:val="24"/>
                <w:szCs w:val="24"/>
                <w:u w:val="none"/>
                <w:lang w:val="en-US" w:eastAsia="zh-CN" w:bidi="ar"/>
              </w:rPr>
            </w:pPr>
            <w:r>
              <w:rPr>
                <w:rFonts w:hint="eastAsia" w:ascii="仿宋_GB2312" w:hAnsi="仿宋_GB2312" w:eastAsia="仿宋_GB2312" w:cs="仿宋_GB2312"/>
                <w:b/>
                <w:bCs/>
                <w:i w:val="0"/>
                <w:iCs w:val="0"/>
                <w:color w:val="auto"/>
                <w:kern w:val="0"/>
                <w:sz w:val="24"/>
                <w:szCs w:val="24"/>
                <w:u w:val="none"/>
                <w:lang w:val="en-US" w:eastAsia="zh-CN" w:bidi="ar"/>
              </w:rPr>
              <w:t>序号</w:t>
            </w:r>
          </w:p>
        </w:tc>
        <w:tc>
          <w:tcPr>
            <w:tcW w:w="3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kern w:val="0"/>
                <w:sz w:val="24"/>
                <w:szCs w:val="24"/>
                <w:u w:val="none"/>
                <w:lang w:val="en-US" w:eastAsia="zh-CN" w:bidi="ar"/>
              </w:rPr>
            </w:pPr>
            <w:r>
              <w:rPr>
                <w:rFonts w:hint="eastAsia" w:ascii="仿宋_GB2312" w:hAnsi="仿宋_GB2312" w:eastAsia="仿宋_GB2312" w:cs="仿宋_GB2312"/>
                <w:b/>
                <w:bCs/>
                <w:i w:val="0"/>
                <w:iCs w:val="0"/>
                <w:color w:val="auto"/>
                <w:kern w:val="0"/>
                <w:sz w:val="24"/>
                <w:szCs w:val="24"/>
                <w:u w:val="none"/>
                <w:lang w:val="en-US" w:eastAsia="zh-CN" w:bidi="ar"/>
              </w:rPr>
              <w:t>企业名称</w:t>
            </w:r>
          </w:p>
        </w:tc>
        <w:tc>
          <w:tcPr>
            <w:tcW w:w="2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kern w:val="0"/>
                <w:sz w:val="24"/>
                <w:szCs w:val="24"/>
                <w:u w:val="none"/>
                <w:lang w:val="en-US" w:eastAsia="zh-CN" w:bidi="ar"/>
              </w:rPr>
            </w:pPr>
            <w:r>
              <w:rPr>
                <w:rFonts w:hint="eastAsia" w:ascii="仿宋_GB2312" w:hAnsi="仿宋_GB2312" w:eastAsia="仿宋_GB2312" w:cs="仿宋_GB2312"/>
                <w:b/>
                <w:bCs/>
                <w:i w:val="0"/>
                <w:iCs w:val="0"/>
                <w:color w:val="auto"/>
                <w:kern w:val="0"/>
                <w:sz w:val="24"/>
                <w:szCs w:val="24"/>
                <w:u w:val="none"/>
                <w:lang w:val="en-US" w:eastAsia="zh-CN" w:bidi="ar"/>
              </w:rPr>
              <w:t>地址</w:t>
            </w:r>
          </w:p>
        </w:tc>
        <w:tc>
          <w:tcPr>
            <w:tcW w:w="77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kern w:val="0"/>
                <w:sz w:val="24"/>
                <w:szCs w:val="24"/>
                <w:u w:val="none"/>
                <w:lang w:val="en-US" w:eastAsia="zh-CN" w:bidi="ar"/>
              </w:rPr>
            </w:pPr>
            <w:r>
              <w:rPr>
                <w:rFonts w:hint="eastAsia" w:ascii="仿宋_GB2312" w:hAnsi="仿宋_GB2312" w:eastAsia="仿宋_GB2312" w:cs="仿宋_GB2312"/>
                <w:b/>
                <w:bCs/>
                <w:i w:val="0"/>
                <w:iCs w:val="0"/>
                <w:color w:val="auto"/>
                <w:kern w:val="0"/>
                <w:sz w:val="24"/>
                <w:szCs w:val="24"/>
                <w:u w:val="none"/>
                <w:lang w:val="en-US" w:eastAsia="zh-CN" w:bidi="ar"/>
              </w:rPr>
              <w:t>企业类别</w:t>
            </w: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kern w:val="0"/>
                <w:sz w:val="24"/>
                <w:szCs w:val="24"/>
                <w:u w:val="none"/>
                <w:lang w:val="en-US" w:eastAsia="zh-CN" w:bidi="ar"/>
              </w:rPr>
            </w:pPr>
            <w:r>
              <w:rPr>
                <w:rFonts w:hint="eastAsia" w:ascii="仿宋_GB2312" w:hAnsi="仿宋_GB2312" w:eastAsia="仿宋_GB2312" w:cs="仿宋_GB2312"/>
                <w:b/>
                <w:bCs/>
                <w:i w:val="0"/>
                <w:iCs w:val="0"/>
                <w:color w:val="auto"/>
                <w:kern w:val="0"/>
                <w:sz w:val="24"/>
                <w:szCs w:val="24"/>
                <w:u w:val="none"/>
                <w:lang w:val="en-US" w:eastAsia="zh-CN" w:bidi="ar"/>
              </w:rPr>
              <w:t>风险等级</w:t>
            </w:r>
          </w:p>
        </w:tc>
        <w:tc>
          <w:tcPr>
            <w:tcW w:w="80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bCs/>
                <w:i w:val="0"/>
                <w:iCs w:val="0"/>
                <w:color w:val="auto"/>
                <w:kern w:val="0"/>
                <w:sz w:val="24"/>
                <w:szCs w:val="24"/>
                <w:u w:val="none"/>
                <w:lang w:val="en-US" w:eastAsia="zh-CN" w:bidi="ar"/>
              </w:rPr>
            </w:pPr>
            <w:r>
              <w:rPr>
                <w:rFonts w:hint="eastAsia" w:ascii="仿宋_GB2312" w:hAnsi="仿宋_GB2312" w:eastAsia="仿宋_GB2312" w:cs="仿宋_GB2312"/>
                <w:b/>
                <w:bCs/>
                <w:i w:val="0"/>
                <w:iCs w:val="0"/>
                <w:color w:val="auto"/>
                <w:kern w:val="0"/>
                <w:sz w:val="24"/>
                <w:szCs w:val="24"/>
                <w:u w:val="none"/>
                <w:lang w:val="en-US" w:eastAsia="zh-CN" w:bidi="ar"/>
              </w:rPr>
              <w:t>生产情况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乐山市富侨建材有限公司</w:t>
            </w:r>
          </w:p>
        </w:tc>
        <w:tc>
          <w:tcPr>
            <w:tcW w:w="2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牟子镇白果村三社</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工贸</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低</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正常运营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2</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乐山兴达加油站</w:t>
            </w:r>
          </w:p>
        </w:tc>
        <w:tc>
          <w:tcPr>
            <w:tcW w:w="2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牟子镇龙马路660号</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危化</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低</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正常运营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3</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乐山市阙纪食品有限公司</w:t>
            </w:r>
          </w:p>
        </w:tc>
        <w:tc>
          <w:tcPr>
            <w:tcW w:w="2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牟子镇武皇村7社</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工贸</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低</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正常运营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4</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乐山市嘉州汽车运输有限公司</w:t>
            </w:r>
          </w:p>
        </w:tc>
        <w:tc>
          <w:tcPr>
            <w:tcW w:w="2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棉竹镇通棉路2388号</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危化</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低</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正常运营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5</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中国石化销售股份有限公司四川乐山石油分公司棉竹加油站</w:t>
            </w:r>
          </w:p>
        </w:tc>
        <w:tc>
          <w:tcPr>
            <w:tcW w:w="2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棉竹镇来鹤村三社</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危化</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低</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正常运营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6</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乐山航大星光太阳能热水器制造有限公司</w:t>
            </w:r>
          </w:p>
        </w:tc>
        <w:tc>
          <w:tcPr>
            <w:tcW w:w="2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棉竹镇高坝村1组</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工贸</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低</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正常运营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7</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乐山繁山矿泉饮料有限公司</w:t>
            </w:r>
          </w:p>
        </w:tc>
        <w:tc>
          <w:tcPr>
            <w:tcW w:w="2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棉竹镇通棉路308号</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工贸</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低</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正常运营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8</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四川中油乐仪能源装备制造股份有限公司</w:t>
            </w:r>
          </w:p>
        </w:tc>
        <w:tc>
          <w:tcPr>
            <w:tcW w:w="2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乐峨路西段231号</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工贸</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低</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正常运营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9</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乐山市联合醇基燃料有限公司</w:t>
            </w:r>
          </w:p>
        </w:tc>
        <w:tc>
          <w:tcPr>
            <w:tcW w:w="2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棉竹镇天空山村4组</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危化</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低</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正常运营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10</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中国石化销售股份有限公司四川乐山石油分公司昭福加油站</w:t>
            </w:r>
          </w:p>
        </w:tc>
        <w:tc>
          <w:tcPr>
            <w:tcW w:w="2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棉竹乡袁坝村四组</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危化</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低</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正常运营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11</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乐山市顺山石英砂厂</w:t>
            </w:r>
          </w:p>
        </w:tc>
        <w:tc>
          <w:tcPr>
            <w:tcW w:w="2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悦来乡六支角村与柏杨岰村处</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非煤矿山</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低</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正常运营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jc w:val="center"/>
        </w:trPr>
        <w:tc>
          <w:tcPr>
            <w:tcW w:w="75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12</w:t>
            </w:r>
          </w:p>
        </w:tc>
        <w:tc>
          <w:tcPr>
            <w:tcW w:w="347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乐山市吉庆烟花爆竹销售有限责任公司</w:t>
            </w:r>
          </w:p>
        </w:tc>
        <w:tc>
          <w:tcPr>
            <w:tcW w:w="219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悦来镇荔枝弯村6组1楼</w:t>
            </w:r>
          </w:p>
        </w:tc>
        <w:tc>
          <w:tcPr>
            <w:tcW w:w="7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烟花爆竹</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低</w:t>
            </w:r>
          </w:p>
        </w:tc>
        <w:tc>
          <w:tcPr>
            <w:tcW w:w="80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仿宋_GB2312" w:hAnsi="仿宋_GB2312" w:eastAsia="仿宋_GB2312" w:cs="仿宋_GB2312"/>
                <w:b w:val="0"/>
                <w:bCs w:val="0"/>
                <w:i w:val="0"/>
                <w:iCs w:val="0"/>
                <w:color w:val="auto"/>
                <w:kern w:val="0"/>
                <w:sz w:val="24"/>
                <w:szCs w:val="24"/>
                <w:u w:val="none"/>
                <w:lang w:val="en-US" w:eastAsia="zh-CN" w:bidi="ar"/>
              </w:rPr>
            </w:pPr>
            <w:r>
              <w:rPr>
                <w:rFonts w:hint="eastAsia" w:ascii="仿宋_GB2312" w:hAnsi="仿宋_GB2312" w:eastAsia="仿宋_GB2312" w:cs="仿宋_GB2312"/>
                <w:b w:val="0"/>
                <w:bCs w:val="0"/>
                <w:i w:val="0"/>
                <w:iCs w:val="0"/>
                <w:color w:val="auto"/>
                <w:kern w:val="0"/>
                <w:sz w:val="24"/>
                <w:szCs w:val="24"/>
                <w:u w:val="none"/>
                <w:lang w:val="en-US" w:eastAsia="zh-CN" w:bidi="ar"/>
              </w:rPr>
              <w:t>正常运营</w:t>
            </w:r>
          </w:p>
        </w:tc>
      </w:tr>
    </w:tbl>
    <w:p>
      <w:pP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br w:type="page"/>
      </w:r>
    </w:p>
    <w:p>
      <w:pPr>
        <w:pStyle w:val="4"/>
        <w:bidi w:val="0"/>
        <w:jc w:val="both"/>
        <w:outlineLvl w:val="0"/>
        <w:rPr>
          <w:rFonts w:hint="eastAsia" w:ascii="仿宋_GB2312" w:hAnsi="仿宋_GB2312" w:eastAsia="仿宋_GB2312" w:cs="仿宋_GB2312"/>
          <w:b/>
          <w:color w:val="auto"/>
          <w:lang w:val="en-US" w:eastAsia="zh-CN"/>
        </w:rPr>
      </w:pPr>
      <w:bookmarkStart w:id="37" w:name="_Toc10101"/>
      <w:r>
        <w:rPr>
          <w:rFonts w:hint="eastAsia" w:ascii="仿宋_GB2312" w:hAnsi="仿宋_GB2312" w:eastAsia="仿宋_GB2312" w:cs="仿宋_GB2312"/>
          <w:b/>
          <w:color w:val="auto"/>
          <w:lang w:val="en-US" w:eastAsia="zh-CN"/>
        </w:rPr>
        <w:t>附表2</w:t>
      </w:r>
      <w:bookmarkEnd w:id="37"/>
      <w:r>
        <w:rPr>
          <w:rFonts w:hint="eastAsia" w:ascii="仿宋_GB2312" w:hAnsi="仿宋_GB2312" w:eastAsia="仿宋_GB2312" w:cs="仿宋_GB2312"/>
          <w:b/>
          <w:color w:val="auto"/>
          <w:lang w:val="en-US" w:eastAsia="zh-CN"/>
        </w:rPr>
        <w:t xml:space="preserve">      </w:t>
      </w:r>
    </w:p>
    <w:p>
      <w:pPr>
        <w:pageBreakBefore w:val="0"/>
        <w:wordWrap/>
        <w:overflowPunct/>
        <w:topLinePunct w:val="0"/>
        <w:bidi w:val="0"/>
        <w:jc w:val="center"/>
        <w:outlineLvl w:val="0"/>
        <w:rPr>
          <w:rFonts w:hint="eastAsia" w:ascii="仿宋_GB2312" w:hAnsi="仿宋_GB2312" w:eastAsia="仿宋_GB2312" w:cs="仿宋_GB2312"/>
          <w:b/>
          <w:color w:val="auto"/>
          <w:kern w:val="2"/>
          <w:sz w:val="32"/>
          <w:szCs w:val="24"/>
          <w:lang w:val="en-US" w:eastAsia="zh-CN" w:bidi="ar-SA"/>
        </w:rPr>
      </w:pPr>
      <w:bookmarkStart w:id="38" w:name="_Toc9483"/>
      <w:r>
        <w:rPr>
          <w:rFonts w:hint="eastAsia" w:ascii="仿宋_GB2312" w:hAnsi="仿宋_GB2312" w:eastAsia="仿宋_GB2312" w:cs="仿宋_GB2312"/>
          <w:b/>
          <w:color w:val="auto"/>
          <w:kern w:val="2"/>
          <w:sz w:val="32"/>
          <w:szCs w:val="24"/>
          <w:lang w:val="en-US" w:eastAsia="zh-CN" w:bidi="ar-SA"/>
        </w:rPr>
        <w:t>片区近年来典型安全生产和自然灾害事故统计表</w:t>
      </w:r>
      <w:bookmarkEnd w:id="38"/>
    </w:p>
    <w:tbl>
      <w:tblPr>
        <w:tblStyle w:val="17"/>
        <w:tblW w:w="8717"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080"/>
        <w:gridCol w:w="1947"/>
        <w:gridCol w:w="2195"/>
        <w:gridCol w:w="1860"/>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00" w:hRule="atLeast"/>
        </w:trPr>
        <w:tc>
          <w:tcPr>
            <w:tcW w:w="10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bCs/>
                <w:i w:val="0"/>
                <w:iCs w:val="0"/>
                <w:color w:val="auto"/>
                <w:kern w:val="0"/>
                <w:sz w:val="24"/>
                <w:szCs w:val="24"/>
                <w:u w:val="none"/>
                <w:lang w:val="en-US" w:eastAsia="zh-CN" w:bidi="ar"/>
              </w:rPr>
              <w:t>序号</w:t>
            </w:r>
          </w:p>
        </w:tc>
        <w:tc>
          <w:tcPr>
            <w:tcW w:w="194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bCs/>
                <w:i w:val="0"/>
                <w:iCs w:val="0"/>
                <w:color w:val="auto"/>
                <w:kern w:val="0"/>
                <w:sz w:val="24"/>
                <w:szCs w:val="24"/>
                <w:u w:val="none"/>
                <w:lang w:val="en-US" w:eastAsia="zh-CN" w:bidi="ar"/>
              </w:rPr>
              <w:t>类别</w:t>
            </w:r>
          </w:p>
        </w:tc>
        <w:tc>
          <w:tcPr>
            <w:tcW w:w="219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bCs/>
                <w:i w:val="0"/>
                <w:iCs w:val="0"/>
                <w:color w:val="auto"/>
                <w:kern w:val="0"/>
                <w:sz w:val="24"/>
                <w:szCs w:val="24"/>
                <w:u w:val="none"/>
                <w:lang w:val="en-US" w:eastAsia="zh-CN" w:bidi="ar"/>
              </w:rPr>
              <w:t>伤亡情况</w:t>
            </w:r>
          </w:p>
        </w:tc>
        <w:tc>
          <w:tcPr>
            <w:tcW w:w="186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bCs/>
                <w:i w:val="0"/>
                <w:iCs w:val="0"/>
                <w:color w:val="auto"/>
                <w:kern w:val="0"/>
                <w:sz w:val="24"/>
                <w:szCs w:val="24"/>
                <w:u w:val="none"/>
                <w:lang w:val="en-US" w:eastAsia="zh-CN" w:bidi="ar"/>
              </w:rPr>
              <w:t>发生年份</w:t>
            </w:r>
          </w:p>
        </w:tc>
        <w:tc>
          <w:tcPr>
            <w:tcW w:w="1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b/>
                <w:bCs/>
                <w:i w:val="0"/>
                <w:iCs w:val="0"/>
                <w:color w:val="auto"/>
                <w:sz w:val="24"/>
                <w:szCs w:val="24"/>
                <w:u w:val="none"/>
              </w:rPr>
            </w:pPr>
            <w:r>
              <w:rPr>
                <w:rFonts w:hint="eastAsia" w:ascii="仿宋_GB2312" w:hAnsi="仿宋_GB2312" w:eastAsia="仿宋_GB2312" w:cs="仿宋_GB2312"/>
                <w:b/>
                <w:bCs/>
                <w:i w:val="0"/>
                <w:iCs w:val="0"/>
                <w:color w:val="auto"/>
                <w:kern w:val="0"/>
                <w:sz w:val="24"/>
                <w:szCs w:val="24"/>
                <w:u w:val="none"/>
                <w:lang w:val="en-US" w:eastAsia="zh-CN" w:bidi="ar"/>
              </w:rPr>
              <w:t>属地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08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1947"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其他爆炸</w:t>
            </w:r>
          </w:p>
        </w:tc>
        <w:tc>
          <w:tcPr>
            <w:tcW w:w="219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死亡1人</w:t>
            </w:r>
          </w:p>
        </w:tc>
        <w:tc>
          <w:tcPr>
            <w:tcW w:w="1860"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2021</w:t>
            </w:r>
          </w:p>
        </w:tc>
        <w:tc>
          <w:tcPr>
            <w:tcW w:w="1635" w:type="dxa"/>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棉竹镇</w:t>
            </w:r>
          </w:p>
        </w:tc>
      </w:tr>
    </w:tbl>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pStyle w:val="4"/>
        <w:bidi w:val="0"/>
        <w:jc w:val="both"/>
        <w:outlineLvl w:val="0"/>
        <w:rPr>
          <w:rFonts w:hint="eastAsia" w:ascii="仿宋_GB2312" w:hAnsi="仿宋_GB2312" w:eastAsia="仿宋_GB2312" w:cs="仿宋_GB2312"/>
          <w:b/>
          <w:color w:val="auto"/>
          <w:lang w:val="en-US" w:eastAsia="zh-CN"/>
        </w:rPr>
      </w:pPr>
      <w:bookmarkStart w:id="39" w:name="_Toc19415"/>
      <w:r>
        <w:rPr>
          <w:rFonts w:hint="eastAsia" w:ascii="仿宋_GB2312" w:hAnsi="仿宋_GB2312" w:eastAsia="仿宋_GB2312" w:cs="仿宋_GB2312"/>
          <w:b/>
          <w:color w:val="auto"/>
          <w:lang w:val="en-US" w:eastAsia="zh-CN"/>
        </w:rPr>
        <w:t>附表3</w:t>
      </w:r>
      <w:bookmarkEnd w:id="39"/>
    </w:p>
    <w:p>
      <w:pPr>
        <w:pageBreakBefore w:val="0"/>
        <w:wordWrap/>
        <w:overflowPunct/>
        <w:topLinePunct w:val="0"/>
        <w:bidi w:val="0"/>
        <w:jc w:val="center"/>
        <w:outlineLvl w:val="0"/>
        <w:rPr>
          <w:rFonts w:hint="eastAsia" w:ascii="仿宋_GB2312" w:hAnsi="仿宋_GB2312" w:eastAsia="仿宋_GB2312" w:cs="仿宋_GB2312"/>
          <w:b/>
          <w:color w:val="auto"/>
          <w:kern w:val="2"/>
          <w:sz w:val="32"/>
          <w:szCs w:val="24"/>
          <w:lang w:val="en-US" w:eastAsia="zh-CN" w:bidi="ar-SA"/>
        </w:rPr>
      </w:pPr>
      <w:bookmarkStart w:id="40" w:name="_Toc27195"/>
      <w:r>
        <w:rPr>
          <w:rFonts w:hint="eastAsia" w:ascii="仿宋_GB2312" w:hAnsi="仿宋_GB2312" w:eastAsia="仿宋_GB2312" w:cs="仿宋_GB2312"/>
          <w:b/>
          <w:color w:val="auto"/>
          <w:kern w:val="2"/>
          <w:sz w:val="32"/>
          <w:szCs w:val="24"/>
          <w:lang w:val="en-US" w:eastAsia="zh-CN" w:bidi="ar-SA"/>
        </w:rPr>
        <w:t>片区应急队伍统计及分布表</w:t>
      </w:r>
      <w:bookmarkEnd w:id="40"/>
    </w:p>
    <w:tbl>
      <w:tblPr>
        <w:tblStyle w:val="17"/>
        <w:tblW w:w="849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80"/>
        <w:gridCol w:w="3700"/>
        <w:gridCol w:w="1532"/>
        <w:gridCol w:w="21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blHeader/>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b/>
                <w:bCs/>
                <w:i w:val="0"/>
                <w:iCs w:val="0"/>
                <w:color w:val="auto"/>
                <w:kern w:val="0"/>
                <w:sz w:val="24"/>
                <w:szCs w:val="24"/>
                <w:u w:val="none"/>
                <w:lang w:val="en-US" w:eastAsia="zh-CN" w:bidi="ar"/>
              </w:rPr>
            </w:pPr>
            <w:r>
              <w:rPr>
                <w:rFonts w:hint="eastAsia" w:ascii="仿宋_GB2312" w:hAnsi="仿宋_GB2312" w:eastAsia="仿宋_GB2312" w:cs="仿宋_GB2312"/>
                <w:b/>
                <w:bCs/>
                <w:i w:val="0"/>
                <w:iCs w:val="0"/>
                <w:color w:val="auto"/>
                <w:kern w:val="0"/>
                <w:sz w:val="24"/>
                <w:szCs w:val="24"/>
                <w:u w:val="none"/>
                <w:lang w:val="en-US" w:eastAsia="zh-CN" w:bidi="ar"/>
              </w:rPr>
              <w:t>序号</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b/>
                <w:bCs/>
                <w:i w:val="0"/>
                <w:iCs w:val="0"/>
                <w:color w:val="auto"/>
                <w:kern w:val="0"/>
                <w:sz w:val="24"/>
                <w:szCs w:val="24"/>
                <w:u w:val="none"/>
                <w:lang w:val="en-US" w:eastAsia="zh-CN" w:bidi="ar"/>
              </w:rPr>
            </w:pPr>
            <w:r>
              <w:rPr>
                <w:rFonts w:hint="eastAsia" w:ascii="仿宋_GB2312" w:hAnsi="仿宋_GB2312" w:eastAsia="仿宋_GB2312" w:cs="仿宋_GB2312"/>
                <w:b/>
                <w:bCs/>
                <w:i w:val="0"/>
                <w:iCs w:val="0"/>
                <w:color w:val="auto"/>
                <w:kern w:val="0"/>
                <w:sz w:val="24"/>
                <w:szCs w:val="24"/>
                <w:u w:val="none"/>
                <w:lang w:val="en-US" w:eastAsia="zh-CN" w:bidi="ar"/>
              </w:rPr>
              <w:t>队伍名称</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b/>
                <w:bCs/>
                <w:i w:val="0"/>
                <w:iCs w:val="0"/>
                <w:color w:val="auto"/>
                <w:kern w:val="0"/>
                <w:sz w:val="24"/>
                <w:szCs w:val="24"/>
                <w:u w:val="none"/>
                <w:lang w:val="en-US" w:eastAsia="zh-CN" w:bidi="ar"/>
              </w:rPr>
            </w:pPr>
            <w:r>
              <w:rPr>
                <w:rFonts w:hint="eastAsia" w:ascii="仿宋_GB2312" w:hAnsi="仿宋_GB2312" w:eastAsia="仿宋_GB2312" w:cs="仿宋_GB2312"/>
                <w:b/>
                <w:bCs/>
                <w:i w:val="0"/>
                <w:iCs w:val="0"/>
                <w:color w:val="auto"/>
                <w:kern w:val="0"/>
                <w:sz w:val="24"/>
                <w:szCs w:val="24"/>
                <w:u w:val="none"/>
                <w:lang w:val="en-US" w:eastAsia="zh-CN" w:bidi="ar"/>
              </w:rPr>
              <w:t>人数</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b/>
                <w:bCs/>
                <w:i w:val="0"/>
                <w:iCs w:val="0"/>
                <w:color w:val="auto"/>
                <w:kern w:val="0"/>
                <w:sz w:val="24"/>
                <w:szCs w:val="24"/>
                <w:u w:val="none"/>
                <w:lang w:val="en-US" w:eastAsia="zh-CN" w:bidi="ar"/>
              </w:rPr>
            </w:pPr>
            <w:r>
              <w:rPr>
                <w:rFonts w:hint="eastAsia" w:ascii="仿宋_GB2312" w:hAnsi="仿宋_GB2312" w:eastAsia="仿宋_GB2312" w:cs="仿宋_GB2312"/>
                <w:b/>
                <w:bCs/>
                <w:i w:val="0"/>
                <w:iCs w:val="0"/>
                <w:color w:val="auto"/>
                <w:kern w:val="0"/>
                <w:sz w:val="24"/>
                <w:szCs w:val="24"/>
                <w:u w:val="none"/>
                <w:lang w:val="en-US" w:eastAsia="zh-CN" w:bidi="ar"/>
              </w:rPr>
              <w:t>所在乡镇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牟子镇人民政府应急队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28</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牟子镇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武皇村应急分队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牟子镇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老龙村应急分队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14</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牟子镇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4</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强鸣村应急分队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18</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牟子镇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5</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菜利村应急分队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牟子镇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6</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槐子村应急分队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19</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牟子镇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7</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苏坪村应急分队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16</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牟子镇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8</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雷沟村应急分队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14</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牟子镇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9</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板桥村应急分队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牟子镇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三峡村应急分队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13</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牟子镇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11</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牟子场社区应急分队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牟子镇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12</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悦来镇应急分队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38</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悦来镇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13</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悦来镇正阳村应急分队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15</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悦来镇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14</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悦来镇塘咡坎村应急分队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15</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悦来镇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15</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悦来镇龙岩村应急分队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15</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悦来镇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16</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悦来镇荔枝弯村应急分队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15</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悦来镇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17</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悦来镇道铧村应急分队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15</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悦来镇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18</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棉竹镇人民政府应急队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棉竹镇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19</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高坝社区应急分队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棉竹镇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20</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棉竹铺社区应急分队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棉竹镇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21</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张铺儿村村应急分队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棉竹镇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22</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袁坝村应急分队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棉竹镇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23</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九百洞村应急分队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棉竹镇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24</w:t>
            </w:r>
          </w:p>
        </w:tc>
        <w:tc>
          <w:tcPr>
            <w:tcW w:w="3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天空山村应急分队</w:t>
            </w:r>
          </w:p>
        </w:tc>
        <w:tc>
          <w:tcPr>
            <w:tcW w:w="153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10</w:t>
            </w:r>
          </w:p>
        </w:tc>
        <w:tc>
          <w:tcPr>
            <w:tcW w:w="21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snapToGrid/>
              <w:spacing w:line="480" w:lineRule="auto"/>
              <w:jc w:val="center"/>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棉竹镇</w:t>
            </w:r>
          </w:p>
        </w:tc>
      </w:tr>
    </w:tbl>
    <w:p>
      <w:pPr>
        <w:pStyle w:val="2"/>
        <w:rPr>
          <w:rFonts w:hint="eastAsia" w:ascii="仿宋_GB2312" w:hAnsi="仿宋_GB2312" w:eastAsia="仿宋_GB2312" w:cs="仿宋_GB2312"/>
          <w:color w:val="auto"/>
          <w:lang w:val="en-US" w:eastAsia="zh-CN"/>
        </w:rPr>
      </w:pP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pStyle w:val="4"/>
        <w:bidi w:val="0"/>
        <w:jc w:val="both"/>
        <w:outlineLvl w:val="0"/>
        <w:rPr>
          <w:rFonts w:hint="eastAsia" w:ascii="仿宋_GB2312" w:hAnsi="仿宋_GB2312" w:eastAsia="仿宋_GB2312" w:cs="仿宋_GB2312"/>
          <w:b/>
          <w:color w:val="auto"/>
          <w:lang w:val="en-US" w:eastAsia="zh-CN"/>
        </w:rPr>
      </w:pPr>
      <w:bookmarkStart w:id="41" w:name="_Toc17002"/>
      <w:r>
        <w:rPr>
          <w:rFonts w:hint="eastAsia" w:ascii="仿宋_GB2312" w:hAnsi="仿宋_GB2312" w:eastAsia="仿宋_GB2312" w:cs="仿宋_GB2312"/>
          <w:b/>
          <w:color w:val="auto"/>
          <w:lang w:val="en-US" w:eastAsia="zh-CN"/>
        </w:rPr>
        <w:t>附表4</w:t>
      </w:r>
      <w:bookmarkEnd w:id="41"/>
    </w:p>
    <w:p>
      <w:pPr>
        <w:pageBreakBefore w:val="0"/>
        <w:wordWrap/>
        <w:overflowPunct/>
        <w:topLinePunct w:val="0"/>
        <w:bidi w:val="0"/>
        <w:jc w:val="center"/>
        <w:outlineLvl w:val="0"/>
        <w:rPr>
          <w:rFonts w:hint="eastAsia" w:ascii="仿宋_GB2312" w:hAnsi="仿宋_GB2312" w:eastAsia="仿宋_GB2312" w:cs="仿宋_GB2312"/>
          <w:b/>
          <w:color w:val="auto"/>
          <w:kern w:val="2"/>
          <w:sz w:val="32"/>
          <w:szCs w:val="24"/>
          <w:lang w:val="en-US" w:eastAsia="zh-CN" w:bidi="ar-SA"/>
        </w:rPr>
      </w:pPr>
      <w:bookmarkStart w:id="42" w:name="_Toc7357"/>
      <w:r>
        <w:rPr>
          <w:rFonts w:hint="eastAsia" w:ascii="仿宋_GB2312" w:hAnsi="仿宋_GB2312" w:eastAsia="仿宋_GB2312" w:cs="仿宋_GB2312"/>
          <w:b/>
          <w:color w:val="auto"/>
          <w:kern w:val="2"/>
          <w:sz w:val="32"/>
          <w:szCs w:val="24"/>
          <w:lang w:val="en-US" w:eastAsia="zh-CN" w:bidi="ar-SA"/>
        </w:rPr>
        <w:t>片区应急救援装备、物资统计及分布表</w:t>
      </w:r>
      <w:bookmarkEnd w:id="42"/>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4"/>
        <w:gridCol w:w="1773"/>
        <w:gridCol w:w="1627"/>
        <w:gridCol w:w="775"/>
        <w:gridCol w:w="1151"/>
        <w:gridCol w:w="1174"/>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74"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序号</w:t>
            </w:r>
          </w:p>
        </w:tc>
        <w:tc>
          <w:tcPr>
            <w:tcW w:w="1773"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类别</w:t>
            </w:r>
          </w:p>
        </w:tc>
        <w:tc>
          <w:tcPr>
            <w:tcW w:w="1627"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物资品名</w:t>
            </w:r>
          </w:p>
        </w:tc>
        <w:tc>
          <w:tcPr>
            <w:tcW w:w="775" w:type="dxa"/>
            <w:vMerge w:val="restart"/>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单位</w:t>
            </w:r>
          </w:p>
        </w:tc>
        <w:tc>
          <w:tcPr>
            <w:tcW w:w="3520" w:type="dxa"/>
            <w:gridSpan w:val="3"/>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所在位置及数量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trPr>
        <w:tc>
          <w:tcPr>
            <w:tcW w:w="774"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b/>
                <w:bCs/>
                <w:color w:val="auto"/>
                <w:sz w:val="24"/>
                <w:szCs w:val="24"/>
              </w:rPr>
            </w:pPr>
          </w:p>
        </w:tc>
        <w:tc>
          <w:tcPr>
            <w:tcW w:w="1773"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b/>
                <w:bCs/>
                <w:color w:val="auto"/>
                <w:sz w:val="24"/>
                <w:szCs w:val="24"/>
              </w:rPr>
            </w:pPr>
          </w:p>
        </w:tc>
        <w:tc>
          <w:tcPr>
            <w:tcW w:w="1627"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b/>
                <w:bCs/>
                <w:color w:val="auto"/>
                <w:sz w:val="24"/>
                <w:szCs w:val="24"/>
              </w:rPr>
            </w:pPr>
          </w:p>
        </w:tc>
        <w:tc>
          <w:tcPr>
            <w:tcW w:w="775" w:type="dxa"/>
            <w:vMerge w:val="continue"/>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b/>
                <w:bCs/>
                <w:color w:val="auto"/>
                <w:sz w:val="24"/>
                <w:szCs w:val="24"/>
              </w:rPr>
            </w:pPr>
          </w:p>
        </w:tc>
        <w:tc>
          <w:tcPr>
            <w:tcW w:w="1151"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b/>
                <w:bCs/>
                <w:color w:val="auto"/>
                <w:kern w:val="2"/>
                <w:sz w:val="24"/>
                <w:szCs w:val="24"/>
                <w:lang w:val="en-US" w:eastAsia="zh-CN" w:bidi="ar-SA"/>
              </w:rPr>
            </w:pPr>
            <w:r>
              <w:rPr>
                <w:rFonts w:hint="eastAsia" w:ascii="仿宋_GB2312" w:hAnsi="仿宋_GB2312" w:eastAsia="仿宋_GB2312" w:cs="仿宋_GB2312"/>
                <w:b/>
                <w:bCs/>
                <w:color w:val="auto"/>
                <w:sz w:val="24"/>
                <w:szCs w:val="24"/>
                <w:lang w:val="en-US" w:eastAsia="zh-CN"/>
              </w:rPr>
              <w:t>牟子镇</w:t>
            </w:r>
          </w:p>
        </w:tc>
        <w:tc>
          <w:tcPr>
            <w:tcW w:w="11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b/>
                <w:bCs/>
                <w:color w:val="auto"/>
                <w:kern w:val="2"/>
                <w:sz w:val="24"/>
                <w:szCs w:val="24"/>
                <w:lang w:val="en-US" w:eastAsia="zh-CN" w:bidi="ar-SA"/>
              </w:rPr>
            </w:pPr>
            <w:r>
              <w:rPr>
                <w:rFonts w:hint="eastAsia" w:ascii="仿宋_GB2312" w:hAnsi="仿宋_GB2312" w:eastAsia="仿宋_GB2312" w:cs="仿宋_GB2312"/>
                <w:b/>
                <w:bCs/>
                <w:color w:val="auto"/>
                <w:sz w:val="24"/>
                <w:szCs w:val="24"/>
                <w:lang w:val="en-US" w:eastAsia="zh-CN"/>
              </w:rPr>
              <w:t>棉竹镇</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b/>
                <w:bCs/>
                <w:color w:val="auto"/>
                <w:sz w:val="24"/>
                <w:szCs w:val="24"/>
                <w:lang w:val="en-US" w:eastAsia="zh-CN"/>
              </w:rPr>
            </w:pPr>
            <w:r>
              <w:rPr>
                <w:rFonts w:hint="eastAsia" w:ascii="仿宋_GB2312" w:hAnsi="仿宋_GB2312" w:eastAsia="仿宋_GB2312" w:cs="仿宋_GB2312"/>
                <w:b/>
                <w:bCs/>
                <w:color w:val="auto"/>
                <w:sz w:val="24"/>
                <w:szCs w:val="24"/>
                <w:lang w:val="en-US" w:eastAsia="zh-CN"/>
              </w:rPr>
              <w:t>悦来镇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防寒服</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66</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棉大衣</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棉被</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床</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0</w:t>
            </w:r>
            <w:r>
              <w:rPr>
                <w:rFonts w:hint="eastAsia" w:ascii="仿宋_GB2312" w:hAnsi="仿宋_GB2312" w:eastAsia="仿宋_GB2312" w:cs="仿宋_GB2312"/>
                <w:color w:val="auto"/>
                <w:sz w:val="24"/>
                <w:szCs w:val="24"/>
              </w:rPr>
              <w:t>4</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34</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个人防护类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雨衣</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71</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45</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毛毯</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27</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折叠床</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张</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帐篷</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1</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动力照明类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电筒</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28</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个人防护类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雨靴</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双</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65</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42</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个人防护类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一次性雨衣</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28</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动力照明类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探照灯</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盏</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动力照明类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发电机</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台</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1</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大米</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袋</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14</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清油</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救生衣</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24</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16</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救生圈</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6</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14</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17</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编织袋</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25</w:t>
            </w:r>
            <w:r>
              <w:rPr>
                <w:rFonts w:hint="eastAsia" w:ascii="仿宋_GB2312" w:hAnsi="仿宋_GB2312" w:eastAsia="仿宋_GB2312" w:cs="仿宋_GB2312"/>
                <w:color w:val="auto"/>
                <w:sz w:val="24"/>
                <w:szCs w:val="24"/>
              </w:rPr>
              <w:t>00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00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18</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铁锹</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24</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19</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土工布</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匹</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20</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彩条布</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匹</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21</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个人防护类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雨伞</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32</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22</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个人防护类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胶鞋</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双</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67</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23</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防潮垫</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24</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胶手套(长)</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双</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25</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胶手套(短)</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双</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26</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棉手套</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双</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83</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27</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喊话器</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6</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8</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28</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警戒线</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捆</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2</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29</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动力照明类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应急灯</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盏</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30</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睡袋</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移动厕所</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32</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抢险辅助类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应急包</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毛巾被</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床</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34</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秋装</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35</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生活类物资</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单衣裤</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条</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36</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砍刀</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7</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37</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镰刀</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38</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防火手套</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双</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56</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39</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消防锹</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24</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17</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40</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风力灭火机</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台</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1</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1</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41</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抽水泵</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台</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1</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1</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42</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防火服</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件</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4</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43</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头盔</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4</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4</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44</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防火靴</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双</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2</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2</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45</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三号工具</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46</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灭火水枪</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6</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8</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47</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油锯</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1</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val="en-US" w:eastAsia="zh-CN"/>
              </w:rPr>
              <w:t>1</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48</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头灯</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49</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消防泵</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个</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0</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50</w:t>
            </w:r>
          </w:p>
        </w:tc>
        <w:tc>
          <w:tcPr>
            <w:tcW w:w="1773"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森林防灭火类</w:t>
            </w:r>
          </w:p>
        </w:tc>
        <w:tc>
          <w:tcPr>
            <w:tcW w:w="1627"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消防手套</w:t>
            </w:r>
          </w:p>
        </w:tc>
        <w:tc>
          <w:tcPr>
            <w:tcW w:w="77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双</w:t>
            </w:r>
          </w:p>
        </w:tc>
        <w:tc>
          <w:tcPr>
            <w:tcW w:w="1151"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w:t>
            </w:r>
          </w:p>
        </w:tc>
        <w:tc>
          <w:tcPr>
            <w:tcW w:w="1174" w:type="dxa"/>
            <w:vAlign w:val="top"/>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9" w:type="dxa"/>
            <w:gridSpan w:val="4"/>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合</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rPr>
              <w:t>计</w:t>
            </w:r>
          </w:p>
        </w:tc>
        <w:tc>
          <w:tcPr>
            <w:tcW w:w="1151"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3258</w:t>
            </w:r>
          </w:p>
        </w:tc>
        <w:tc>
          <w:tcPr>
            <w:tcW w:w="1174"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3755</w:t>
            </w:r>
          </w:p>
        </w:tc>
        <w:tc>
          <w:tcPr>
            <w:tcW w:w="1195" w:type="dxa"/>
            <w:vAlign w:val="center"/>
          </w:tcPr>
          <w:p>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2693</w:t>
            </w:r>
          </w:p>
        </w:tc>
      </w:tr>
    </w:tbl>
    <w:p>
      <w:pPr>
        <w:pageBreakBefore w:val="0"/>
        <w:wordWrap/>
        <w:overflowPunct/>
        <w:topLinePunct w:val="0"/>
        <w:bidi w:val="0"/>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备注：物资储备数量统计截止日期为2021年12月底。</w:t>
      </w:r>
    </w:p>
    <w:p>
      <w:pP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br w:type="page"/>
      </w:r>
    </w:p>
    <w:p>
      <w:pPr>
        <w:pStyle w:val="4"/>
        <w:bidi w:val="0"/>
        <w:jc w:val="both"/>
        <w:outlineLvl w:val="0"/>
        <w:rPr>
          <w:rFonts w:hint="eastAsia" w:ascii="仿宋_GB2312" w:hAnsi="仿宋_GB2312" w:eastAsia="仿宋_GB2312" w:cs="仿宋_GB2312"/>
          <w:color w:val="auto"/>
          <w:lang w:val="en-US" w:eastAsia="zh-CN"/>
        </w:rPr>
      </w:pPr>
      <w:bookmarkStart w:id="43" w:name="_Toc11859"/>
      <w:r>
        <w:rPr>
          <w:rFonts w:hint="eastAsia" w:ascii="仿宋_GB2312" w:hAnsi="仿宋_GB2312" w:eastAsia="仿宋_GB2312" w:cs="仿宋_GB2312"/>
          <w:b/>
          <w:color w:val="auto"/>
          <w:lang w:val="en-US" w:eastAsia="zh-CN"/>
        </w:rPr>
        <w:t>附表5</w:t>
      </w:r>
      <w:bookmarkEnd w:id="43"/>
    </w:p>
    <w:p>
      <w:pPr>
        <w:pStyle w:val="4"/>
        <w:bidi w:val="0"/>
        <w:jc w:val="center"/>
        <w:outlineLvl w:val="0"/>
        <w:rPr>
          <w:rFonts w:hint="eastAsia" w:ascii="仿宋_GB2312" w:hAnsi="仿宋_GB2312" w:eastAsia="仿宋_GB2312" w:cs="仿宋_GB2312"/>
          <w:b/>
          <w:color w:val="auto"/>
          <w:lang w:val="en-US" w:eastAsia="zh-CN"/>
        </w:rPr>
      </w:pPr>
      <w:bookmarkStart w:id="44" w:name="_Toc31829"/>
      <w:r>
        <w:rPr>
          <w:rFonts w:hint="eastAsia" w:ascii="仿宋_GB2312" w:hAnsi="仿宋_GB2312" w:eastAsia="仿宋_GB2312" w:cs="仿宋_GB2312"/>
          <w:b/>
          <w:color w:val="auto"/>
          <w:lang w:val="en-US" w:eastAsia="zh-CN"/>
        </w:rPr>
        <w:t>片区应急管理用地现状和规划用地指标</w:t>
      </w:r>
      <w:bookmarkEnd w:id="44"/>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1588"/>
        <w:gridCol w:w="1064"/>
        <w:gridCol w:w="1958"/>
        <w:gridCol w:w="1579"/>
        <w:gridCol w:w="1011"/>
        <w:gridCol w:w="7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序号</w:t>
            </w:r>
          </w:p>
        </w:tc>
        <w:tc>
          <w:tcPr>
            <w:tcW w:w="1588" w:type="dxa"/>
            <w:vAlign w:val="center"/>
          </w:tcPr>
          <w:p>
            <w:pPr>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项目名称</w:t>
            </w:r>
          </w:p>
        </w:tc>
        <w:tc>
          <w:tcPr>
            <w:tcW w:w="1064" w:type="dxa"/>
            <w:vAlign w:val="center"/>
          </w:tcPr>
          <w:p>
            <w:pPr>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具体位置</w:t>
            </w:r>
          </w:p>
        </w:tc>
        <w:tc>
          <w:tcPr>
            <w:tcW w:w="1958" w:type="dxa"/>
            <w:vAlign w:val="center"/>
          </w:tcPr>
          <w:p>
            <w:pPr>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用途</w:t>
            </w:r>
          </w:p>
        </w:tc>
        <w:tc>
          <w:tcPr>
            <w:tcW w:w="1579" w:type="dxa"/>
            <w:vAlign w:val="center"/>
          </w:tcPr>
          <w:p>
            <w:pPr>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用地类型（利旧/共建/新建）</w:t>
            </w:r>
          </w:p>
        </w:tc>
        <w:tc>
          <w:tcPr>
            <w:tcW w:w="1011" w:type="dxa"/>
            <w:vAlign w:val="center"/>
          </w:tcPr>
          <w:p>
            <w:pPr>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用地规模（㎡）</w:t>
            </w:r>
          </w:p>
        </w:tc>
        <w:tc>
          <w:tcPr>
            <w:tcW w:w="789" w:type="dxa"/>
            <w:vAlign w:val="center"/>
          </w:tcPr>
          <w:p>
            <w:pPr>
              <w:jc w:val="center"/>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1588" w:type="dxa"/>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乐山市市中区平羌三峡生态旅游片区</w:t>
            </w:r>
            <w:r>
              <w:rPr>
                <w:rFonts w:hint="eastAsia" w:ascii="仿宋_GB2312" w:hAnsi="仿宋_GB2312" w:eastAsia="仿宋_GB2312" w:cs="仿宋_GB2312"/>
                <w:color w:val="auto"/>
                <w:sz w:val="24"/>
                <w:szCs w:val="24"/>
              </w:rPr>
              <w:t>应急指挥中心</w:t>
            </w:r>
          </w:p>
        </w:tc>
        <w:tc>
          <w:tcPr>
            <w:tcW w:w="1064" w:type="dxa"/>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牟子镇</w:t>
            </w:r>
          </w:p>
        </w:tc>
        <w:tc>
          <w:tcPr>
            <w:tcW w:w="1958" w:type="dxa"/>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统领并监督</w:t>
            </w:r>
            <w:r>
              <w:rPr>
                <w:rFonts w:hint="eastAsia" w:ascii="仿宋_GB2312" w:hAnsi="仿宋_GB2312" w:eastAsia="仿宋_GB2312" w:cs="仿宋_GB2312"/>
                <w:color w:val="auto"/>
                <w:sz w:val="24"/>
                <w:szCs w:val="24"/>
                <w:lang w:val="en-US" w:eastAsia="zh-CN"/>
              </w:rPr>
              <w:t>牟子镇、棉竹镇、悦来镇</w:t>
            </w:r>
            <w:r>
              <w:rPr>
                <w:rFonts w:hint="eastAsia" w:ascii="仿宋_GB2312" w:hAnsi="仿宋_GB2312" w:eastAsia="仿宋_GB2312" w:cs="仿宋_GB2312"/>
                <w:color w:val="auto"/>
                <w:sz w:val="24"/>
                <w:szCs w:val="24"/>
              </w:rPr>
              <w:t>应急救援工作</w:t>
            </w:r>
          </w:p>
        </w:tc>
        <w:tc>
          <w:tcPr>
            <w:tcW w:w="1579" w:type="dxa"/>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共建</w:t>
            </w:r>
          </w:p>
        </w:tc>
        <w:tc>
          <w:tcPr>
            <w:tcW w:w="1011" w:type="dxa"/>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w:t>
            </w:r>
          </w:p>
        </w:tc>
        <w:tc>
          <w:tcPr>
            <w:tcW w:w="789" w:type="dxa"/>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default"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kern w:val="2"/>
                <w:sz w:val="24"/>
                <w:szCs w:val="24"/>
                <w:lang w:val="en-US" w:eastAsia="zh-CN" w:bidi="ar-SA"/>
              </w:rPr>
              <w:t>2</w:t>
            </w:r>
          </w:p>
        </w:tc>
        <w:tc>
          <w:tcPr>
            <w:tcW w:w="1588" w:type="dxa"/>
            <w:vAlign w:val="center"/>
          </w:tcPr>
          <w:p>
            <w:pPr>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乐山市市中区平羌三峡生态旅游片区</w:t>
            </w:r>
            <w:r>
              <w:rPr>
                <w:rFonts w:hint="eastAsia" w:ascii="仿宋_GB2312" w:hAnsi="仿宋_GB2312" w:eastAsia="仿宋_GB2312" w:cs="仿宋_GB2312"/>
                <w:color w:val="auto"/>
                <w:sz w:val="24"/>
                <w:szCs w:val="24"/>
              </w:rPr>
              <w:t>应急指挥</w:t>
            </w:r>
            <w:r>
              <w:rPr>
                <w:rFonts w:hint="eastAsia" w:ascii="仿宋_GB2312" w:hAnsi="仿宋_GB2312" w:eastAsia="仿宋_GB2312" w:cs="仿宋_GB2312"/>
                <w:color w:val="auto"/>
                <w:sz w:val="24"/>
                <w:szCs w:val="24"/>
                <w:lang w:eastAsia="zh-CN"/>
              </w:rPr>
              <w:t>分</w:t>
            </w:r>
            <w:r>
              <w:rPr>
                <w:rFonts w:hint="eastAsia" w:ascii="仿宋_GB2312" w:hAnsi="仿宋_GB2312" w:eastAsia="仿宋_GB2312" w:cs="仿宋_GB2312"/>
                <w:color w:val="auto"/>
                <w:sz w:val="24"/>
                <w:szCs w:val="24"/>
              </w:rPr>
              <w:t>中心</w:t>
            </w:r>
          </w:p>
        </w:tc>
        <w:tc>
          <w:tcPr>
            <w:tcW w:w="1064" w:type="dxa"/>
            <w:vAlign w:val="center"/>
          </w:tcPr>
          <w:p>
            <w:pPr>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lang w:val="en-US" w:eastAsia="zh-CN"/>
              </w:rPr>
              <w:t>悦来镇</w:t>
            </w:r>
          </w:p>
        </w:tc>
        <w:tc>
          <w:tcPr>
            <w:tcW w:w="1958" w:type="dxa"/>
            <w:vAlign w:val="center"/>
          </w:tcPr>
          <w:p>
            <w:pPr>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rPr>
              <w:t>统领并监督</w:t>
            </w:r>
            <w:r>
              <w:rPr>
                <w:rFonts w:hint="eastAsia" w:ascii="仿宋_GB2312" w:hAnsi="仿宋_GB2312" w:eastAsia="仿宋_GB2312" w:cs="仿宋_GB2312"/>
                <w:color w:val="auto"/>
                <w:sz w:val="24"/>
                <w:szCs w:val="24"/>
                <w:lang w:val="en-US" w:eastAsia="zh-CN"/>
              </w:rPr>
              <w:t>悦来镇</w:t>
            </w:r>
            <w:r>
              <w:rPr>
                <w:rFonts w:hint="eastAsia" w:ascii="仿宋_GB2312" w:hAnsi="仿宋_GB2312" w:eastAsia="仿宋_GB2312" w:cs="仿宋_GB2312"/>
                <w:color w:val="auto"/>
                <w:sz w:val="24"/>
                <w:szCs w:val="24"/>
              </w:rPr>
              <w:t>应急救援工作</w:t>
            </w:r>
          </w:p>
        </w:tc>
        <w:tc>
          <w:tcPr>
            <w:tcW w:w="1579" w:type="dxa"/>
            <w:vAlign w:val="center"/>
          </w:tcPr>
          <w:p>
            <w:pPr>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rPr>
              <w:t>共建</w:t>
            </w:r>
          </w:p>
        </w:tc>
        <w:tc>
          <w:tcPr>
            <w:tcW w:w="1011" w:type="dxa"/>
            <w:vAlign w:val="center"/>
          </w:tcPr>
          <w:p>
            <w:pPr>
              <w:jc w:val="center"/>
              <w:rPr>
                <w:rFonts w:hint="eastAsia" w:ascii="仿宋_GB2312" w:hAnsi="仿宋_GB2312" w:eastAsia="仿宋_GB2312" w:cs="仿宋_GB2312"/>
                <w:color w:val="auto"/>
                <w:kern w:val="2"/>
                <w:sz w:val="24"/>
                <w:szCs w:val="24"/>
                <w:lang w:val="en-US" w:eastAsia="zh-CN" w:bidi="ar-SA"/>
              </w:rPr>
            </w:pPr>
            <w:r>
              <w:rPr>
                <w:rFonts w:hint="eastAsia" w:ascii="仿宋_GB2312" w:hAnsi="仿宋_GB2312" w:eastAsia="仿宋_GB2312" w:cs="仿宋_GB2312"/>
                <w:color w:val="auto"/>
                <w:sz w:val="24"/>
                <w:szCs w:val="24"/>
              </w:rPr>
              <w:t>—</w:t>
            </w:r>
          </w:p>
        </w:tc>
        <w:tc>
          <w:tcPr>
            <w:tcW w:w="789" w:type="dxa"/>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w:t>
            </w:r>
          </w:p>
        </w:tc>
        <w:tc>
          <w:tcPr>
            <w:tcW w:w="1588" w:type="dxa"/>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牟子镇更生学校应急避难场所</w:t>
            </w:r>
          </w:p>
        </w:tc>
        <w:tc>
          <w:tcPr>
            <w:tcW w:w="1064" w:type="dxa"/>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牟子镇</w:t>
            </w:r>
          </w:p>
        </w:tc>
        <w:tc>
          <w:tcPr>
            <w:tcW w:w="1958" w:type="dxa"/>
            <w:vAlign w:val="center"/>
          </w:tcPr>
          <w:p>
            <w:pPr>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应急避难场所</w:t>
            </w:r>
          </w:p>
        </w:tc>
        <w:tc>
          <w:tcPr>
            <w:tcW w:w="1579" w:type="dxa"/>
            <w:vAlign w:val="center"/>
          </w:tcPr>
          <w:p>
            <w:pPr>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利旧</w:t>
            </w:r>
          </w:p>
        </w:tc>
        <w:tc>
          <w:tcPr>
            <w:tcW w:w="1011" w:type="dxa"/>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w:t>
            </w:r>
          </w:p>
        </w:tc>
        <w:tc>
          <w:tcPr>
            <w:tcW w:w="789" w:type="dxa"/>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w:t>
            </w:r>
          </w:p>
        </w:tc>
        <w:tc>
          <w:tcPr>
            <w:tcW w:w="1588" w:type="dxa"/>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悦来学校应急避难场所</w:t>
            </w:r>
          </w:p>
        </w:tc>
        <w:tc>
          <w:tcPr>
            <w:tcW w:w="1064" w:type="dxa"/>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悦来镇</w:t>
            </w:r>
          </w:p>
        </w:tc>
        <w:tc>
          <w:tcPr>
            <w:tcW w:w="1958" w:type="dxa"/>
            <w:vAlign w:val="center"/>
          </w:tcPr>
          <w:p>
            <w:pPr>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应急避难场所</w:t>
            </w:r>
          </w:p>
        </w:tc>
        <w:tc>
          <w:tcPr>
            <w:tcW w:w="1579" w:type="dxa"/>
            <w:vAlign w:val="center"/>
          </w:tcPr>
          <w:p>
            <w:pPr>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利旧</w:t>
            </w:r>
          </w:p>
        </w:tc>
        <w:tc>
          <w:tcPr>
            <w:tcW w:w="1011" w:type="dxa"/>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w:t>
            </w:r>
          </w:p>
        </w:tc>
        <w:tc>
          <w:tcPr>
            <w:tcW w:w="789" w:type="dxa"/>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w:t>
            </w:r>
          </w:p>
        </w:tc>
        <w:tc>
          <w:tcPr>
            <w:tcW w:w="1588" w:type="dxa"/>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牟子场社区应急避难场所</w:t>
            </w:r>
          </w:p>
        </w:tc>
        <w:tc>
          <w:tcPr>
            <w:tcW w:w="1064" w:type="dxa"/>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牟子镇</w:t>
            </w:r>
          </w:p>
        </w:tc>
        <w:tc>
          <w:tcPr>
            <w:tcW w:w="1958" w:type="dxa"/>
            <w:vAlign w:val="center"/>
          </w:tcPr>
          <w:p>
            <w:pPr>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应急避难场所</w:t>
            </w:r>
          </w:p>
        </w:tc>
        <w:tc>
          <w:tcPr>
            <w:tcW w:w="1579" w:type="dxa"/>
            <w:vAlign w:val="center"/>
          </w:tcPr>
          <w:p>
            <w:pPr>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利旧</w:t>
            </w:r>
          </w:p>
        </w:tc>
        <w:tc>
          <w:tcPr>
            <w:tcW w:w="1011" w:type="dxa"/>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w:t>
            </w:r>
          </w:p>
        </w:tc>
        <w:tc>
          <w:tcPr>
            <w:tcW w:w="789" w:type="dxa"/>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w:t>
            </w:r>
          </w:p>
        </w:tc>
        <w:tc>
          <w:tcPr>
            <w:tcW w:w="1588" w:type="dxa"/>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正阳村应急避难场所</w:t>
            </w:r>
          </w:p>
        </w:tc>
        <w:tc>
          <w:tcPr>
            <w:tcW w:w="1064" w:type="dxa"/>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悦来镇</w:t>
            </w:r>
          </w:p>
        </w:tc>
        <w:tc>
          <w:tcPr>
            <w:tcW w:w="1958" w:type="dxa"/>
            <w:vAlign w:val="center"/>
          </w:tcPr>
          <w:p>
            <w:pPr>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应急避难场所</w:t>
            </w:r>
          </w:p>
        </w:tc>
        <w:tc>
          <w:tcPr>
            <w:tcW w:w="1579" w:type="dxa"/>
            <w:vAlign w:val="center"/>
          </w:tcPr>
          <w:p>
            <w:pPr>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利旧</w:t>
            </w:r>
          </w:p>
        </w:tc>
        <w:tc>
          <w:tcPr>
            <w:tcW w:w="1011" w:type="dxa"/>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w:t>
            </w:r>
          </w:p>
        </w:tc>
        <w:tc>
          <w:tcPr>
            <w:tcW w:w="789" w:type="dxa"/>
            <w:vAlign w:val="center"/>
          </w:tcPr>
          <w:p>
            <w:pPr>
              <w:jc w:val="center"/>
              <w:rPr>
                <w:rFonts w:hint="eastAsia" w:ascii="仿宋_GB2312" w:hAnsi="仿宋_GB2312" w:eastAsia="仿宋_GB2312" w:cs="仿宋_GB2312"/>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7" w:type="dxa"/>
            <w:vAlign w:val="center"/>
          </w:tcPr>
          <w:p>
            <w:pPr>
              <w:jc w:val="center"/>
              <w:rPr>
                <w:rFonts w:hint="default"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w:t>
            </w:r>
          </w:p>
        </w:tc>
        <w:tc>
          <w:tcPr>
            <w:tcW w:w="1588" w:type="dxa"/>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苏坪村</w:t>
            </w:r>
            <w:r>
              <w:rPr>
                <w:rFonts w:hint="eastAsia" w:ascii="仿宋_GB2312" w:hAnsi="仿宋_GB2312" w:eastAsia="仿宋_GB2312" w:cs="仿宋_GB2312"/>
                <w:color w:val="auto"/>
                <w:sz w:val="24"/>
                <w:szCs w:val="24"/>
                <w:lang w:eastAsia="zh-CN"/>
              </w:rPr>
              <w:t>应急避难场所</w:t>
            </w:r>
          </w:p>
        </w:tc>
        <w:tc>
          <w:tcPr>
            <w:tcW w:w="1064" w:type="dxa"/>
            <w:vAlign w:val="center"/>
          </w:tcPr>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牟子镇</w:t>
            </w:r>
          </w:p>
        </w:tc>
        <w:tc>
          <w:tcPr>
            <w:tcW w:w="1958" w:type="dxa"/>
            <w:vAlign w:val="center"/>
          </w:tcPr>
          <w:p>
            <w:pPr>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应急避难场所</w:t>
            </w:r>
          </w:p>
        </w:tc>
        <w:tc>
          <w:tcPr>
            <w:tcW w:w="1579" w:type="dxa"/>
            <w:vAlign w:val="center"/>
          </w:tcPr>
          <w:p>
            <w:pPr>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利旧</w:t>
            </w:r>
          </w:p>
        </w:tc>
        <w:tc>
          <w:tcPr>
            <w:tcW w:w="1011" w:type="dxa"/>
            <w:vAlign w:val="center"/>
          </w:tcPr>
          <w:p>
            <w:pPr>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w:t>
            </w:r>
          </w:p>
        </w:tc>
        <w:tc>
          <w:tcPr>
            <w:tcW w:w="789" w:type="dxa"/>
            <w:vAlign w:val="center"/>
          </w:tcPr>
          <w:p>
            <w:pPr>
              <w:jc w:val="center"/>
              <w:rPr>
                <w:rFonts w:hint="eastAsia" w:ascii="仿宋_GB2312" w:hAnsi="仿宋_GB2312" w:eastAsia="仿宋_GB2312" w:cs="仿宋_GB2312"/>
                <w:color w:val="auto"/>
                <w:sz w:val="24"/>
                <w:szCs w:val="24"/>
              </w:rPr>
            </w:pPr>
          </w:p>
        </w:tc>
      </w:tr>
    </w:tbl>
    <w:p>
      <w:pPr>
        <w:pageBreakBefore w:val="0"/>
        <w:wordWrap/>
        <w:overflowPunct/>
        <w:topLinePunct w:val="0"/>
        <w:bidi w:val="0"/>
        <w:rPr>
          <w:rFonts w:hint="eastAsia" w:ascii="仿宋_GB2312" w:hAnsi="仿宋_GB2312" w:eastAsia="仿宋_GB2312" w:cs="仿宋_GB2312"/>
          <w:color w:val="auto"/>
          <w:sz w:val="32"/>
          <w:szCs w:val="32"/>
          <w:lang w:val="en-US" w:eastAsia="zh-CN"/>
        </w:rPr>
      </w:pPr>
    </w:p>
    <w:p>
      <w:pPr>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br w:type="page"/>
      </w:r>
    </w:p>
    <w:p>
      <w:pPr>
        <w:pStyle w:val="4"/>
        <w:bidi w:val="0"/>
        <w:jc w:val="both"/>
        <w:outlineLvl w:val="0"/>
        <w:rPr>
          <w:rFonts w:hint="eastAsia" w:ascii="仿宋_GB2312" w:hAnsi="仿宋_GB2312" w:eastAsia="仿宋_GB2312" w:cs="仿宋_GB2312"/>
          <w:b/>
          <w:color w:val="auto"/>
          <w:lang w:val="en-US" w:eastAsia="zh-CN"/>
        </w:rPr>
      </w:pPr>
      <w:bookmarkStart w:id="45" w:name="_Toc7343"/>
      <w:r>
        <w:rPr>
          <w:rFonts w:hint="eastAsia" w:ascii="仿宋_GB2312" w:hAnsi="仿宋_GB2312" w:eastAsia="仿宋_GB2312" w:cs="仿宋_GB2312"/>
          <w:b/>
          <w:color w:val="auto"/>
          <w:lang w:val="en-US" w:eastAsia="zh-CN"/>
        </w:rPr>
        <w:t>附表6</w:t>
      </w:r>
      <w:bookmarkEnd w:id="45"/>
    </w:p>
    <w:p>
      <w:pPr>
        <w:pStyle w:val="4"/>
        <w:bidi w:val="0"/>
        <w:jc w:val="center"/>
        <w:outlineLvl w:val="0"/>
        <w:rPr>
          <w:rFonts w:hint="eastAsia" w:ascii="仿宋_GB2312" w:hAnsi="仿宋_GB2312" w:eastAsia="仿宋_GB2312" w:cs="仿宋_GB2312"/>
          <w:b/>
          <w:color w:val="auto"/>
          <w:lang w:val="en-US" w:eastAsia="zh-CN"/>
        </w:rPr>
      </w:pPr>
      <w:bookmarkStart w:id="46" w:name="_Toc14104"/>
      <w:r>
        <w:rPr>
          <w:rFonts w:hint="default" w:ascii="仿宋_GB2312" w:hAnsi="仿宋_GB2312" w:eastAsia="仿宋_GB2312" w:cs="仿宋_GB2312"/>
          <w:b/>
          <w:color w:val="auto"/>
          <w:lang w:val="en-US" w:eastAsia="zh-CN"/>
        </w:rPr>
        <w:t>片区重点工程项目统计表</w:t>
      </w:r>
      <w:bookmarkEnd w:id="46"/>
    </w:p>
    <w:tbl>
      <w:tblPr>
        <w:tblStyle w:val="18"/>
        <w:tblW w:w="91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89"/>
        <w:gridCol w:w="1090"/>
        <w:gridCol w:w="2178"/>
        <w:gridCol w:w="1216"/>
        <w:gridCol w:w="837"/>
        <w:gridCol w:w="742"/>
        <w:gridCol w:w="615"/>
        <w:gridCol w:w="1232"/>
        <w:gridCol w:w="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blHeader/>
        </w:trPr>
        <w:tc>
          <w:tcPr>
            <w:tcW w:w="589" w:type="dxa"/>
            <w:vAlign w:val="center"/>
          </w:tcPr>
          <w:p>
            <w:pPr>
              <w:jc w:val="center"/>
              <w:rPr>
                <w:rFonts w:hint="eastAsia" w:ascii="仿宋_GB2312" w:hAnsi="仿宋_GB2312" w:eastAsia="仿宋_GB2312" w:cs="仿宋_GB2312"/>
                <w:b/>
                <w:bCs/>
                <w:color w:val="auto"/>
              </w:rPr>
            </w:pPr>
            <w:bookmarkStart w:id="47" w:name="_Toc9325"/>
            <w:r>
              <w:rPr>
                <w:rFonts w:hint="eastAsia" w:ascii="仿宋_GB2312" w:hAnsi="仿宋_GB2312" w:eastAsia="仿宋_GB2312" w:cs="仿宋_GB2312"/>
                <w:b/>
                <w:bCs/>
                <w:color w:val="auto"/>
              </w:rPr>
              <w:t>项目大类</w:t>
            </w:r>
          </w:p>
        </w:tc>
        <w:tc>
          <w:tcPr>
            <w:tcW w:w="1090" w:type="dxa"/>
            <w:vAlign w:val="center"/>
          </w:tcPr>
          <w:p>
            <w:pPr>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项目小类</w:t>
            </w:r>
          </w:p>
        </w:tc>
        <w:tc>
          <w:tcPr>
            <w:tcW w:w="2178" w:type="dxa"/>
            <w:vAlign w:val="center"/>
          </w:tcPr>
          <w:p>
            <w:pPr>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建设内容</w:t>
            </w:r>
          </w:p>
        </w:tc>
        <w:tc>
          <w:tcPr>
            <w:tcW w:w="1216" w:type="dxa"/>
            <w:vAlign w:val="center"/>
          </w:tcPr>
          <w:p>
            <w:pPr>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建设地点</w:t>
            </w:r>
          </w:p>
        </w:tc>
        <w:tc>
          <w:tcPr>
            <w:tcW w:w="837" w:type="dxa"/>
            <w:vAlign w:val="center"/>
          </w:tcPr>
          <w:p>
            <w:pPr>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用地量</w:t>
            </w:r>
          </w:p>
          <w:p>
            <w:pPr>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w:t>
            </w:r>
          </w:p>
        </w:tc>
        <w:tc>
          <w:tcPr>
            <w:tcW w:w="742" w:type="dxa"/>
            <w:vAlign w:val="center"/>
          </w:tcPr>
          <w:p>
            <w:pPr>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用地</w:t>
            </w:r>
          </w:p>
          <w:p>
            <w:pPr>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性质</w:t>
            </w:r>
          </w:p>
        </w:tc>
        <w:tc>
          <w:tcPr>
            <w:tcW w:w="615" w:type="dxa"/>
            <w:vAlign w:val="center"/>
          </w:tcPr>
          <w:p>
            <w:pPr>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建设期限</w:t>
            </w:r>
          </w:p>
        </w:tc>
        <w:tc>
          <w:tcPr>
            <w:tcW w:w="1232" w:type="dxa"/>
            <w:vAlign w:val="center"/>
          </w:tcPr>
          <w:p>
            <w:pPr>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牵头单位</w:t>
            </w:r>
          </w:p>
        </w:tc>
        <w:tc>
          <w:tcPr>
            <w:tcW w:w="647" w:type="dxa"/>
            <w:vAlign w:val="center"/>
          </w:tcPr>
          <w:p>
            <w:pPr>
              <w:jc w:val="center"/>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投资估算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589"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安全生产风险防控重点工程</w:t>
            </w:r>
          </w:p>
        </w:tc>
        <w:tc>
          <w:tcPr>
            <w:tcW w:w="1090"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片区安全生产风险监测预警工程</w:t>
            </w: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乡村旅游景点、危险化学品企业、规模以上企业主要场所、关键岗位、高危作业环节安装视频监控、智能监测感知系统，并预留接口，将监测信息接入镇、区应急指挥平台。</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各危险化学品企业、规模以上企业主要场所</w:t>
            </w:r>
          </w:p>
        </w:tc>
        <w:tc>
          <w:tcPr>
            <w:tcW w:w="83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2022-2035年</w:t>
            </w:r>
          </w:p>
        </w:tc>
        <w:tc>
          <w:tcPr>
            <w:tcW w:w="123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区应急管理局、相关行业主管部门，牟子镇、悦来镇、棉竹镇、重点行业领域企业。</w:t>
            </w:r>
          </w:p>
        </w:tc>
        <w:tc>
          <w:tcPr>
            <w:tcW w:w="64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5</w:t>
            </w:r>
            <w:r>
              <w:rPr>
                <w:rFonts w:hint="eastAsia" w:ascii="仿宋_GB2312" w:hAnsi="仿宋_GB2312" w:eastAsia="仿宋_GB2312" w:cs="仿宋_GB2312"/>
                <w:color w:val="auto"/>
              </w:rPr>
              <w:t>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589" w:type="dxa"/>
            <w:vMerge w:val="restart"/>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自然灾害防治重点工程</w:t>
            </w:r>
          </w:p>
        </w:tc>
        <w:tc>
          <w:tcPr>
            <w:tcW w:w="1090"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森林防火预警监测系统建设、林火视频监控预警系统</w:t>
            </w: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在森林资源分布集中、敏感性高、火源控制难度大等重点区域建设林火视频监控系统5套，主要道路节点设置林区智能卡口系统10套，</w:t>
            </w:r>
          </w:p>
        </w:tc>
        <w:tc>
          <w:tcPr>
            <w:tcW w:w="1216"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eastAsia="zh-CN"/>
              </w:rPr>
              <w:t>牟子镇、悦来镇、棉竹镇</w:t>
            </w:r>
          </w:p>
        </w:tc>
        <w:tc>
          <w:tcPr>
            <w:tcW w:w="837"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val="en-US" w:eastAsia="zh-CN"/>
              </w:rPr>
              <w:t>2022-2025</w:t>
            </w:r>
          </w:p>
        </w:tc>
        <w:tc>
          <w:tcPr>
            <w:tcW w:w="1232"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eastAsia="zh-CN"/>
              </w:rPr>
              <w:t>区自然资源局</w:t>
            </w:r>
          </w:p>
        </w:tc>
        <w:tc>
          <w:tcPr>
            <w:tcW w:w="647"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val="en-US" w:eastAsia="zh-CN"/>
              </w:rPr>
              <w:t>693万元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444" w:hRule="atLeast"/>
        </w:trPr>
        <w:tc>
          <w:tcPr>
            <w:tcW w:w="589" w:type="dxa"/>
            <w:vMerge w:val="continue"/>
            <w:vAlign w:val="center"/>
          </w:tcPr>
          <w:p>
            <w:pPr>
              <w:jc w:val="center"/>
              <w:rPr>
                <w:rFonts w:hint="eastAsia" w:ascii="仿宋_GB2312" w:hAnsi="仿宋_GB2312" w:eastAsia="仿宋_GB2312" w:cs="仿宋_GB2312"/>
                <w:color w:val="auto"/>
              </w:rPr>
            </w:pPr>
          </w:p>
        </w:tc>
        <w:tc>
          <w:tcPr>
            <w:tcW w:w="1090"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森林火险因子监测系统</w:t>
            </w: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在重点部位设置森林火险因子预警系统1套，</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牟子镇</w:t>
            </w:r>
          </w:p>
        </w:tc>
        <w:tc>
          <w:tcPr>
            <w:tcW w:w="83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2022-2025</w:t>
            </w:r>
          </w:p>
        </w:tc>
        <w:tc>
          <w:tcPr>
            <w:tcW w:w="123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区自然资源局</w:t>
            </w:r>
          </w:p>
        </w:tc>
        <w:tc>
          <w:tcPr>
            <w:tcW w:w="647" w:type="dxa"/>
            <w:vAlign w:val="center"/>
          </w:tcPr>
          <w:p>
            <w:pPr>
              <w:jc w:val="center"/>
              <w:rPr>
                <w:rFonts w:hint="eastAsia" w:ascii="仿宋_GB2312" w:hAnsi="仿宋_GB2312" w:eastAsia="仿宋_GB2312" w:cs="仿宋_GB2312"/>
                <w:color w:val="auto"/>
                <w:lang w:val="en-US"/>
              </w:rPr>
            </w:pPr>
            <w:r>
              <w:rPr>
                <w:rFonts w:hint="eastAsia" w:ascii="仿宋_GB2312" w:hAnsi="仿宋_GB2312" w:eastAsia="仿宋_GB2312" w:cs="仿宋_GB2312"/>
                <w:color w:val="auto"/>
                <w:lang w:val="en-US" w:eastAsia="zh-CN"/>
              </w:rPr>
              <w:t>40万元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444" w:hRule="atLeast"/>
        </w:trPr>
        <w:tc>
          <w:tcPr>
            <w:tcW w:w="589" w:type="dxa"/>
            <w:vMerge w:val="continue"/>
            <w:vAlign w:val="center"/>
          </w:tcPr>
          <w:p>
            <w:pPr>
              <w:jc w:val="center"/>
              <w:rPr>
                <w:rFonts w:hint="eastAsia" w:ascii="仿宋_GB2312" w:hAnsi="仿宋_GB2312" w:eastAsia="仿宋_GB2312" w:cs="仿宋_GB2312"/>
                <w:color w:val="auto"/>
              </w:rPr>
            </w:pPr>
          </w:p>
        </w:tc>
        <w:tc>
          <w:tcPr>
            <w:tcW w:w="1090"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森林防火信息指挥系统建设</w:t>
            </w: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镇级信息监测站含工作站、大尺寸监视设备、硬盘录像机、通信接入设备、管理机柜、ups、操作台、空调、简易装修、设备安装支架兼瞭望台等，系统安装3套</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牟子镇、悦来镇、棉竹镇</w:t>
            </w:r>
          </w:p>
        </w:tc>
        <w:tc>
          <w:tcPr>
            <w:tcW w:w="83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2022-2025</w:t>
            </w:r>
          </w:p>
        </w:tc>
        <w:tc>
          <w:tcPr>
            <w:tcW w:w="123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区自然资源局</w:t>
            </w:r>
          </w:p>
        </w:tc>
        <w:tc>
          <w:tcPr>
            <w:tcW w:w="647" w:type="dxa"/>
            <w:vAlign w:val="center"/>
          </w:tcPr>
          <w:p>
            <w:pPr>
              <w:jc w:val="center"/>
              <w:rPr>
                <w:rFonts w:hint="eastAsia" w:ascii="仿宋_GB2312" w:hAnsi="仿宋_GB2312" w:eastAsia="仿宋_GB2312" w:cs="仿宋_GB2312"/>
                <w:color w:val="auto"/>
                <w:lang w:val="en-US"/>
              </w:rPr>
            </w:pPr>
            <w:r>
              <w:rPr>
                <w:rFonts w:hint="eastAsia" w:ascii="仿宋_GB2312" w:hAnsi="仿宋_GB2312" w:eastAsia="仿宋_GB2312" w:cs="仿宋_GB2312"/>
                <w:color w:val="auto"/>
                <w:lang w:val="en-US" w:eastAsia="zh-CN"/>
              </w:rPr>
              <w:t>109.5万元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444" w:hRule="atLeast"/>
        </w:trPr>
        <w:tc>
          <w:tcPr>
            <w:tcW w:w="589" w:type="dxa"/>
            <w:vMerge w:val="continue"/>
            <w:vAlign w:val="center"/>
          </w:tcPr>
          <w:p>
            <w:pPr>
              <w:jc w:val="center"/>
              <w:rPr>
                <w:rFonts w:hint="eastAsia" w:ascii="仿宋_GB2312" w:hAnsi="仿宋_GB2312" w:eastAsia="仿宋_GB2312" w:cs="仿宋_GB2312"/>
                <w:color w:val="auto"/>
              </w:rPr>
            </w:pPr>
          </w:p>
        </w:tc>
        <w:tc>
          <w:tcPr>
            <w:tcW w:w="1090" w:type="dxa"/>
            <w:vAlign w:val="center"/>
          </w:tcPr>
          <w:p>
            <w:pPr>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林火阻隔系统建设和森林防火道路</w:t>
            </w:r>
          </w:p>
          <w:p>
            <w:pPr>
              <w:jc w:val="center"/>
              <w:rPr>
                <w:rFonts w:hint="eastAsia" w:ascii="仿宋_GB2312" w:hAnsi="仿宋_GB2312" w:eastAsia="仿宋_GB2312" w:cs="仿宋_GB2312"/>
                <w:color w:val="auto"/>
              </w:rPr>
            </w:pP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建设宽10-50米的组合阻隔带，规划里程15公里，规划新建硬化防火道路36公里、改扩建防火道路71公里</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牟子镇、悦来镇、棉竹镇</w:t>
            </w:r>
          </w:p>
        </w:tc>
        <w:tc>
          <w:tcPr>
            <w:tcW w:w="83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2022-2025</w:t>
            </w:r>
          </w:p>
        </w:tc>
        <w:tc>
          <w:tcPr>
            <w:tcW w:w="123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区自然资源局</w:t>
            </w:r>
          </w:p>
        </w:tc>
        <w:tc>
          <w:tcPr>
            <w:tcW w:w="647" w:type="dxa"/>
            <w:vAlign w:val="center"/>
          </w:tcPr>
          <w:p>
            <w:pPr>
              <w:jc w:val="center"/>
              <w:rPr>
                <w:rFonts w:hint="eastAsia" w:ascii="仿宋_GB2312" w:hAnsi="仿宋_GB2312" w:eastAsia="仿宋_GB2312" w:cs="仿宋_GB2312"/>
                <w:color w:val="auto"/>
                <w:lang w:val="en-US"/>
              </w:rPr>
            </w:pPr>
            <w:r>
              <w:rPr>
                <w:rFonts w:hint="eastAsia" w:ascii="仿宋_GB2312" w:hAnsi="仿宋_GB2312" w:eastAsia="仿宋_GB2312" w:cs="仿宋_GB2312"/>
                <w:color w:val="auto"/>
                <w:lang w:val="en-US" w:eastAsia="zh-CN"/>
              </w:rPr>
              <w:t>1850万元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444" w:hRule="atLeast"/>
        </w:trPr>
        <w:tc>
          <w:tcPr>
            <w:tcW w:w="589" w:type="dxa"/>
            <w:vMerge w:val="continue"/>
            <w:vAlign w:val="center"/>
          </w:tcPr>
          <w:p>
            <w:pPr>
              <w:jc w:val="center"/>
              <w:rPr>
                <w:rFonts w:hint="eastAsia" w:ascii="仿宋_GB2312" w:hAnsi="仿宋_GB2312" w:eastAsia="仿宋_GB2312" w:cs="仿宋_GB2312"/>
                <w:color w:val="auto"/>
              </w:rPr>
            </w:pPr>
          </w:p>
        </w:tc>
        <w:tc>
          <w:tcPr>
            <w:tcW w:w="1090"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森林防火宣传教育工程</w:t>
            </w: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在重点林区新增林区宣传碑3个、宣传牌200块、LED宣传教育警示屏9块；制作防火宣传影像视频1套、宣传手册5万册；森林防火技能培训及森林防火演练每年各1次</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牟子镇、悦来镇、棉竹镇</w:t>
            </w:r>
          </w:p>
        </w:tc>
        <w:tc>
          <w:tcPr>
            <w:tcW w:w="83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2022-2025</w:t>
            </w:r>
          </w:p>
        </w:tc>
        <w:tc>
          <w:tcPr>
            <w:tcW w:w="123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区自然资源局</w:t>
            </w:r>
          </w:p>
        </w:tc>
        <w:tc>
          <w:tcPr>
            <w:tcW w:w="647" w:type="dxa"/>
            <w:vAlign w:val="center"/>
          </w:tcPr>
          <w:p>
            <w:pPr>
              <w:jc w:val="center"/>
              <w:rPr>
                <w:rFonts w:hint="eastAsia" w:ascii="仿宋_GB2312" w:hAnsi="仿宋_GB2312" w:eastAsia="仿宋_GB2312" w:cs="仿宋_GB2312"/>
                <w:color w:val="auto"/>
                <w:lang w:val="en-US"/>
              </w:rPr>
            </w:pPr>
            <w:r>
              <w:rPr>
                <w:rFonts w:hint="eastAsia" w:ascii="仿宋_GB2312" w:hAnsi="仿宋_GB2312" w:eastAsia="仿宋_GB2312" w:cs="仿宋_GB2312"/>
                <w:color w:val="auto"/>
                <w:lang w:val="en-US" w:eastAsia="zh-CN"/>
              </w:rPr>
              <w:t>157万元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444" w:hRule="atLeast"/>
        </w:trPr>
        <w:tc>
          <w:tcPr>
            <w:tcW w:w="589" w:type="dxa"/>
            <w:vMerge w:val="continue"/>
            <w:vAlign w:val="center"/>
          </w:tcPr>
          <w:p>
            <w:pPr>
              <w:jc w:val="center"/>
              <w:rPr>
                <w:rFonts w:hint="eastAsia" w:ascii="仿宋_GB2312" w:hAnsi="仿宋_GB2312" w:eastAsia="仿宋_GB2312" w:cs="仿宋_GB2312"/>
                <w:color w:val="auto"/>
              </w:rPr>
            </w:pPr>
          </w:p>
        </w:tc>
        <w:tc>
          <w:tcPr>
            <w:tcW w:w="1090" w:type="dxa"/>
            <w:vMerge w:val="restart"/>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地质灾害排危除险工程</w:t>
            </w: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对片区内因强降雨、地震、洪涝等引发的地质灾害隐患实施排危除险（根据全区项目申报情况确定）。</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83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2022-2025年</w:t>
            </w:r>
          </w:p>
        </w:tc>
        <w:tc>
          <w:tcPr>
            <w:tcW w:w="1232"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区自然资源局、区应急管理局、区财政局、牟子镇、悦来镇、棉竹镇等。</w:t>
            </w:r>
          </w:p>
        </w:tc>
        <w:tc>
          <w:tcPr>
            <w:tcW w:w="647"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100万元/年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 w:hRule="atLeast"/>
        </w:trPr>
        <w:tc>
          <w:tcPr>
            <w:tcW w:w="589" w:type="dxa"/>
            <w:vMerge w:val="continue"/>
            <w:vAlign w:val="center"/>
          </w:tcPr>
          <w:p>
            <w:pPr>
              <w:jc w:val="center"/>
              <w:rPr>
                <w:rFonts w:hint="eastAsia" w:ascii="仿宋_GB2312" w:hAnsi="仿宋_GB2312" w:eastAsia="仿宋_GB2312" w:cs="仿宋_GB2312"/>
                <w:color w:val="auto"/>
              </w:rPr>
            </w:pPr>
          </w:p>
        </w:tc>
        <w:tc>
          <w:tcPr>
            <w:tcW w:w="1090" w:type="dxa"/>
            <w:vMerge w:val="continue"/>
            <w:vAlign w:val="center"/>
          </w:tcPr>
          <w:p>
            <w:pPr>
              <w:jc w:val="center"/>
              <w:rPr>
                <w:rFonts w:hint="eastAsia" w:ascii="仿宋_GB2312" w:hAnsi="仿宋_GB2312" w:eastAsia="仿宋_GB2312" w:cs="仿宋_GB2312"/>
                <w:color w:val="auto"/>
              </w:rPr>
            </w:pP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牟子镇雷沟村5组毛草湾滑坡工程治理</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牟子镇雷沟村5组</w:t>
            </w:r>
          </w:p>
        </w:tc>
        <w:tc>
          <w:tcPr>
            <w:tcW w:w="83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2022-2023年</w:t>
            </w:r>
          </w:p>
        </w:tc>
        <w:tc>
          <w:tcPr>
            <w:tcW w:w="123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区自然资源局</w:t>
            </w:r>
          </w:p>
        </w:tc>
        <w:tc>
          <w:tcPr>
            <w:tcW w:w="64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90万元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 w:hRule="atLeast"/>
        </w:trPr>
        <w:tc>
          <w:tcPr>
            <w:tcW w:w="589" w:type="dxa"/>
            <w:vMerge w:val="continue"/>
            <w:vAlign w:val="center"/>
          </w:tcPr>
          <w:p>
            <w:pPr>
              <w:jc w:val="center"/>
              <w:rPr>
                <w:rFonts w:hint="eastAsia" w:ascii="仿宋_GB2312" w:hAnsi="仿宋_GB2312" w:eastAsia="仿宋_GB2312" w:cs="仿宋_GB2312"/>
                <w:color w:val="auto"/>
              </w:rPr>
            </w:pPr>
          </w:p>
        </w:tc>
        <w:tc>
          <w:tcPr>
            <w:tcW w:w="1090" w:type="dxa"/>
            <w:vMerge w:val="continue"/>
            <w:vAlign w:val="center"/>
          </w:tcPr>
          <w:p>
            <w:pPr>
              <w:jc w:val="center"/>
              <w:rPr>
                <w:rFonts w:hint="eastAsia" w:ascii="仿宋_GB2312" w:hAnsi="仿宋_GB2312" w:eastAsia="仿宋_GB2312" w:cs="仿宋_GB2312"/>
                <w:color w:val="auto"/>
              </w:rPr>
            </w:pP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牟子镇三峡村12组崩塌排危除险</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牟子镇三峡村12组</w:t>
            </w:r>
          </w:p>
        </w:tc>
        <w:tc>
          <w:tcPr>
            <w:tcW w:w="83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2022-2023年</w:t>
            </w:r>
          </w:p>
        </w:tc>
        <w:tc>
          <w:tcPr>
            <w:tcW w:w="123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区自然资源局</w:t>
            </w:r>
          </w:p>
        </w:tc>
        <w:tc>
          <w:tcPr>
            <w:tcW w:w="64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 w:hRule="atLeast"/>
        </w:trPr>
        <w:tc>
          <w:tcPr>
            <w:tcW w:w="589" w:type="dxa"/>
            <w:vMerge w:val="continue"/>
            <w:vAlign w:val="center"/>
          </w:tcPr>
          <w:p>
            <w:pPr>
              <w:jc w:val="center"/>
              <w:rPr>
                <w:rFonts w:hint="eastAsia" w:ascii="仿宋_GB2312" w:hAnsi="仿宋_GB2312" w:eastAsia="仿宋_GB2312" w:cs="仿宋_GB2312"/>
                <w:color w:val="auto"/>
              </w:rPr>
            </w:pPr>
          </w:p>
        </w:tc>
        <w:tc>
          <w:tcPr>
            <w:tcW w:w="1090" w:type="dxa"/>
            <w:vMerge w:val="continue"/>
            <w:vAlign w:val="center"/>
          </w:tcPr>
          <w:p>
            <w:pPr>
              <w:jc w:val="center"/>
              <w:rPr>
                <w:rFonts w:hint="eastAsia" w:ascii="仿宋_GB2312" w:hAnsi="仿宋_GB2312" w:eastAsia="仿宋_GB2312" w:cs="仿宋_GB2312"/>
                <w:color w:val="auto"/>
              </w:rPr>
            </w:pP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牟子镇板桥村10组崩塌避险搬迁</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牟子镇板桥村10组</w:t>
            </w:r>
          </w:p>
        </w:tc>
        <w:tc>
          <w:tcPr>
            <w:tcW w:w="83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2022-2023年</w:t>
            </w:r>
          </w:p>
        </w:tc>
        <w:tc>
          <w:tcPr>
            <w:tcW w:w="123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eastAsia="zh-CN"/>
              </w:rPr>
              <w:t>区自然资源局</w:t>
            </w:r>
          </w:p>
        </w:tc>
        <w:tc>
          <w:tcPr>
            <w:tcW w:w="64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3.5万元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724" w:hRule="atLeast"/>
        </w:trPr>
        <w:tc>
          <w:tcPr>
            <w:tcW w:w="589" w:type="dxa"/>
            <w:vMerge w:val="continue"/>
            <w:vAlign w:val="center"/>
          </w:tcPr>
          <w:p>
            <w:pPr>
              <w:jc w:val="center"/>
              <w:rPr>
                <w:rFonts w:hint="eastAsia" w:ascii="仿宋_GB2312" w:hAnsi="仿宋_GB2312" w:eastAsia="仿宋_GB2312" w:cs="仿宋_GB2312"/>
                <w:color w:val="auto"/>
              </w:rPr>
            </w:pPr>
          </w:p>
        </w:tc>
        <w:tc>
          <w:tcPr>
            <w:tcW w:w="1090"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水旱灾害防治工程</w:t>
            </w:r>
          </w:p>
        </w:tc>
        <w:tc>
          <w:tcPr>
            <w:tcW w:w="2178"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关子门堰渠道整治水毁14处；渠道渠堤垮塌、外坡滑坡，整治长度2.29km；建筑物1座，整治隧洞长度约1km，渠道12.5km；棉竹镇新建堤防3.5km，整治加固堤防2km；牟子镇新建堤防3.9km；悦来镇新建堤防3.5km，整治加固堤防2km；坡改梯、田间作业道路、整治排水渠道、营造经济林、封禁措施治理、保土耕作；整治改造水库防洪通道10.5km。</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关子门堰渠道涉及镇村、棉竹镇、牟子镇、悦来镇、水库涉及乡镇</w:t>
            </w:r>
          </w:p>
        </w:tc>
        <w:tc>
          <w:tcPr>
            <w:tcW w:w="837" w:type="dxa"/>
            <w:vAlign w:val="center"/>
          </w:tcPr>
          <w:p>
            <w:pPr>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w:t>
            </w:r>
          </w:p>
        </w:tc>
        <w:tc>
          <w:tcPr>
            <w:tcW w:w="742" w:type="dxa"/>
            <w:vAlign w:val="center"/>
          </w:tcPr>
          <w:p>
            <w:pPr>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w:t>
            </w:r>
          </w:p>
        </w:tc>
        <w:tc>
          <w:tcPr>
            <w:tcW w:w="615" w:type="dxa"/>
            <w:vAlign w:val="center"/>
          </w:tcPr>
          <w:p>
            <w:pPr>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2023-2025年</w:t>
            </w:r>
          </w:p>
        </w:tc>
        <w:tc>
          <w:tcPr>
            <w:tcW w:w="1232" w:type="dxa"/>
            <w:vAlign w:val="center"/>
          </w:tcPr>
          <w:p>
            <w:pPr>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区水务局</w:t>
            </w:r>
          </w:p>
        </w:tc>
        <w:tc>
          <w:tcPr>
            <w:tcW w:w="647" w:type="dxa"/>
            <w:vAlign w:val="center"/>
          </w:tcPr>
          <w:p>
            <w:pPr>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40300万元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589" w:type="dxa"/>
            <w:vMerge w:val="restart"/>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应急能力建设重点工程</w:t>
            </w:r>
          </w:p>
        </w:tc>
        <w:tc>
          <w:tcPr>
            <w:tcW w:w="1090"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直升机救援工程</w:t>
            </w:r>
          </w:p>
        </w:tc>
        <w:tc>
          <w:tcPr>
            <w:tcW w:w="2178"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牟子镇古儿坝建设应急救援直升机停机坪，增加应急救援空中力量。</w:t>
            </w:r>
          </w:p>
        </w:tc>
        <w:tc>
          <w:tcPr>
            <w:tcW w:w="1216"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牟子镇古儿坝</w:t>
            </w:r>
          </w:p>
        </w:tc>
        <w:tc>
          <w:tcPr>
            <w:tcW w:w="837"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val="en-US" w:eastAsia="zh-CN"/>
              </w:rPr>
              <w:t>/</w:t>
            </w:r>
          </w:p>
        </w:tc>
        <w:tc>
          <w:tcPr>
            <w:tcW w:w="742"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val="en-US" w:eastAsia="zh-CN"/>
              </w:rPr>
              <w:t>/</w:t>
            </w:r>
          </w:p>
        </w:tc>
        <w:tc>
          <w:tcPr>
            <w:tcW w:w="615"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2022-2035年</w:t>
            </w:r>
          </w:p>
        </w:tc>
        <w:tc>
          <w:tcPr>
            <w:tcW w:w="123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兴嘉集团、牟子镇</w:t>
            </w:r>
          </w:p>
        </w:tc>
        <w:tc>
          <w:tcPr>
            <w:tcW w:w="647"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val="en-US" w:eastAsia="zh-CN"/>
              </w:rPr>
              <w:t>300万元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589" w:type="dxa"/>
            <w:vMerge w:val="continue"/>
            <w:vAlign w:val="center"/>
          </w:tcPr>
          <w:p>
            <w:pPr>
              <w:jc w:val="center"/>
              <w:rPr>
                <w:rFonts w:hint="eastAsia" w:ascii="仿宋_GB2312" w:hAnsi="仿宋_GB2312" w:eastAsia="仿宋_GB2312" w:cs="仿宋_GB2312"/>
                <w:color w:val="auto"/>
              </w:rPr>
            </w:pPr>
          </w:p>
        </w:tc>
        <w:tc>
          <w:tcPr>
            <w:tcW w:w="1090"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消防站建设</w:t>
            </w:r>
          </w:p>
        </w:tc>
        <w:tc>
          <w:tcPr>
            <w:tcW w:w="2178"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val="en-US" w:eastAsia="zh-CN"/>
              </w:rPr>
              <w:t>在牟子镇建设中心消防站（二级），在悦来镇建设小微消防站。</w:t>
            </w:r>
          </w:p>
        </w:tc>
        <w:tc>
          <w:tcPr>
            <w:tcW w:w="1216"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牟子镇槐子村、悦来镇正阳村</w:t>
            </w:r>
          </w:p>
        </w:tc>
        <w:tc>
          <w:tcPr>
            <w:tcW w:w="837"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val="en-US" w:eastAsia="zh-CN"/>
              </w:rPr>
              <w:t>/</w:t>
            </w:r>
          </w:p>
        </w:tc>
        <w:tc>
          <w:tcPr>
            <w:tcW w:w="742"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lang w:val="en-US" w:eastAsia="zh-CN"/>
              </w:rPr>
              <w:t>/</w:t>
            </w:r>
          </w:p>
        </w:tc>
        <w:tc>
          <w:tcPr>
            <w:tcW w:w="615"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2022-2035年</w:t>
            </w:r>
          </w:p>
        </w:tc>
        <w:tc>
          <w:tcPr>
            <w:tcW w:w="123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区消防救援大队</w:t>
            </w:r>
          </w:p>
        </w:tc>
        <w:tc>
          <w:tcPr>
            <w:tcW w:w="647" w:type="dxa"/>
            <w:vAlign w:val="center"/>
          </w:tcPr>
          <w:p>
            <w:pPr>
              <w:jc w:val="center"/>
              <w:rPr>
                <w:rFonts w:hint="eastAsia" w:ascii="仿宋_GB2312" w:hAnsi="仿宋_GB2312" w:eastAsia="仿宋_GB2312" w:cs="仿宋_GB2312"/>
                <w:color w:val="auto"/>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589" w:type="dxa"/>
            <w:vMerge w:val="continue"/>
            <w:vAlign w:val="center"/>
          </w:tcPr>
          <w:p>
            <w:pPr>
              <w:jc w:val="center"/>
              <w:rPr>
                <w:rFonts w:hint="eastAsia" w:ascii="仿宋_GB2312" w:hAnsi="仿宋_GB2312" w:eastAsia="仿宋_GB2312" w:cs="仿宋_GB2312"/>
                <w:color w:val="auto"/>
              </w:rPr>
            </w:pPr>
          </w:p>
        </w:tc>
        <w:tc>
          <w:tcPr>
            <w:tcW w:w="1090"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应急装备工程</w:t>
            </w: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为中心消防救援站配备应急救援的大型、特种和先进适用装备，为应急队、应急分队配备必要抢险救援、个人防护装备。</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中心消防救援站、各镇、各村（社区）。</w:t>
            </w:r>
          </w:p>
        </w:tc>
        <w:tc>
          <w:tcPr>
            <w:tcW w:w="83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2022-2025年</w:t>
            </w:r>
          </w:p>
        </w:tc>
        <w:tc>
          <w:tcPr>
            <w:tcW w:w="123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区应急管理局、区消防救援大队、牟子镇、悦来镇、棉竹镇。</w:t>
            </w:r>
          </w:p>
        </w:tc>
        <w:tc>
          <w:tcPr>
            <w:tcW w:w="647"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500万元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589" w:type="dxa"/>
            <w:vMerge w:val="continue"/>
            <w:vAlign w:val="center"/>
          </w:tcPr>
          <w:p>
            <w:pPr>
              <w:jc w:val="center"/>
              <w:rPr>
                <w:rFonts w:hint="eastAsia" w:ascii="仿宋_GB2312" w:hAnsi="仿宋_GB2312" w:eastAsia="仿宋_GB2312" w:cs="仿宋_GB2312"/>
                <w:color w:val="auto"/>
              </w:rPr>
            </w:pPr>
          </w:p>
        </w:tc>
        <w:tc>
          <w:tcPr>
            <w:tcW w:w="1090"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通讯保障工程</w:t>
            </w: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为轻骑兵、应急队、应急分队配备对讲机或卫星电话及其他信息化通讯保障设备。</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各镇、各村（社区）</w:t>
            </w:r>
          </w:p>
        </w:tc>
        <w:tc>
          <w:tcPr>
            <w:tcW w:w="837"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2022-2035年</w:t>
            </w:r>
          </w:p>
        </w:tc>
        <w:tc>
          <w:tcPr>
            <w:tcW w:w="1232" w:type="dxa"/>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区应急管理局、区消防救援大队、牟子镇、悦来镇、棉竹镇。</w:t>
            </w:r>
          </w:p>
        </w:tc>
        <w:tc>
          <w:tcPr>
            <w:tcW w:w="647"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500万元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589" w:type="dxa"/>
            <w:vMerge w:val="continue"/>
            <w:vAlign w:val="center"/>
          </w:tcPr>
          <w:p>
            <w:pPr>
              <w:jc w:val="center"/>
              <w:rPr>
                <w:rFonts w:hint="eastAsia" w:ascii="仿宋_GB2312" w:hAnsi="仿宋_GB2312" w:eastAsia="仿宋_GB2312" w:cs="仿宋_GB2312"/>
                <w:color w:val="auto"/>
              </w:rPr>
            </w:pPr>
          </w:p>
        </w:tc>
        <w:tc>
          <w:tcPr>
            <w:tcW w:w="1090"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物资储备点建设工程</w:t>
            </w: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物资储备点场地改造，配备托盘、防潮设施，制度上墙等。</w:t>
            </w:r>
          </w:p>
        </w:tc>
        <w:tc>
          <w:tcPr>
            <w:tcW w:w="1216"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rPr>
              <w:t>乐山市市中区牟子镇龙马路939号；乐山市市中区</w:t>
            </w:r>
            <w:r>
              <w:rPr>
                <w:rFonts w:hint="eastAsia" w:ascii="仿宋_GB2312" w:hAnsi="仿宋_GB2312" w:eastAsia="仿宋_GB2312" w:cs="仿宋_GB2312"/>
                <w:color w:val="auto"/>
                <w:lang w:val="en-US" w:eastAsia="zh-CN"/>
              </w:rPr>
              <w:t>悦来镇</w:t>
            </w:r>
            <w:r>
              <w:rPr>
                <w:rFonts w:hint="eastAsia" w:ascii="仿宋_GB2312" w:hAnsi="仿宋_GB2312" w:eastAsia="仿宋_GB2312" w:cs="仿宋_GB2312"/>
                <w:color w:val="auto"/>
              </w:rPr>
              <w:t>悦来街181号；乐山市市中区牡丹路507号。</w:t>
            </w:r>
          </w:p>
        </w:tc>
        <w:tc>
          <w:tcPr>
            <w:tcW w:w="83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2022-2035年</w:t>
            </w:r>
          </w:p>
        </w:tc>
        <w:tc>
          <w:tcPr>
            <w:tcW w:w="123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区应急管理局、</w:t>
            </w:r>
            <w:r>
              <w:rPr>
                <w:rFonts w:hint="eastAsia" w:ascii="仿宋_GB2312" w:hAnsi="仿宋_GB2312" w:eastAsia="仿宋_GB2312" w:cs="仿宋_GB2312"/>
                <w:color w:val="auto"/>
                <w:lang w:eastAsia="zh-CN"/>
              </w:rPr>
              <w:t>区发改局、</w:t>
            </w:r>
            <w:r>
              <w:rPr>
                <w:rFonts w:hint="eastAsia" w:ascii="仿宋_GB2312" w:hAnsi="仿宋_GB2312" w:eastAsia="仿宋_GB2312" w:cs="仿宋_GB2312"/>
                <w:color w:val="auto"/>
              </w:rPr>
              <w:t>区财政局、区国资局、牟子镇、悦来镇、棉竹镇等相关单位。</w:t>
            </w:r>
          </w:p>
        </w:tc>
        <w:tc>
          <w:tcPr>
            <w:tcW w:w="64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350万元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 w:hRule="atLeast"/>
        </w:trPr>
        <w:tc>
          <w:tcPr>
            <w:tcW w:w="589" w:type="dxa"/>
            <w:vMerge w:val="continue"/>
            <w:vAlign w:val="center"/>
          </w:tcPr>
          <w:p>
            <w:pPr>
              <w:jc w:val="center"/>
              <w:rPr>
                <w:rFonts w:hint="eastAsia" w:ascii="仿宋_GB2312" w:hAnsi="仿宋_GB2312" w:eastAsia="仿宋_GB2312" w:cs="仿宋_GB2312"/>
                <w:color w:val="auto"/>
              </w:rPr>
            </w:pPr>
          </w:p>
        </w:tc>
        <w:tc>
          <w:tcPr>
            <w:tcW w:w="1090"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应急避难场所建设工程</w:t>
            </w: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维修房屋、水电改造、购买住宿用品，储备救灾物资等。</w:t>
            </w:r>
          </w:p>
        </w:tc>
        <w:tc>
          <w:tcPr>
            <w:tcW w:w="1216" w:type="dxa"/>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乐山市市中区簸箕街48号；乐山市市中区</w:t>
            </w:r>
            <w:r>
              <w:rPr>
                <w:rFonts w:hint="eastAsia" w:ascii="仿宋_GB2312" w:hAnsi="仿宋_GB2312" w:eastAsia="仿宋_GB2312" w:cs="仿宋_GB2312"/>
                <w:color w:val="auto"/>
                <w:lang w:val="en-US" w:eastAsia="zh-CN"/>
              </w:rPr>
              <w:t>悦来镇</w:t>
            </w:r>
            <w:r>
              <w:rPr>
                <w:rFonts w:hint="eastAsia" w:ascii="仿宋_GB2312" w:hAnsi="仿宋_GB2312" w:eastAsia="仿宋_GB2312" w:cs="仿宋_GB2312"/>
                <w:color w:val="auto"/>
              </w:rPr>
              <w:t>乐青路悦来客运站北侧约90米；乐山市市中区百合街39号；乐山市市中区悦来镇荔枝弯村村民委员会；乐山市市中区悦来镇正阳村村民委员会；乐山市市中区牟子镇苏坪村村民委员会；乐山市市中区牟子镇牟子场社区居民委员会；片区内的绿地、公园广场、交通主干道、公共服务设施、大型空旷空闲用地等。</w:t>
            </w:r>
          </w:p>
        </w:tc>
        <w:tc>
          <w:tcPr>
            <w:tcW w:w="837"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2022-2035年</w:t>
            </w:r>
          </w:p>
        </w:tc>
        <w:tc>
          <w:tcPr>
            <w:tcW w:w="1232"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区应急管理局、区住建局、区国资局、牟子镇、悦来镇、棉竹镇等相关单位。</w:t>
            </w:r>
          </w:p>
        </w:tc>
        <w:tc>
          <w:tcPr>
            <w:tcW w:w="647" w:type="dxa"/>
            <w:vAlign w:val="center"/>
          </w:tcPr>
          <w:p>
            <w:pPr>
              <w:jc w:val="center"/>
              <w:rPr>
                <w:rFonts w:hint="eastAsia" w:ascii="仿宋_GB2312" w:hAnsi="仿宋_GB2312" w:eastAsia="仿宋_GB2312" w:cs="仿宋_GB2312"/>
                <w:color w:val="auto"/>
                <w:kern w:val="2"/>
                <w:sz w:val="21"/>
                <w:szCs w:val="24"/>
                <w:lang w:val="en-US" w:eastAsia="zh-CN" w:bidi="ar-SA"/>
              </w:rPr>
            </w:pPr>
            <w:r>
              <w:rPr>
                <w:rFonts w:hint="eastAsia" w:ascii="仿宋_GB2312" w:hAnsi="仿宋_GB2312" w:eastAsia="仿宋_GB2312" w:cs="仿宋_GB2312"/>
                <w:color w:val="auto"/>
              </w:rPr>
              <w:t>400万元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 w:hRule="atLeast"/>
        </w:trPr>
        <w:tc>
          <w:tcPr>
            <w:tcW w:w="589" w:type="dxa"/>
            <w:vMerge w:val="restart"/>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先进技术应用重点工程</w:t>
            </w:r>
          </w:p>
        </w:tc>
        <w:tc>
          <w:tcPr>
            <w:tcW w:w="1090"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应急广播工程</w:t>
            </w: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升级、改造牟子镇、悦来镇、棉竹镇各村（社区）现有“村村大喇叭”，提升灾害预警信息传播功能和应急管理、安全生产、防灾减灾宣传功能。</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牟子镇、悦来镇、棉竹镇全部村（社区）。</w:t>
            </w:r>
          </w:p>
        </w:tc>
        <w:tc>
          <w:tcPr>
            <w:tcW w:w="83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2022-2025年</w:t>
            </w:r>
          </w:p>
        </w:tc>
        <w:tc>
          <w:tcPr>
            <w:tcW w:w="123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区委宣传部、区文体旅游局、区应急管理局、牟子镇、悦来镇、棉竹镇等相关部门。</w:t>
            </w:r>
          </w:p>
        </w:tc>
        <w:tc>
          <w:tcPr>
            <w:tcW w:w="64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3</w:t>
            </w:r>
            <w:r>
              <w:rPr>
                <w:rFonts w:hint="eastAsia" w:ascii="仿宋_GB2312" w:hAnsi="仿宋_GB2312" w:eastAsia="仿宋_GB2312" w:cs="仿宋_GB2312"/>
                <w:color w:val="auto"/>
              </w:rPr>
              <w:t>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589" w:type="dxa"/>
            <w:vMerge w:val="continue"/>
            <w:vAlign w:val="center"/>
          </w:tcPr>
          <w:p>
            <w:pPr>
              <w:jc w:val="center"/>
              <w:rPr>
                <w:rFonts w:hint="eastAsia" w:ascii="仿宋_GB2312" w:hAnsi="仿宋_GB2312" w:eastAsia="仿宋_GB2312" w:cs="仿宋_GB2312"/>
                <w:color w:val="auto"/>
              </w:rPr>
            </w:pPr>
          </w:p>
        </w:tc>
        <w:tc>
          <w:tcPr>
            <w:tcW w:w="1090"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应急指挥分中心</w:t>
            </w: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依托片区内各镇政府，建立应急指挥分中心，配备应急指挥终端、单兵装备5套，侦察无人机1台，汇聚企业生产安全风险、自然灾害风险等数据，接入区应急指挥中心。</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各镇政府内</w:t>
            </w:r>
          </w:p>
        </w:tc>
        <w:tc>
          <w:tcPr>
            <w:tcW w:w="83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2022-2025年</w:t>
            </w:r>
          </w:p>
        </w:tc>
        <w:tc>
          <w:tcPr>
            <w:tcW w:w="123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区应急管理局、牟子镇、悦来镇、棉竹镇等。</w:t>
            </w:r>
          </w:p>
        </w:tc>
        <w:tc>
          <w:tcPr>
            <w:tcW w:w="64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300万元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589" w:type="dxa"/>
            <w:vMerge w:val="restart"/>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共建共治共享重点工程</w:t>
            </w:r>
          </w:p>
        </w:tc>
        <w:tc>
          <w:tcPr>
            <w:tcW w:w="1090"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荔枝弯应急科普宣传专栏工程</w:t>
            </w: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建设一个</w:t>
            </w:r>
            <w:r>
              <w:rPr>
                <w:rFonts w:hint="eastAsia" w:ascii="仿宋_GB2312" w:hAnsi="仿宋_GB2312" w:eastAsia="仿宋_GB2312" w:cs="仿宋_GB2312"/>
                <w:color w:val="auto"/>
                <w:lang w:val="en-US" w:eastAsia="zh-CN"/>
              </w:rPr>
              <w:t>150</w:t>
            </w:r>
            <w:r>
              <w:rPr>
                <w:rFonts w:hint="eastAsia" w:ascii="仿宋_GB2312" w:hAnsi="仿宋_GB2312" w:eastAsia="仿宋_GB2312" w:cs="仿宋_GB2312"/>
                <w:color w:val="auto"/>
              </w:rPr>
              <w:t>米的应急宣传长廊。</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四川省乐山市市中区悦来镇荔枝弯</w:t>
            </w:r>
          </w:p>
        </w:tc>
        <w:tc>
          <w:tcPr>
            <w:tcW w:w="83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2022-2035年</w:t>
            </w:r>
          </w:p>
        </w:tc>
        <w:tc>
          <w:tcPr>
            <w:tcW w:w="123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悦来镇</w:t>
            </w:r>
          </w:p>
        </w:tc>
        <w:tc>
          <w:tcPr>
            <w:tcW w:w="647" w:type="dxa"/>
            <w:vAlign w:val="center"/>
          </w:tcPr>
          <w:p>
            <w:pPr>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589" w:type="dxa"/>
            <w:vMerge w:val="continue"/>
            <w:vAlign w:val="center"/>
          </w:tcPr>
          <w:p>
            <w:pPr>
              <w:jc w:val="center"/>
              <w:rPr>
                <w:rFonts w:hint="eastAsia" w:ascii="仿宋_GB2312" w:hAnsi="仿宋_GB2312" w:eastAsia="仿宋_GB2312" w:cs="仿宋_GB2312"/>
                <w:color w:val="auto"/>
              </w:rPr>
            </w:pPr>
          </w:p>
        </w:tc>
        <w:tc>
          <w:tcPr>
            <w:tcW w:w="1090"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古儿坝设置应急科普宣传专栏工程</w:t>
            </w: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建设一个</w:t>
            </w:r>
            <w:r>
              <w:rPr>
                <w:rFonts w:hint="eastAsia" w:ascii="仿宋_GB2312" w:hAnsi="仿宋_GB2312" w:eastAsia="仿宋_GB2312" w:cs="仿宋_GB2312"/>
                <w:color w:val="auto"/>
                <w:lang w:val="en-US" w:eastAsia="zh-CN"/>
              </w:rPr>
              <w:t>150</w:t>
            </w:r>
            <w:r>
              <w:rPr>
                <w:rFonts w:hint="eastAsia" w:ascii="仿宋_GB2312" w:hAnsi="仿宋_GB2312" w:eastAsia="仿宋_GB2312" w:cs="仿宋_GB2312"/>
                <w:color w:val="auto"/>
              </w:rPr>
              <w:t>米的应急宣传长廊。</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牟子镇古儿坝乡村旅游点</w:t>
            </w:r>
          </w:p>
        </w:tc>
        <w:tc>
          <w:tcPr>
            <w:tcW w:w="83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2022-2035年</w:t>
            </w:r>
          </w:p>
        </w:tc>
        <w:tc>
          <w:tcPr>
            <w:tcW w:w="123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牟子镇</w:t>
            </w:r>
          </w:p>
        </w:tc>
        <w:tc>
          <w:tcPr>
            <w:tcW w:w="647" w:type="dxa"/>
            <w:vAlign w:val="center"/>
          </w:tcPr>
          <w:p>
            <w:pPr>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c>
          <w:tcPr>
            <w:tcW w:w="589" w:type="dxa"/>
            <w:vMerge w:val="continue"/>
            <w:vAlign w:val="center"/>
          </w:tcPr>
          <w:p>
            <w:pPr>
              <w:jc w:val="center"/>
              <w:rPr>
                <w:rFonts w:hint="eastAsia" w:ascii="仿宋_GB2312" w:hAnsi="仿宋_GB2312" w:eastAsia="仿宋_GB2312" w:cs="仿宋_GB2312"/>
                <w:color w:val="auto"/>
              </w:rPr>
            </w:pPr>
          </w:p>
        </w:tc>
        <w:tc>
          <w:tcPr>
            <w:tcW w:w="1090" w:type="dxa"/>
            <w:vAlign w:val="center"/>
          </w:tcPr>
          <w:p>
            <w:pPr>
              <w:jc w:val="cente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t>创建综合减灾示范社区</w:t>
            </w:r>
          </w:p>
        </w:tc>
        <w:tc>
          <w:tcPr>
            <w:tcW w:w="2178"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lang w:val="en-US" w:eastAsia="zh-CN"/>
              </w:rPr>
              <w:t>片区中心镇牟子镇优先创建国家级综合减灾示范社区，带动片区其他镇做好创建工作。</w:t>
            </w:r>
          </w:p>
        </w:tc>
        <w:tc>
          <w:tcPr>
            <w:tcW w:w="1216"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牟子镇、悦来镇、棉竹镇</w:t>
            </w:r>
          </w:p>
        </w:tc>
        <w:tc>
          <w:tcPr>
            <w:tcW w:w="83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74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c>
          <w:tcPr>
            <w:tcW w:w="615"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2022-2035年</w:t>
            </w:r>
          </w:p>
        </w:tc>
        <w:tc>
          <w:tcPr>
            <w:tcW w:w="1232"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牟子镇、悦来镇、棉竹镇</w:t>
            </w:r>
          </w:p>
        </w:tc>
        <w:tc>
          <w:tcPr>
            <w:tcW w:w="647" w:type="dxa"/>
            <w:vAlign w:val="center"/>
          </w:tcPr>
          <w:p>
            <w:pPr>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w:t>
            </w:r>
          </w:p>
        </w:tc>
      </w:tr>
      <w:bookmarkEnd w:id="47"/>
    </w:tbl>
    <w:p>
      <w:pPr>
        <w:rPr>
          <w:rFonts w:hint="eastAsia" w:ascii="仿宋_GB2312" w:hAnsi="仿宋_GB2312" w:eastAsia="仿宋_GB2312" w:cs="仿宋_GB2312"/>
          <w:b/>
          <w:bCs/>
          <w:color w:val="auto"/>
          <w:sz w:val="32"/>
          <w:szCs w:val="32"/>
          <w:highlight w:val="none"/>
          <w:lang w:val="en-US" w:eastAsia="zh-CN"/>
        </w:rPr>
      </w:pPr>
      <w:r>
        <w:rPr>
          <w:rFonts w:hint="eastAsia" w:ascii="仿宋_GB2312" w:hAnsi="仿宋_GB2312" w:eastAsia="仿宋_GB2312" w:cs="仿宋_GB2312"/>
          <w:b/>
          <w:bCs/>
          <w:color w:val="auto"/>
          <w:sz w:val="32"/>
          <w:szCs w:val="32"/>
          <w:highlight w:val="none"/>
          <w:lang w:val="en-US" w:eastAsia="zh-CN"/>
        </w:rPr>
        <w:br w:type="page"/>
      </w:r>
    </w:p>
    <w:p>
      <w:pPr>
        <w:pStyle w:val="4"/>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0"/>
        <w:rPr>
          <w:rFonts w:hint="eastAsia" w:ascii="仿宋_GB2312" w:hAnsi="仿宋_GB2312" w:eastAsia="仿宋_GB2312" w:cs="仿宋_GB2312"/>
          <w:b/>
          <w:bCs/>
          <w:color w:val="auto"/>
          <w:lang w:val="en-US" w:eastAsia="zh-CN"/>
        </w:rPr>
      </w:pPr>
      <w:bookmarkStart w:id="48" w:name="_Toc31488"/>
      <w:r>
        <w:rPr>
          <w:rFonts w:hint="eastAsia" w:ascii="仿宋_GB2312" w:hAnsi="仿宋_GB2312" w:eastAsia="仿宋_GB2312" w:cs="仿宋_GB2312"/>
          <w:b/>
          <w:bCs/>
          <w:color w:val="auto"/>
        </w:rPr>
        <w:t>附图</w:t>
      </w:r>
      <w:r>
        <w:rPr>
          <w:rFonts w:hint="eastAsia" w:ascii="仿宋_GB2312" w:hAnsi="仿宋_GB2312" w:eastAsia="仿宋_GB2312" w:cs="仿宋_GB2312"/>
          <w:b/>
          <w:bCs/>
          <w:color w:val="auto"/>
          <w:lang w:val="en-US" w:eastAsia="zh-CN"/>
        </w:rPr>
        <w:t>1</w:t>
      </w:r>
      <w:bookmarkEnd w:id="48"/>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ascii="仿宋_GB2312" w:hAnsi="仿宋_GB2312" w:eastAsia="仿宋_GB2312" w:cs="仿宋_GB2312"/>
          <w:b/>
          <w:bCs/>
          <w:color w:val="auto"/>
          <w:lang w:val="en-US" w:eastAsia="zh-CN"/>
        </w:rPr>
      </w:pPr>
      <w:bookmarkStart w:id="49" w:name="_Toc30037"/>
      <w:r>
        <w:rPr>
          <w:rFonts w:hint="eastAsia" w:ascii="仿宋_GB2312" w:hAnsi="仿宋_GB2312" w:eastAsia="仿宋_GB2312" w:cs="仿宋_GB2312"/>
          <w:b/>
          <w:bCs/>
          <w:color w:val="auto"/>
          <w:lang w:val="en-US" w:eastAsia="zh-CN"/>
        </w:rPr>
        <w:t>片区安全生产风险分布图</w:t>
      </w:r>
      <w:bookmarkEnd w:id="49"/>
    </w:p>
    <w:bookmarkEnd w:id="9"/>
    <w:p>
      <w:pP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drawing>
          <wp:inline distT="0" distB="0" distL="114300" distR="114300">
            <wp:extent cx="5393690" cy="7625715"/>
            <wp:effectExtent l="0" t="0" r="16510" b="13335"/>
            <wp:docPr id="1" name="图片 1" descr="平羌01安全生产风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平羌01安全生产风险分布图"/>
                    <pic:cNvPicPr>
                      <a:picLocks noChangeAspect="1"/>
                    </pic:cNvPicPr>
                  </pic:nvPicPr>
                  <pic:blipFill>
                    <a:blip r:embed="rId6"/>
                    <a:stretch>
                      <a:fillRect/>
                    </a:stretch>
                  </pic:blipFill>
                  <pic:spPr>
                    <a:xfrm>
                      <a:off x="0" y="0"/>
                      <a:ext cx="5393690" cy="7625715"/>
                    </a:xfrm>
                    <a:prstGeom prst="rect">
                      <a:avLst/>
                    </a:prstGeom>
                  </pic:spPr>
                </pic:pic>
              </a:graphicData>
            </a:graphic>
          </wp:inline>
        </w:drawing>
      </w:r>
    </w:p>
    <w:p>
      <w:pPr>
        <w:rPr>
          <w:rFonts w:hint="eastAsia" w:ascii="仿宋_GB2312" w:hAnsi="仿宋_GB2312" w:eastAsia="仿宋_GB2312" w:cs="仿宋_GB2312"/>
          <w:color w:val="auto"/>
          <w:lang w:eastAsia="zh-CN"/>
        </w:rPr>
      </w:pPr>
      <w:r>
        <w:rPr>
          <w:rFonts w:hint="eastAsia" w:ascii="仿宋_GB2312" w:hAnsi="仿宋_GB2312" w:eastAsia="仿宋_GB2312" w:cs="仿宋_GB2312"/>
          <w:color w:val="auto"/>
          <w:lang w:eastAsia="zh-CN"/>
        </w:rPr>
        <w:br w:type="page"/>
      </w:r>
    </w:p>
    <w:p>
      <w:pPr>
        <w:pStyle w:val="4"/>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0"/>
        <w:rPr>
          <w:rFonts w:hint="eastAsia" w:ascii="仿宋_GB2312" w:hAnsi="仿宋_GB2312" w:eastAsia="仿宋_GB2312" w:cs="仿宋_GB2312"/>
          <w:b/>
          <w:bCs/>
          <w:color w:val="auto"/>
          <w:lang w:val="en-US" w:eastAsia="zh-CN"/>
        </w:rPr>
      </w:pPr>
      <w:bookmarkStart w:id="50" w:name="_Toc30168"/>
      <w:r>
        <w:rPr>
          <w:rFonts w:hint="eastAsia" w:ascii="仿宋_GB2312" w:hAnsi="仿宋_GB2312" w:eastAsia="仿宋_GB2312" w:cs="仿宋_GB2312"/>
          <w:b/>
          <w:bCs/>
          <w:color w:val="auto"/>
        </w:rPr>
        <w:t>附图</w:t>
      </w:r>
      <w:r>
        <w:rPr>
          <w:rFonts w:hint="eastAsia" w:ascii="仿宋_GB2312" w:hAnsi="仿宋_GB2312" w:eastAsia="仿宋_GB2312" w:cs="仿宋_GB2312"/>
          <w:b/>
          <w:bCs/>
          <w:color w:val="auto"/>
          <w:lang w:val="en-US" w:eastAsia="zh-CN"/>
        </w:rPr>
        <w:t>2</w:t>
      </w:r>
      <w:bookmarkEnd w:id="50"/>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ascii="仿宋_GB2312" w:hAnsi="仿宋_GB2312" w:eastAsia="仿宋_GB2312" w:cs="仿宋_GB2312"/>
          <w:b/>
          <w:bCs/>
          <w:color w:val="auto"/>
          <w:lang w:val="en-US" w:eastAsia="zh-CN"/>
        </w:rPr>
      </w:pPr>
      <w:bookmarkStart w:id="51" w:name="_Toc10420"/>
      <w:r>
        <w:rPr>
          <w:rFonts w:hint="eastAsia" w:ascii="仿宋_GB2312" w:hAnsi="仿宋_GB2312" w:eastAsia="仿宋_GB2312" w:cs="仿宋_GB2312"/>
          <w:b/>
          <w:bCs/>
          <w:color w:val="auto"/>
          <w:lang w:val="en-US" w:eastAsia="zh-CN"/>
        </w:rPr>
        <w:t>片区自然灾害风险分布图</w:t>
      </w:r>
      <w:bookmarkEnd w:id="51"/>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358130" cy="7574915"/>
            <wp:effectExtent l="0" t="0" r="13970" b="6985"/>
            <wp:docPr id="3" name="图片 3" descr="平羌02自然灾害风险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平羌02自然灾害风险分布图"/>
                    <pic:cNvPicPr>
                      <a:picLocks noChangeAspect="1"/>
                    </pic:cNvPicPr>
                  </pic:nvPicPr>
                  <pic:blipFill>
                    <a:blip r:embed="rId7"/>
                    <a:stretch>
                      <a:fillRect/>
                    </a:stretch>
                  </pic:blipFill>
                  <pic:spPr>
                    <a:xfrm>
                      <a:off x="0" y="0"/>
                      <a:ext cx="5358130" cy="7574915"/>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0"/>
        <w:rPr>
          <w:rFonts w:hint="eastAsia" w:ascii="仿宋_GB2312" w:hAnsi="仿宋_GB2312" w:eastAsia="仿宋_GB2312" w:cs="仿宋_GB2312"/>
          <w:b/>
          <w:bCs/>
          <w:color w:val="auto"/>
          <w:lang w:val="en-US" w:eastAsia="zh-CN"/>
        </w:rPr>
      </w:pPr>
      <w:bookmarkStart w:id="52" w:name="_Toc10789"/>
      <w:r>
        <w:rPr>
          <w:rFonts w:hint="eastAsia" w:ascii="仿宋_GB2312" w:hAnsi="仿宋_GB2312" w:eastAsia="仿宋_GB2312" w:cs="仿宋_GB2312"/>
          <w:b/>
          <w:bCs/>
          <w:color w:val="auto"/>
        </w:rPr>
        <w:t>附图</w:t>
      </w:r>
      <w:r>
        <w:rPr>
          <w:rFonts w:hint="eastAsia" w:ascii="仿宋_GB2312" w:hAnsi="仿宋_GB2312" w:eastAsia="仿宋_GB2312" w:cs="仿宋_GB2312"/>
          <w:b/>
          <w:bCs/>
          <w:color w:val="auto"/>
          <w:lang w:val="en-US" w:eastAsia="zh-CN"/>
        </w:rPr>
        <w:t>3</w:t>
      </w:r>
      <w:bookmarkEnd w:id="52"/>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ascii="仿宋_GB2312" w:hAnsi="仿宋_GB2312" w:eastAsia="仿宋_GB2312" w:cs="仿宋_GB2312"/>
          <w:b/>
          <w:bCs/>
          <w:color w:val="auto"/>
          <w:lang w:val="en-US" w:eastAsia="zh-CN"/>
        </w:rPr>
      </w:pPr>
      <w:bookmarkStart w:id="53" w:name="_Toc29238"/>
      <w:r>
        <w:rPr>
          <w:rFonts w:hint="eastAsia" w:ascii="仿宋_GB2312" w:hAnsi="仿宋_GB2312" w:eastAsia="仿宋_GB2312" w:cs="仿宋_GB2312"/>
          <w:b/>
          <w:bCs/>
          <w:color w:val="auto"/>
          <w:lang w:val="en-US" w:eastAsia="zh-CN"/>
        </w:rPr>
        <w:t>片区主要防坑救设施现状分布图</w:t>
      </w:r>
      <w:bookmarkEnd w:id="53"/>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393690" cy="7623810"/>
            <wp:effectExtent l="0" t="0" r="16510" b="15240"/>
            <wp:docPr id="4" name="图片 4" descr="平羌03主要防抗救设施现状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平羌03主要防抗救设施现状分布图"/>
                    <pic:cNvPicPr>
                      <a:picLocks noChangeAspect="1"/>
                    </pic:cNvPicPr>
                  </pic:nvPicPr>
                  <pic:blipFill>
                    <a:blip r:embed="rId8"/>
                    <a:stretch>
                      <a:fillRect/>
                    </a:stretch>
                  </pic:blipFill>
                  <pic:spPr>
                    <a:xfrm>
                      <a:off x="0" y="0"/>
                      <a:ext cx="5393690" cy="7623810"/>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0"/>
        <w:rPr>
          <w:rFonts w:hint="eastAsia" w:ascii="仿宋_GB2312" w:hAnsi="仿宋_GB2312" w:eastAsia="仿宋_GB2312" w:cs="仿宋_GB2312"/>
          <w:b/>
          <w:bCs/>
          <w:color w:val="auto"/>
          <w:lang w:val="en-US" w:eastAsia="zh-CN"/>
        </w:rPr>
      </w:pPr>
      <w:bookmarkStart w:id="54" w:name="_Toc9605"/>
      <w:r>
        <w:rPr>
          <w:rFonts w:hint="eastAsia" w:ascii="仿宋_GB2312" w:hAnsi="仿宋_GB2312" w:eastAsia="仿宋_GB2312" w:cs="仿宋_GB2312"/>
          <w:b/>
          <w:bCs/>
          <w:color w:val="auto"/>
        </w:rPr>
        <w:t>附图</w:t>
      </w:r>
      <w:r>
        <w:rPr>
          <w:rFonts w:hint="eastAsia" w:ascii="仿宋_GB2312" w:hAnsi="仿宋_GB2312" w:eastAsia="仿宋_GB2312" w:cs="仿宋_GB2312"/>
          <w:b/>
          <w:bCs/>
          <w:color w:val="auto"/>
          <w:lang w:val="en-US" w:eastAsia="zh-CN"/>
        </w:rPr>
        <w:t>4</w:t>
      </w:r>
      <w:bookmarkEnd w:id="54"/>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ascii="仿宋_GB2312" w:hAnsi="仿宋_GB2312" w:eastAsia="仿宋_GB2312" w:cs="仿宋_GB2312"/>
          <w:b/>
          <w:bCs/>
          <w:color w:val="auto"/>
          <w:lang w:val="en-US" w:eastAsia="zh-CN"/>
        </w:rPr>
      </w:pPr>
      <w:bookmarkStart w:id="55" w:name="_Toc22271"/>
      <w:r>
        <w:rPr>
          <w:rFonts w:hint="eastAsia" w:ascii="仿宋_GB2312" w:hAnsi="仿宋_GB2312" w:eastAsia="仿宋_GB2312" w:cs="仿宋_GB2312"/>
          <w:b/>
          <w:bCs/>
          <w:color w:val="auto"/>
          <w:lang w:val="en-US" w:eastAsia="zh-CN"/>
        </w:rPr>
        <w:t>片区应急救援队伍分布图</w:t>
      </w:r>
      <w:bookmarkEnd w:id="55"/>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381625" cy="7608570"/>
            <wp:effectExtent l="0" t="0" r="9525" b="11430"/>
            <wp:docPr id="5" name="图片 5" descr="平羌04应急救援队伍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平羌04应急救援队伍分布图"/>
                    <pic:cNvPicPr>
                      <a:picLocks noChangeAspect="1"/>
                    </pic:cNvPicPr>
                  </pic:nvPicPr>
                  <pic:blipFill>
                    <a:blip r:embed="rId9"/>
                    <a:stretch>
                      <a:fillRect/>
                    </a:stretch>
                  </pic:blipFill>
                  <pic:spPr>
                    <a:xfrm>
                      <a:off x="0" y="0"/>
                      <a:ext cx="5381625" cy="7608570"/>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0"/>
        <w:rPr>
          <w:rFonts w:hint="eastAsia" w:ascii="仿宋_GB2312" w:hAnsi="仿宋_GB2312" w:eastAsia="仿宋_GB2312" w:cs="仿宋_GB2312"/>
          <w:b/>
          <w:bCs/>
          <w:color w:val="auto"/>
          <w:lang w:val="en-US" w:eastAsia="zh-CN"/>
        </w:rPr>
      </w:pPr>
      <w:bookmarkStart w:id="56" w:name="_Toc22154"/>
      <w:r>
        <w:rPr>
          <w:rFonts w:hint="eastAsia" w:ascii="仿宋_GB2312" w:hAnsi="仿宋_GB2312" w:eastAsia="仿宋_GB2312" w:cs="仿宋_GB2312"/>
          <w:b/>
          <w:bCs/>
          <w:color w:val="auto"/>
        </w:rPr>
        <w:t>附图</w:t>
      </w:r>
      <w:r>
        <w:rPr>
          <w:rFonts w:hint="eastAsia" w:ascii="仿宋_GB2312" w:hAnsi="仿宋_GB2312" w:eastAsia="仿宋_GB2312" w:cs="仿宋_GB2312"/>
          <w:b/>
          <w:bCs/>
          <w:color w:val="auto"/>
          <w:lang w:val="en-US" w:eastAsia="zh-CN"/>
        </w:rPr>
        <w:t>5</w:t>
      </w:r>
      <w:bookmarkEnd w:id="56"/>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ascii="仿宋_GB2312" w:hAnsi="仿宋_GB2312" w:eastAsia="仿宋_GB2312" w:cs="仿宋_GB2312"/>
          <w:b/>
          <w:bCs/>
          <w:color w:val="auto"/>
          <w:lang w:val="en-US" w:eastAsia="zh-CN"/>
        </w:rPr>
      </w:pPr>
      <w:bookmarkStart w:id="57" w:name="_Toc31089"/>
      <w:r>
        <w:rPr>
          <w:rFonts w:hint="eastAsia" w:ascii="仿宋_GB2312" w:hAnsi="仿宋_GB2312" w:eastAsia="仿宋_GB2312" w:cs="仿宋_GB2312"/>
          <w:b/>
          <w:bCs/>
          <w:color w:val="auto"/>
          <w:lang w:val="en-US" w:eastAsia="zh-CN"/>
        </w:rPr>
        <w:t>片区应急救援能力规划图</w:t>
      </w:r>
      <w:bookmarkEnd w:id="57"/>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394960" cy="7625715"/>
            <wp:effectExtent l="0" t="0" r="15240" b="13335"/>
            <wp:docPr id="6" name="图片 6" descr="平羌05应急救援能力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平羌05应急救援能力规划图"/>
                    <pic:cNvPicPr>
                      <a:picLocks noChangeAspect="1"/>
                    </pic:cNvPicPr>
                  </pic:nvPicPr>
                  <pic:blipFill>
                    <a:blip r:embed="rId10"/>
                    <a:stretch>
                      <a:fillRect/>
                    </a:stretch>
                  </pic:blipFill>
                  <pic:spPr>
                    <a:xfrm>
                      <a:off x="0" y="0"/>
                      <a:ext cx="5394960" cy="7625715"/>
                    </a:xfrm>
                    <a:prstGeom prst="rect">
                      <a:avLst/>
                    </a:prstGeom>
                  </pic:spPr>
                </pic:pic>
              </a:graphicData>
            </a:graphic>
          </wp:inline>
        </w:drawing>
      </w:r>
    </w:p>
    <w:p>
      <w:pPr>
        <w:pStyle w:val="4"/>
        <w:keepNext/>
        <w:keepLines/>
        <w:pageBreakBefore w:val="0"/>
        <w:widowControl w:val="0"/>
        <w:kinsoku/>
        <w:wordWrap/>
        <w:overflowPunct/>
        <w:topLinePunct w:val="0"/>
        <w:autoSpaceDE/>
        <w:autoSpaceDN/>
        <w:bidi w:val="0"/>
        <w:adjustRightInd/>
        <w:snapToGrid/>
        <w:spacing w:before="0" w:after="0" w:line="240" w:lineRule="auto"/>
        <w:jc w:val="both"/>
        <w:textAlignment w:val="auto"/>
        <w:outlineLvl w:val="0"/>
        <w:rPr>
          <w:rFonts w:hint="eastAsia" w:ascii="仿宋_GB2312" w:hAnsi="仿宋_GB2312" w:eastAsia="仿宋_GB2312" w:cs="仿宋_GB2312"/>
          <w:b/>
          <w:bCs/>
          <w:color w:val="auto"/>
          <w:lang w:val="en-US" w:eastAsia="zh-CN"/>
        </w:rPr>
      </w:pPr>
      <w:bookmarkStart w:id="58" w:name="_Toc21466"/>
      <w:r>
        <w:rPr>
          <w:rFonts w:hint="eastAsia" w:ascii="仿宋_GB2312" w:hAnsi="仿宋_GB2312" w:eastAsia="仿宋_GB2312" w:cs="仿宋_GB2312"/>
          <w:b/>
          <w:bCs/>
          <w:color w:val="auto"/>
        </w:rPr>
        <w:t>附图</w:t>
      </w:r>
      <w:r>
        <w:rPr>
          <w:rFonts w:hint="eastAsia" w:ascii="仿宋_GB2312" w:hAnsi="仿宋_GB2312" w:eastAsia="仿宋_GB2312" w:cs="仿宋_GB2312"/>
          <w:b/>
          <w:bCs/>
          <w:color w:val="auto"/>
          <w:lang w:val="en-US" w:eastAsia="zh-CN"/>
        </w:rPr>
        <w:t>6</w:t>
      </w:r>
      <w:bookmarkEnd w:id="58"/>
    </w:p>
    <w:p>
      <w:pPr>
        <w:pStyle w:val="4"/>
        <w:keepNext/>
        <w:keepLines/>
        <w:pageBreakBefore w:val="0"/>
        <w:widowControl w:val="0"/>
        <w:kinsoku/>
        <w:wordWrap/>
        <w:overflowPunct/>
        <w:topLinePunct w:val="0"/>
        <w:autoSpaceDE/>
        <w:autoSpaceDN/>
        <w:bidi w:val="0"/>
        <w:adjustRightInd/>
        <w:snapToGrid/>
        <w:spacing w:before="0" w:after="0" w:line="240" w:lineRule="auto"/>
        <w:jc w:val="center"/>
        <w:textAlignment w:val="auto"/>
        <w:outlineLvl w:val="0"/>
        <w:rPr>
          <w:rFonts w:hint="eastAsia" w:ascii="仿宋_GB2312" w:hAnsi="仿宋_GB2312" w:eastAsia="仿宋_GB2312" w:cs="仿宋_GB2312"/>
          <w:b/>
          <w:bCs/>
          <w:color w:val="auto"/>
          <w:lang w:val="en-US" w:eastAsia="zh-CN"/>
        </w:rPr>
      </w:pPr>
      <w:bookmarkStart w:id="59" w:name="_Toc17462"/>
      <w:r>
        <w:rPr>
          <w:rFonts w:hint="eastAsia" w:ascii="仿宋_GB2312" w:hAnsi="仿宋_GB2312" w:eastAsia="仿宋_GB2312" w:cs="仿宋_GB2312"/>
          <w:b/>
          <w:bCs/>
          <w:color w:val="auto"/>
          <w:lang w:val="en-US" w:eastAsia="zh-CN"/>
        </w:rPr>
        <w:t>片区防抗救设施规划图</w:t>
      </w:r>
      <w:bookmarkEnd w:id="59"/>
    </w:p>
    <w:p>
      <w:pPr>
        <w:rPr>
          <w:rFonts w:hint="default" w:ascii="Times New Roman" w:hAnsi="Times New Roman" w:cs="Times New Roman"/>
          <w:lang w:eastAsia="zh-CN"/>
        </w:rPr>
      </w:pPr>
      <w:r>
        <w:rPr>
          <w:rFonts w:hint="default" w:ascii="Times New Roman" w:hAnsi="Times New Roman" w:cs="Times New Roman"/>
          <w:lang w:eastAsia="zh-CN"/>
        </w:rPr>
        <w:drawing>
          <wp:inline distT="0" distB="0" distL="114300" distR="114300">
            <wp:extent cx="5393690" cy="7623810"/>
            <wp:effectExtent l="0" t="0" r="16510" b="15240"/>
            <wp:docPr id="7" name="图片 7" descr="平羌06防抗救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平羌06防抗救设施规划图"/>
                    <pic:cNvPicPr>
                      <a:picLocks noChangeAspect="1"/>
                    </pic:cNvPicPr>
                  </pic:nvPicPr>
                  <pic:blipFill>
                    <a:blip r:embed="rId11"/>
                    <a:stretch>
                      <a:fillRect/>
                    </a:stretch>
                  </pic:blipFill>
                  <pic:spPr>
                    <a:xfrm>
                      <a:off x="0" y="0"/>
                      <a:ext cx="5393690" cy="7623810"/>
                    </a:xfrm>
                    <a:prstGeom prst="rect">
                      <a:avLst/>
                    </a:prstGeom>
                  </pic:spPr>
                </pic:pic>
              </a:graphicData>
            </a:graphic>
          </wp:inline>
        </w:drawing>
      </w:r>
    </w:p>
    <w:sectPr>
      <w:footerReference r:id="rId4" w:type="default"/>
      <w:pgSz w:w="11906" w:h="16838"/>
      <w:pgMar w:top="1701" w:right="1701" w:bottom="1701" w:left="1701"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简体">
    <w:panose1 w:val="02000000000000000000"/>
    <w:charset w:val="86"/>
    <w:family w:val="script"/>
    <w:pitch w:val="default"/>
    <w:sig w:usb0="A00002BF" w:usb1="184F6CFA" w:usb2="00000012" w:usb3="00000000" w:csb0="00040001" w:csb1="00000000"/>
  </w:font>
  <w:font w:name="方正小标宋简体">
    <w:panose1 w:val="02000000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c2NGY1YzlkMWFiODVjYmJhMThjNWI3MTgzNDA4NjMifQ=="/>
  </w:docVars>
  <w:rsids>
    <w:rsidRoot w:val="00172A27"/>
    <w:rsid w:val="00060731"/>
    <w:rsid w:val="00084262"/>
    <w:rsid w:val="00155FF5"/>
    <w:rsid w:val="00170D3A"/>
    <w:rsid w:val="00187C56"/>
    <w:rsid w:val="001F1BDC"/>
    <w:rsid w:val="002B5C8E"/>
    <w:rsid w:val="002C3A15"/>
    <w:rsid w:val="003E5B31"/>
    <w:rsid w:val="004C4277"/>
    <w:rsid w:val="00543CCB"/>
    <w:rsid w:val="0055393E"/>
    <w:rsid w:val="005B115D"/>
    <w:rsid w:val="006B5CE8"/>
    <w:rsid w:val="0077011B"/>
    <w:rsid w:val="007E44E4"/>
    <w:rsid w:val="007F011C"/>
    <w:rsid w:val="00862114"/>
    <w:rsid w:val="00887360"/>
    <w:rsid w:val="008E6AD8"/>
    <w:rsid w:val="009030ED"/>
    <w:rsid w:val="00914F71"/>
    <w:rsid w:val="00955588"/>
    <w:rsid w:val="009900E9"/>
    <w:rsid w:val="00AB63C4"/>
    <w:rsid w:val="00AF317F"/>
    <w:rsid w:val="00B05648"/>
    <w:rsid w:val="00B46D26"/>
    <w:rsid w:val="00B516FA"/>
    <w:rsid w:val="00BA696F"/>
    <w:rsid w:val="00BC1ED5"/>
    <w:rsid w:val="00C6343E"/>
    <w:rsid w:val="00C875CF"/>
    <w:rsid w:val="00D66089"/>
    <w:rsid w:val="00D871C6"/>
    <w:rsid w:val="00E24EA5"/>
    <w:rsid w:val="00E276B1"/>
    <w:rsid w:val="00F372CE"/>
    <w:rsid w:val="00FB2D64"/>
    <w:rsid w:val="00FE7F4B"/>
    <w:rsid w:val="01871F8C"/>
    <w:rsid w:val="02812EAF"/>
    <w:rsid w:val="03A15036"/>
    <w:rsid w:val="05CF15E7"/>
    <w:rsid w:val="065E35D9"/>
    <w:rsid w:val="073074DB"/>
    <w:rsid w:val="07CF354C"/>
    <w:rsid w:val="07FF7D5E"/>
    <w:rsid w:val="082331A9"/>
    <w:rsid w:val="086314A3"/>
    <w:rsid w:val="090D1014"/>
    <w:rsid w:val="09664337"/>
    <w:rsid w:val="0ACA080F"/>
    <w:rsid w:val="0B087540"/>
    <w:rsid w:val="0B7E2584"/>
    <w:rsid w:val="0CF01847"/>
    <w:rsid w:val="0D0D5718"/>
    <w:rsid w:val="0D2F5358"/>
    <w:rsid w:val="0DD3398A"/>
    <w:rsid w:val="0F623E35"/>
    <w:rsid w:val="0FFA1C09"/>
    <w:rsid w:val="11681D49"/>
    <w:rsid w:val="11EF087E"/>
    <w:rsid w:val="12102A80"/>
    <w:rsid w:val="12CE603E"/>
    <w:rsid w:val="12FC047B"/>
    <w:rsid w:val="13A031C3"/>
    <w:rsid w:val="142427F0"/>
    <w:rsid w:val="14B72DFF"/>
    <w:rsid w:val="161E79C6"/>
    <w:rsid w:val="16437DED"/>
    <w:rsid w:val="17D56447"/>
    <w:rsid w:val="18065E8D"/>
    <w:rsid w:val="180C1C00"/>
    <w:rsid w:val="18C337CC"/>
    <w:rsid w:val="19DD768E"/>
    <w:rsid w:val="1BFB38DB"/>
    <w:rsid w:val="1DCD313E"/>
    <w:rsid w:val="1FDB27E7"/>
    <w:rsid w:val="203152C7"/>
    <w:rsid w:val="20520CEA"/>
    <w:rsid w:val="234B7AF5"/>
    <w:rsid w:val="23A22A6C"/>
    <w:rsid w:val="23FD4F8E"/>
    <w:rsid w:val="253103AB"/>
    <w:rsid w:val="268313B4"/>
    <w:rsid w:val="26ED3212"/>
    <w:rsid w:val="289F221B"/>
    <w:rsid w:val="28EF1FDE"/>
    <w:rsid w:val="2933080F"/>
    <w:rsid w:val="29587D93"/>
    <w:rsid w:val="2A9A413C"/>
    <w:rsid w:val="2BF40C32"/>
    <w:rsid w:val="2E3D5151"/>
    <w:rsid w:val="2EBC196F"/>
    <w:rsid w:val="303A2B3B"/>
    <w:rsid w:val="309E1DB8"/>
    <w:rsid w:val="30C264F4"/>
    <w:rsid w:val="30F815BD"/>
    <w:rsid w:val="31334D59"/>
    <w:rsid w:val="31383745"/>
    <w:rsid w:val="315F11CE"/>
    <w:rsid w:val="31712394"/>
    <w:rsid w:val="31C462FD"/>
    <w:rsid w:val="31C852FF"/>
    <w:rsid w:val="3206296F"/>
    <w:rsid w:val="327A339F"/>
    <w:rsid w:val="344C2256"/>
    <w:rsid w:val="34711E0E"/>
    <w:rsid w:val="34CA58CB"/>
    <w:rsid w:val="35F309A9"/>
    <w:rsid w:val="367B4ECB"/>
    <w:rsid w:val="37044A98"/>
    <w:rsid w:val="37C07D15"/>
    <w:rsid w:val="383623B1"/>
    <w:rsid w:val="3894737A"/>
    <w:rsid w:val="38977583"/>
    <w:rsid w:val="3A58521B"/>
    <w:rsid w:val="3AA63551"/>
    <w:rsid w:val="3BF7468F"/>
    <w:rsid w:val="3C38627D"/>
    <w:rsid w:val="3C6C6920"/>
    <w:rsid w:val="3CDE239D"/>
    <w:rsid w:val="3D830936"/>
    <w:rsid w:val="3DA43295"/>
    <w:rsid w:val="3DF03CE8"/>
    <w:rsid w:val="400C127E"/>
    <w:rsid w:val="42E06762"/>
    <w:rsid w:val="42EB4DED"/>
    <w:rsid w:val="4450022E"/>
    <w:rsid w:val="449B1257"/>
    <w:rsid w:val="451E0836"/>
    <w:rsid w:val="46523178"/>
    <w:rsid w:val="46C047D8"/>
    <w:rsid w:val="46ED1BCC"/>
    <w:rsid w:val="47EB24F9"/>
    <w:rsid w:val="48012815"/>
    <w:rsid w:val="48A03CB6"/>
    <w:rsid w:val="4AEB68CE"/>
    <w:rsid w:val="4C660C79"/>
    <w:rsid w:val="4E593F6E"/>
    <w:rsid w:val="4E73450C"/>
    <w:rsid w:val="503D50EC"/>
    <w:rsid w:val="51DF0C4A"/>
    <w:rsid w:val="521C4385"/>
    <w:rsid w:val="52680845"/>
    <w:rsid w:val="52F75E16"/>
    <w:rsid w:val="5394125E"/>
    <w:rsid w:val="541F5F72"/>
    <w:rsid w:val="545C0310"/>
    <w:rsid w:val="547532B8"/>
    <w:rsid w:val="552A4FD0"/>
    <w:rsid w:val="55EA5EA2"/>
    <w:rsid w:val="56011BC5"/>
    <w:rsid w:val="57A1132A"/>
    <w:rsid w:val="58F61287"/>
    <w:rsid w:val="59FF657E"/>
    <w:rsid w:val="5AB137B2"/>
    <w:rsid w:val="5B2754EF"/>
    <w:rsid w:val="5BA13939"/>
    <w:rsid w:val="5BAC0396"/>
    <w:rsid w:val="5D1A6C78"/>
    <w:rsid w:val="5E4645BA"/>
    <w:rsid w:val="5F2C599A"/>
    <w:rsid w:val="60FF3702"/>
    <w:rsid w:val="61331044"/>
    <w:rsid w:val="62B94CB8"/>
    <w:rsid w:val="637B221A"/>
    <w:rsid w:val="66323AB9"/>
    <w:rsid w:val="67750CFE"/>
    <w:rsid w:val="677B0BA9"/>
    <w:rsid w:val="69534C83"/>
    <w:rsid w:val="696C0672"/>
    <w:rsid w:val="69F8210A"/>
    <w:rsid w:val="6AA16DC6"/>
    <w:rsid w:val="6B3013FA"/>
    <w:rsid w:val="6B5B0AB7"/>
    <w:rsid w:val="6B7045DD"/>
    <w:rsid w:val="6D0345A3"/>
    <w:rsid w:val="6DA8264B"/>
    <w:rsid w:val="6DF754A3"/>
    <w:rsid w:val="6F662172"/>
    <w:rsid w:val="706969FF"/>
    <w:rsid w:val="712D6D6B"/>
    <w:rsid w:val="71B24406"/>
    <w:rsid w:val="725B2B9B"/>
    <w:rsid w:val="74C54EAB"/>
    <w:rsid w:val="754D6F3C"/>
    <w:rsid w:val="763F3166"/>
    <w:rsid w:val="764A0828"/>
    <w:rsid w:val="76A23684"/>
    <w:rsid w:val="76BB4B1E"/>
    <w:rsid w:val="79671C76"/>
    <w:rsid w:val="7A130CB3"/>
    <w:rsid w:val="7C4B12F2"/>
    <w:rsid w:val="7D5B302A"/>
    <w:rsid w:val="7D6C52FD"/>
    <w:rsid w:val="7F434B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4"/>
    <w:qFormat/>
    <w:uiPriority w:val="0"/>
    <w:pPr>
      <w:keepNext/>
      <w:keepLines/>
      <w:spacing w:before="340" w:after="330" w:line="360" w:lineRule="auto"/>
      <w:jc w:val="center"/>
      <w:outlineLvl w:val="0"/>
    </w:pPr>
    <w:rPr>
      <w:rFonts w:eastAsia="黑体" w:asciiTheme="minorAscii" w:hAnsiTheme="minorAscii"/>
      <w:bCs/>
      <w:kern w:val="44"/>
      <w:sz w:val="32"/>
      <w:szCs w:val="44"/>
    </w:rPr>
  </w:style>
  <w:style w:type="paragraph" w:styleId="4">
    <w:name w:val="heading 2"/>
    <w:basedOn w:val="1"/>
    <w:next w:val="1"/>
    <w:unhideWhenUsed/>
    <w:qFormat/>
    <w:uiPriority w:val="0"/>
    <w:pPr>
      <w:keepNext/>
      <w:keepLines/>
      <w:spacing w:before="260" w:beforeLines="0" w:beforeAutospacing="0" w:after="260" w:afterLines="0" w:afterAutospacing="0" w:line="550" w:lineRule="exact"/>
      <w:jc w:val="center"/>
      <w:outlineLvl w:val="1"/>
    </w:pPr>
    <w:rPr>
      <w:rFonts w:ascii="Arial" w:hAnsi="Arial" w:eastAsia="楷体_GB2312"/>
      <w:sz w:val="32"/>
    </w:rPr>
  </w:style>
  <w:style w:type="paragraph" w:styleId="5">
    <w:name w:val="heading 3"/>
    <w:basedOn w:val="1"/>
    <w:next w:val="1"/>
    <w:qFormat/>
    <w:uiPriority w:val="1"/>
    <w:pPr>
      <w:ind w:left="1383" w:hanging="705"/>
      <w:outlineLvl w:val="2"/>
    </w:pPr>
    <w:rPr>
      <w:rFonts w:ascii="仿宋" w:hAnsi="仿宋" w:eastAsia="仿宋" w:cs="仿宋"/>
      <w:b/>
      <w:bCs/>
      <w:sz w:val="28"/>
      <w:szCs w:val="28"/>
      <w:lang w:val="zh-CN" w:bidi="zh-CN"/>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customStyle="1" w:styleId="2">
    <w:name w:val="Heading2"/>
    <w:basedOn w:val="1"/>
    <w:next w:val="1"/>
    <w:qFormat/>
    <w:uiPriority w:val="0"/>
    <w:pPr>
      <w:keepNext/>
      <w:keepLines/>
      <w:spacing w:before="260" w:after="260" w:line="415" w:lineRule="auto"/>
    </w:pPr>
    <w:rPr>
      <w:rFonts w:ascii="Arial" w:hAnsi="Arial" w:eastAsia="黑体"/>
      <w:b/>
    </w:rPr>
  </w:style>
  <w:style w:type="paragraph" w:styleId="6">
    <w:name w:val="Body Text"/>
    <w:basedOn w:val="1"/>
    <w:qFormat/>
    <w:uiPriority w:val="1"/>
    <w:rPr>
      <w:rFonts w:ascii="仿宋" w:hAnsi="仿宋" w:eastAsia="仿宋" w:cs="仿宋"/>
      <w:sz w:val="28"/>
      <w:szCs w:val="28"/>
      <w:lang w:val="zh-CN" w:bidi="zh-CN"/>
    </w:rPr>
  </w:style>
  <w:style w:type="paragraph" w:styleId="7">
    <w:name w:val="Body Text Indent"/>
    <w:basedOn w:val="1"/>
    <w:qFormat/>
    <w:uiPriority w:val="0"/>
    <w:pPr>
      <w:spacing w:after="120"/>
      <w:ind w:left="420" w:leftChars="200"/>
    </w:pPr>
  </w:style>
  <w:style w:type="paragraph" w:styleId="8">
    <w:name w:val="Plain Text"/>
    <w:basedOn w:val="1"/>
    <w:qFormat/>
    <w:uiPriority w:val="0"/>
    <w:rPr>
      <w:rFonts w:ascii="宋体" w:hAnsi="Courier New" w:cs="Courier New"/>
      <w:szCs w:val="21"/>
    </w:r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toc 1"/>
    <w:basedOn w:val="1"/>
    <w:next w:val="1"/>
    <w:qFormat/>
    <w:uiPriority w:val="0"/>
  </w:style>
  <w:style w:type="paragraph" w:styleId="12">
    <w:name w:val="table of figures"/>
    <w:basedOn w:val="1"/>
    <w:next w:val="1"/>
    <w:qFormat/>
    <w:uiPriority w:val="0"/>
    <w:pPr>
      <w:ind w:left="200" w:leftChars="200" w:hanging="200" w:hangingChars="200"/>
    </w:pPr>
  </w:style>
  <w:style w:type="paragraph" w:styleId="13">
    <w:name w:val="toc 2"/>
    <w:basedOn w:val="1"/>
    <w:next w:val="1"/>
    <w:qFormat/>
    <w:uiPriority w:val="0"/>
    <w:pPr>
      <w:ind w:left="420" w:leftChars="200"/>
    </w:pPr>
  </w:style>
  <w:style w:type="paragraph" w:styleId="14">
    <w:name w:val="Normal (Web)"/>
    <w:basedOn w:val="1"/>
    <w:qFormat/>
    <w:uiPriority w:val="0"/>
    <w:pPr>
      <w:spacing w:beforeAutospacing="1" w:afterAutospacing="1"/>
      <w:jc w:val="left"/>
    </w:pPr>
    <w:rPr>
      <w:rFonts w:cs="Times New Roman"/>
      <w:kern w:val="0"/>
      <w:sz w:val="24"/>
    </w:rPr>
  </w:style>
  <w:style w:type="paragraph" w:styleId="15">
    <w:name w:val="Title"/>
    <w:basedOn w:val="1"/>
    <w:next w:val="1"/>
    <w:qFormat/>
    <w:uiPriority w:val="0"/>
    <w:pPr>
      <w:spacing w:before="240" w:after="60"/>
      <w:jc w:val="center"/>
      <w:textAlignment w:val="baseline"/>
    </w:pPr>
    <w:rPr>
      <w:rFonts w:ascii="Arial" w:hAnsi="Arial" w:eastAsia="宋体"/>
      <w:sz w:val="32"/>
      <w:szCs w:val="32"/>
    </w:rPr>
  </w:style>
  <w:style w:type="paragraph" w:styleId="16">
    <w:name w:val="Body Text First Indent 2"/>
    <w:basedOn w:val="7"/>
    <w:qFormat/>
    <w:uiPriority w:val="0"/>
    <w:pPr>
      <w:ind w:firstLine="420" w:firstLineChars="200"/>
    </w:p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0">
    <w:name w:val="Default"/>
    <w:basedOn w:val="1"/>
    <w:qFormat/>
    <w:uiPriority w:val="0"/>
    <w:pPr>
      <w:autoSpaceDE w:val="0"/>
      <w:autoSpaceDN w:val="0"/>
      <w:jc w:val="left"/>
    </w:pPr>
    <w:rPr>
      <w:rFonts w:eastAsia="仿宋_GB2312" w:cs="宋体"/>
      <w:color w:val="000000"/>
      <w:sz w:val="24"/>
    </w:rPr>
  </w:style>
  <w:style w:type="character" w:customStyle="1" w:styleId="21">
    <w:name w:val="font11"/>
    <w:basedOn w:val="19"/>
    <w:qFormat/>
    <w:uiPriority w:val="0"/>
    <w:rPr>
      <w:rFonts w:hint="eastAsia" w:ascii="宋体" w:hAnsi="宋体" w:eastAsia="宋体" w:cs="宋体"/>
      <w:b/>
      <w:color w:val="000000"/>
      <w:sz w:val="24"/>
      <w:szCs w:val="24"/>
      <w:u w:val="none"/>
    </w:rPr>
  </w:style>
  <w:style w:type="character" w:customStyle="1" w:styleId="22">
    <w:name w:val="font31"/>
    <w:basedOn w:val="19"/>
    <w:qFormat/>
    <w:uiPriority w:val="0"/>
    <w:rPr>
      <w:rFonts w:hint="eastAsia" w:ascii="仿宋_GB2312" w:eastAsia="仿宋_GB2312" w:cs="仿宋_GB2312"/>
      <w:b/>
      <w:color w:val="000000"/>
      <w:sz w:val="24"/>
      <w:szCs w:val="24"/>
      <w:u w:val="none"/>
    </w:rPr>
  </w:style>
  <w:style w:type="paragraph" w:customStyle="1" w:styleId="23">
    <w:name w:val="常用样式（方正仿宋简）"/>
    <w:basedOn w:val="1"/>
    <w:qFormat/>
    <w:uiPriority w:val="0"/>
    <w:pPr>
      <w:spacing w:line="560" w:lineRule="exact"/>
      <w:ind w:firstLine="640" w:firstLineChars="200"/>
    </w:pPr>
    <w:rPr>
      <w:rFonts w:eastAsia="方正仿宋简体"/>
      <w:sz w:val="32"/>
    </w:rPr>
  </w:style>
  <w:style w:type="character" w:customStyle="1" w:styleId="24">
    <w:name w:val="标题 1 字符"/>
    <w:basedOn w:val="19"/>
    <w:link w:val="3"/>
    <w:qFormat/>
    <w:uiPriority w:val="0"/>
    <w:rPr>
      <w:rFonts w:eastAsia="黑体" w:asciiTheme="minorAscii" w:hAnsiTheme="minorAscii" w:cstheme="minorBidi"/>
      <w:bCs/>
      <w:kern w:val="44"/>
      <w:sz w:val="32"/>
      <w:szCs w:val="44"/>
    </w:rPr>
  </w:style>
  <w:style w:type="character" w:customStyle="1" w:styleId="25">
    <w:name w:val="NormalCharacter"/>
    <w:qFormat/>
    <w:uiPriority w:val="0"/>
  </w:style>
  <w:style w:type="paragraph" w:styleId="26">
    <w:name w:val="No Spacing"/>
    <w:qFormat/>
    <w:uiPriority w:val="99"/>
    <w:pPr>
      <w:widowControl w:val="0"/>
      <w:jc w:val="both"/>
    </w:pPr>
    <w:rPr>
      <w:rFonts w:ascii="Calibri" w:hAnsi="Calibri" w:eastAsia="宋体" w:cs="Times New Roman"/>
      <w:kern w:val="2"/>
      <w:sz w:val="21"/>
      <w:szCs w:val="24"/>
      <w:lang w:val="en-US" w:eastAsia="zh-CN" w:bidi="ar-SA"/>
    </w:rPr>
  </w:style>
  <w:style w:type="character" w:customStyle="1" w:styleId="27">
    <w:name w:val="font51"/>
    <w:basedOn w:val="19"/>
    <w:qFormat/>
    <w:uiPriority w:val="0"/>
    <w:rPr>
      <w:rFonts w:hint="eastAsia" w:ascii="宋体" w:hAnsi="宋体" w:eastAsia="宋体" w:cs="宋体"/>
      <w:color w:val="000000"/>
      <w:sz w:val="24"/>
      <w:szCs w:val="24"/>
      <w:u w:val="none"/>
    </w:rPr>
  </w:style>
  <w:style w:type="character" w:customStyle="1" w:styleId="28">
    <w:name w:val="font21"/>
    <w:basedOn w:val="19"/>
    <w:qFormat/>
    <w:uiPriority w:val="0"/>
    <w:rPr>
      <w:rFonts w:hint="eastAsia" w:ascii="仿宋_GB2312" w:eastAsia="仿宋_GB2312" w:cs="仿宋_GB2312"/>
      <w:color w:val="000000"/>
      <w:sz w:val="24"/>
      <w:szCs w:val="24"/>
      <w:u w:val="none"/>
    </w:rPr>
  </w:style>
  <w:style w:type="character" w:customStyle="1" w:styleId="29">
    <w:name w:val="font01"/>
    <w:basedOn w:val="19"/>
    <w:qFormat/>
    <w:uiPriority w:val="0"/>
    <w:rPr>
      <w:rFonts w:hint="eastAsia" w:ascii="宋体" w:hAnsi="宋体" w:eastAsia="宋体" w:cs="宋体"/>
      <w:color w:val="000000"/>
      <w:sz w:val="24"/>
      <w:szCs w:val="24"/>
      <w:u w:val="none"/>
    </w:rPr>
  </w:style>
  <w:style w:type="paragraph" w:customStyle="1" w:styleId="30">
    <w:name w:val="WPSOffice手动目录 1"/>
    <w:qFormat/>
    <w:uiPriority w:val="0"/>
    <w:pPr>
      <w:ind w:leftChars="0"/>
    </w:pPr>
    <w:rPr>
      <w:rFonts w:ascii="Times New Roman" w:hAnsi="Times New Roman" w:eastAsia="宋体" w:cs="Times New Roman"/>
      <w:sz w:val="20"/>
      <w:szCs w:val="20"/>
    </w:rPr>
  </w:style>
  <w:style w:type="paragraph" w:customStyle="1" w:styleId="31">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50</Pages>
  <Words>16428</Words>
  <Characters>17391</Characters>
  <Lines>102</Lines>
  <Paragraphs>28</Paragraphs>
  <TotalTime>1</TotalTime>
  <ScaleCrop>false</ScaleCrop>
  <LinksUpToDate>false</LinksUpToDate>
  <CharactersWithSpaces>17864</CharactersWithSpaces>
  <Application>WPS Office_11.8.2.8808_F1E327BC-269C-435d-A152-05C5408002CA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2019-11-19T07:18:00Z</dcterms:created>
  <dc:creator>朵朵小语</dc:creator>
  <cp:lastModifiedBy>Administrator</cp:lastModifiedBy>
  <cp:lastPrinted>2022-06-24T03:36:00Z</cp:lastPrinted>
  <dcterms:modified xsi:type="dcterms:W3CDTF">2022-06-28T03:46:31Z</dcterms:modified>
  <cp:revision>63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2052-11.8.2.8808</vt:lpwstr>
  </property>
  <property fmtid="{D5CDD505-2E9C-101B-9397-08002B2CF9AE}" pid="3" name="ICV">
    <vt:lpwstr>FE967B70104346299DBD8E01C3400059</vt:lpwstr>
  </property>
</Properties>
</file>